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963-2_4seq1.xml.htm"/>
      <w:bookmarkStart w:id="1" w:name="kstm2626963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Paterson 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VERASTEM,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 KENDRICK ST.,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Verastem, Inc.</w:t>
              </w:r>
            </w:hyperlink>
            <w:r>
              <w:rPr/>
              <w:t xml:space="preserve"> [ </w:t>
            </w:r>
            <w:r>
              <w:rPr>
                <w:rFonts w:ascii="Times;serif" w:hAnsi="Times;serif"/>
                <w:color w:val="0000FF"/>
                <w:sz w:val="24"/>
                <w:shd w:fill="FFFFFF" w:val="clear"/>
              </w:rPr>
              <w:t>VSTM</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55"/>
        <w:gridCol w:w="451"/>
        <w:gridCol w:w="667"/>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106,893</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696,833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44,121</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652,712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securities were subject to a performance restricted stock units ("RSU") award that was granted on January 21, 2026. 106,893 RSUs vested on September 30, 2026, upon the Issuer's Compensation Committee of the board of directors determining the performance criteria related to certain clinical development goals had been achieved.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satisfy statutory withholding requirements in connection with the vesting of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Calkins,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63202" TargetMode="External"/><Relationship Id="rId5" Type="http://schemas.openxmlformats.org/officeDocument/2006/relationships/hyperlink" Target="http://www.sec.gov/cgi-bin/browse-edgar?action=getcompany&amp;CIK=0001526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3558</Characters>
  <CharactersWithSpaces>4135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