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356235</wp:posOffset>
            </wp:positionV>
            <wp:extent cx="639254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2545"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398780</wp:posOffset>
            </wp:positionV>
            <wp:extent cx="6392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25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2393315</wp:posOffset>
            </wp:positionH>
            <wp:positionV relativeFrom="paragraph">
              <wp:posOffset>64135</wp:posOffset>
            </wp:positionV>
            <wp:extent cx="16065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6550" cy="1714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ind w:left="360"/>
        <w:spacing w:after="0" w:line="234" w:lineRule="auto"/>
        <w:rPr>
          <w:sz w:val="20"/>
          <w:szCs w:val="20"/>
          <w:color w:val="auto"/>
        </w:rPr>
      </w:pPr>
      <w:r>
        <w:rPr>
          <w:rFonts w:ascii="Arial" w:cs="Arial" w:eastAsia="Arial" w:hAnsi="Arial"/>
          <w:sz w:val="13"/>
          <w:szCs w:val="13"/>
          <w:b w:val="1"/>
          <w:bCs w:val="1"/>
          <w:color w:val="auto"/>
        </w:rPr>
        <w:t>(Mark One)</w:t>
      </w:r>
    </w:p>
    <w:p>
      <w:pPr>
        <w:spacing w:after="0" w:line="1" w:lineRule="exact"/>
        <w:rPr>
          <w:sz w:val="24"/>
          <w:szCs w:val="24"/>
          <w:color w:val="auto"/>
        </w:rPr>
      </w:pPr>
    </w:p>
    <w:p>
      <w:pPr>
        <w:ind w:left="1440" w:hanging="842"/>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w:t>
      </w:r>
    </w:p>
    <w:p>
      <w:pPr>
        <w:spacing w:after="0" w:line="1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OF 1934</w:t>
      </w:r>
    </w:p>
    <w:p>
      <w:pPr>
        <w:jc w:val="center"/>
        <w:spacing w:after="0" w:line="220" w:lineRule="auto"/>
        <w:rPr>
          <w:sz w:val="20"/>
          <w:szCs w:val="20"/>
          <w:color w:val="auto"/>
        </w:rPr>
      </w:pPr>
      <w:r>
        <w:rPr>
          <w:rFonts w:ascii="Arial" w:cs="Arial" w:eastAsia="Arial" w:hAnsi="Arial"/>
          <w:sz w:val="13"/>
          <w:szCs w:val="13"/>
          <w:b w:val="1"/>
          <w:bCs w:val="1"/>
          <w:color w:val="auto"/>
        </w:rPr>
        <w:t>For the fiscal year ended December 31, 2016</w:t>
      </w:r>
    </w:p>
    <w:p>
      <w:pPr>
        <w:jc w:val="center"/>
        <w:spacing w:after="0" w:line="214" w:lineRule="auto"/>
        <w:rPr>
          <w:sz w:val="20"/>
          <w:szCs w:val="20"/>
          <w:color w:val="auto"/>
        </w:rPr>
      </w:pPr>
      <w:r>
        <w:rPr>
          <w:rFonts w:ascii="Arial" w:cs="Arial" w:eastAsia="Arial" w:hAnsi="Arial"/>
          <w:sz w:val="13"/>
          <w:szCs w:val="13"/>
          <w:b w:val="1"/>
          <w:bCs w:val="1"/>
          <w:color w:val="auto"/>
        </w:rPr>
        <w:t>or</w:t>
      </w:r>
    </w:p>
    <w:p>
      <w:pPr>
        <w:spacing w:after="0" w:line="1" w:lineRule="exact"/>
        <w:rPr>
          <w:sz w:val="24"/>
          <w:szCs w:val="24"/>
          <w:color w:val="auto"/>
        </w:rPr>
      </w:pPr>
    </w:p>
    <w:p>
      <w:pPr>
        <w:ind w:left="1440" w:hanging="842"/>
        <w:spacing w:after="0"/>
        <w:tabs>
          <w:tab w:leader="none" w:pos="14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w:t>
      </w:r>
    </w:p>
    <w:p>
      <w:pPr>
        <w:spacing w:after="0" w:line="26"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OF 1934</w:t>
      </w:r>
    </w:p>
    <w:p>
      <w:pPr>
        <w:sectPr>
          <w:pgSz w:w="11900" w:h="16838" w:orient="portrait"/>
          <w:cols w:equalWidth="0" w:num="1">
            <w:col w:w="10060"/>
          </w:cols>
          <w:pgMar w:left="920" w:top="233" w:right="919" w:bottom="1440" w:gutter="0" w:footer="0" w:header="0"/>
        </w:sectPr>
      </w:pPr>
    </w:p>
    <w:p>
      <w:pPr>
        <w:spacing w:after="0" w:line="7" w:lineRule="exact"/>
        <w:rPr>
          <w:sz w:val="24"/>
          <w:szCs w:val="24"/>
          <w:color w:val="auto"/>
        </w:rPr>
      </w:pPr>
    </w:p>
    <w:p>
      <w:pPr>
        <w:ind w:left="3620"/>
        <w:spacing w:after="0"/>
        <w:rPr>
          <w:sz w:val="20"/>
          <w:szCs w:val="20"/>
          <w:color w:val="auto"/>
        </w:rPr>
      </w:pPr>
      <w:r>
        <w:rPr>
          <w:rFonts w:ascii="Arial" w:cs="Arial" w:eastAsia="Arial" w:hAnsi="Arial"/>
          <w:sz w:val="10"/>
          <w:szCs w:val="10"/>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to</w:t>
      </w:r>
    </w:p>
    <w:p>
      <w:pPr>
        <w:spacing w:after="0" w:line="77" w:lineRule="exact"/>
        <w:rPr>
          <w:sz w:val="24"/>
          <w:szCs w:val="24"/>
          <w:color w:val="auto"/>
        </w:rPr>
      </w:pPr>
    </w:p>
    <w:p>
      <w:pPr>
        <w:sectPr>
          <w:pgSz w:w="11900" w:h="16838" w:orient="portrait"/>
          <w:cols w:equalWidth="0" w:num="2">
            <w:col w:w="5240" w:space="560"/>
            <w:col w:w="4260"/>
          </w:cols>
          <w:pgMar w:left="920" w:top="233" w:right="91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Commission file number 001-35403</w:t>
      </w:r>
    </w:p>
    <w:p>
      <w:pPr>
        <w:sectPr>
          <w:pgSz w:w="11900" w:h="16838" w:orient="portrait"/>
          <w:cols w:equalWidth="0" w:num="1">
            <w:col w:w="10060"/>
          </w:cols>
          <w:pgMar w:left="920" w:top="233" w:right="919" w:bottom="1440" w:gutter="0" w:footer="0" w:header="0"/>
          <w:type w:val="continuous"/>
        </w:sectPr>
      </w:pPr>
    </w:p>
    <w:p>
      <w:pPr>
        <w:spacing w:after="0" w:line="126" w:lineRule="exact"/>
        <w:rPr>
          <w:sz w:val="24"/>
          <w:szCs w:val="24"/>
          <w:color w:val="auto"/>
        </w:rPr>
      </w:pPr>
    </w:p>
    <w:tbl>
      <w:tblPr>
        <w:tblLayout w:type="fixed"/>
        <w:tblInd w:w="80" w:type="dxa"/>
        <w:tblCellMar>
          <w:top w:w="0" w:type="dxa"/>
          <w:left w:w="0" w:type="dxa"/>
          <w:bottom w:w="0" w:type="dxa"/>
          <w:right w:w="0" w:type="dxa"/>
        </w:tblCellMar>
      </w:tblPr>
      <w:tr>
        <w:trPr>
          <w:trHeight w:val="309"/>
        </w:trPr>
        <w:tc>
          <w:tcPr>
            <w:tcW w:w="3800" w:type="dxa"/>
            <w:vAlign w:val="bottom"/>
          </w:tcPr>
          <w:p>
            <w:pPr>
              <w:spacing w:after="0"/>
              <w:rPr>
                <w:sz w:val="24"/>
                <w:szCs w:val="24"/>
                <w:color w:val="auto"/>
              </w:rPr>
            </w:pPr>
          </w:p>
        </w:tc>
        <w:tc>
          <w:tcPr>
            <w:tcW w:w="5100" w:type="dxa"/>
            <w:vAlign w:val="bottom"/>
            <w:gridSpan w:val="3"/>
          </w:tcPr>
          <w:p>
            <w:pPr>
              <w:jc w:val="center"/>
              <w:ind w:right="2737"/>
              <w:spacing w:after="0"/>
              <w:rPr>
                <w:sz w:val="20"/>
                <w:szCs w:val="20"/>
                <w:color w:val="auto"/>
              </w:rPr>
            </w:pPr>
            <w:r>
              <w:rPr>
                <w:rFonts w:ascii="Arial" w:cs="Arial" w:eastAsia="Arial" w:hAnsi="Arial"/>
                <w:sz w:val="25"/>
                <w:szCs w:val="25"/>
                <w:b w:val="1"/>
                <w:bCs w:val="1"/>
                <w:color w:val="auto"/>
                <w:w w:val="90"/>
              </w:rPr>
              <w:t>Verastem, Inc.</w:t>
            </w:r>
          </w:p>
        </w:tc>
      </w:tr>
      <w:tr>
        <w:trPr>
          <w:trHeight w:val="206"/>
        </w:trPr>
        <w:tc>
          <w:tcPr>
            <w:tcW w:w="8900" w:type="dxa"/>
            <w:vAlign w:val="bottom"/>
            <w:gridSpan w:val="4"/>
          </w:tcPr>
          <w:p>
            <w:pPr>
              <w:jc w:val="center"/>
              <w:ind w:left="932"/>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20"/>
        </w:trPr>
        <w:tc>
          <w:tcPr>
            <w:tcW w:w="3800" w:type="dxa"/>
            <w:vAlign w:val="bottom"/>
          </w:tcPr>
          <w:p>
            <w:pPr>
              <w:jc w:val="center"/>
              <w:ind w:left="992"/>
              <w:spacing w:after="0"/>
              <w:rPr>
                <w:sz w:val="20"/>
                <w:szCs w:val="20"/>
                <w:color w:val="auto"/>
              </w:rPr>
            </w:pPr>
            <w:r>
              <w:rPr>
                <w:rFonts w:ascii="Arial" w:cs="Arial" w:eastAsia="Arial" w:hAnsi="Arial"/>
                <w:sz w:val="13"/>
                <w:szCs w:val="13"/>
                <w:b w:val="1"/>
                <w:bCs w:val="1"/>
                <w:color w:val="auto"/>
                <w:w w:val="87"/>
              </w:rPr>
              <w:t>Delaware</w:t>
            </w:r>
          </w:p>
        </w:tc>
        <w:tc>
          <w:tcPr>
            <w:tcW w:w="5100" w:type="dxa"/>
            <w:vAlign w:val="bottom"/>
            <w:gridSpan w:val="3"/>
          </w:tcPr>
          <w:p>
            <w:pPr>
              <w:jc w:val="right"/>
              <w:ind w:right="1057"/>
              <w:spacing w:after="0"/>
              <w:rPr>
                <w:sz w:val="20"/>
                <w:szCs w:val="20"/>
                <w:color w:val="auto"/>
              </w:rPr>
            </w:pPr>
            <w:r>
              <w:rPr>
                <w:rFonts w:ascii="Arial" w:cs="Arial" w:eastAsia="Arial" w:hAnsi="Arial"/>
                <w:sz w:val="13"/>
                <w:szCs w:val="13"/>
                <w:b w:val="1"/>
                <w:bCs w:val="1"/>
                <w:color w:val="auto"/>
              </w:rPr>
              <w:t>27-3269467</w:t>
            </w:r>
          </w:p>
        </w:tc>
      </w:tr>
      <w:tr>
        <w:trPr>
          <w:trHeight w:val="135"/>
        </w:trPr>
        <w:tc>
          <w:tcPr>
            <w:tcW w:w="3800" w:type="dxa"/>
            <w:vAlign w:val="bottom"/>
          </w:tcPr>
          <w:p>
            <w:pPr>
              <w:jc w:val="center"/>
              <w:ind w:left="992"/>
              <w:spacing w:after="0" w:line="135" w:lineRule="exact"/>
              <w:rPr>
                <w:sz w:val="20"/>
                <w:szCs w:val="20"/>
                <w:color w:val="auto"/>
              </w:rPr>
            </w:pPr>
            <w:r>
              <w:rPr>
                <w:rFonts w:ascii="Arial" w:cs="Arial" w:eastAsia="Arial" w:hAnsi="Arial"/>
                <w:sz w:val="13"/>
                <w:szCs w:val="13"/>
                <w:color w:val="auto"/>
                <w:w w:val="89"/>
              </w:rPr>
              <w:t>(State or other jurisdiction of</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360" w:type="dxa"/>
            <w:vAlign w:val="bottom"/>
          </w:tcPr>
          <w:p>
            <w:pPr>
              <w:jc w:val="center"/>
              <w:ind w:left="1437"/>
              <w:spacing w:after="0" w:line="135" w:lineRule="exact"/>
              <w:rPr>
                <w:sz w:val="20"/>
                <w:szCs w:val="20"/>
                <w:color w:val="auto"/>
              </w:rPr>
            </w:pPr>
            <w:r>
              <w:rPr>
                <w:rFonts w:ascii="Arial" w:cs="Arial" w:eastAsia="Arial" w:hAnsi="Arial"/>
                <w:sz w:val="13"/>
                <w:szCs w:val="13"/>
                <w:color w:val="auto"/>
                <w:w w:val="90"/>
              </w:rPr>
              <w:t>(I.R.S. Employer</w:t>
            </w:r>
          </w:p>
        </w:tc>
      </w:tr>
      <w:tr>
        <w:trPr>
          <w:trHeight w:val="158"/>
        </w:trPr>
        <w:tc>
          <w:tcPr>
            <w:tcW w:w="3800" w:type="dxa"/>
            <w:vAlign w:val="bottom"/>
          </w:tcPr>
          <w:p>
            <w:pPr>
              <w:jc w:val="center"/>
              <w:ind w:left="1012"/>
              <w:spacing w:after="0"/>
              <w:rPr>
                <w:sz w:val="20"/>
                <w:szCs w:val="20"/>
                <w:color w:val="auto"/>
              </w:rPr>
            </w:pPr>
            <w:r>
              <w:rPr>
                <w:rFonts w:ascii="Arial" w:cs="Arial" w:eastAsia="Arial" w:hAnsi="Arial"/>
                <w:sz w:val="13"/>
                <w:szCs w:val="13"/>
                <w:color w:val="auto"/>
                <w:w w:val="89"/>
              </w:rPr>
              <w:t>incorporation or organization)</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60" w:type="dxa"/>
            <w:vAlign w:val="bottom"/>
          </w:tcPr>
          <w:p>
            <w:pPr>
              <w:jc w:val="center"/>
              <w:ind w:left="1437"/>
              <w:spacing w:after="0"/>
              <w:rPr>
                <w:sz w:val="20"/>
                <w:szCs w:val="20"/>
                <w:color w:val="auto"/>
              </w:rPr>
            </w:pPr>
            <w:r>
              <w:rPr>
                <w:rFonts w:ascii="Arial" w:cs="Arial" w:eastAsia="Arial" w:hAnsi="Arial"/>
                <w:sz w:val="13"/>
                <w:szCs w:val="13"/>
                <w:color w:val="auto"/>
                <w:w w:val="92"/>
              </w:rPr>
              <w:t>Identification No.)</w:t>
            </w:r>
          </w:p>
        </w:tc>
      </w:tr>
      <w:tr>
        <w:trPr>
          <w:trHeight w:val="161"/>
        </w:trPr>
        <w:tc>
          <w:tcPr>
            <w:tcW w:w="3800" w:type="dxa"/>
            <w:vAlign w:val="bottom"/>
          </w:tcPr>
          <w:p>
            <w:pPr>
              <w:jc w:val="center"/>
              <w:ind w:left="992"/>
              <w:spacing w:after="0"/>
              <w:rPr>
                <w:sz w:val="20"/>
                <w:szCs w:val="20"/>
                <w:color w:val="auto"/>
              </w:rPr>
            </w:pPr>
            <w:r>
              <w:rPr>
                <w:rFonts w:ascii="Arial" w:cs="Arial" w:eastAsia="Arial" w:hAnsi="Arial"/>
                <w:sz w:val="13"/>
                <w:szCs w:val="13"/>
                <w:b w:val="1"/>
                <w:bCs w:val="1"/>
                <w:color w:val="auto"/>
                <w:w w:val="87"/>
              </w:rPr>
              <w:t>117 Kendrick Street, Suite 500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139"/>
        </w:trPr>
        <w:tc>
          <w:tcPr>
            <w:tcW w:w="3800" w:type="dxa"/>
            <w:vAlign w:val="bottom"/>
          </w:tcPr>
          <w:p>
            <w:pPr>
              <w:jc w:val="center"/>
              <w:ind w:left="992"/>
              <w:spacing w:after="0" w:line="139" w:lineRule="exact"/>
              <w:rPr>
                <w:sz w:val="20"/>
                <w:szCs w:val="20"/>
                <w:color w:val="auto"/>
              </w:rPr>
            </w:pPr>
            <w:r>
              <w:rPr>
                <w:rFonts w:ascii="Arial" w:cs="Arial" w:eastAsia="Arial" w:hAnsi="Arial"/>
                <w:sz w:val="13"/>
                <w:szCs w:val="13"/>
                <w:b w:val="1"/>
                <w:bCs w:val="1"/>
                <w:color w:val="auto"/>
                <w:w w:val="84"/>
              </w:rPr>
              <w:t>Needham, Massachusetts</w:t>
            </w:r>
          </w:p>
        </w:tc>
        <w:tc>
          <w:tcPr>
            <w:tcW w:w="5100" w:type="dxa"/>
            <w:vAlign w:val="bottom"/>
            <w:gridSpan w:val="3"/>
          </w:tcPr>
          <w:p>
            <w:pPr>
              <w:jc w:val="right"/>
              <w:ind w:right="1217"/>
              <w:spacing w:after="0" w:line="139" w:lineRule="exact"/>
              <w:rPr>
                <w:sz w:val="20"/>
                <w:szCs w:val="20"/>
                <w:color w:val="auto"/>
              </w:rPr>
            </w:pPr>
            <w:r>
              <w:rPr>
                <w:rFonts w:ascii="Arial" w:cs="Arial" w:eastAsia="Arial" w:hAnsi="Arial"/>
                <w:sz w:val="13"/>
                <w:szCs w:val="13"/>
                <w:b w:val="1"/>
                <w:bCs w:val="1"/>
                <w:color w:val="auto"/>
              </w:rPr>
              <w:t>02494</w:t>
            </w:r>
          </w:p>
        </w:tc>
      </w:tr>
      <w:tr>
        <w:trPr>
          <w:trHeight w:val="158"/>
        </w:trPr>
        <w:tc>
          <w:tcPr>
            <w:tcW w:w="3800" w:type="dxa"/>
            <w:vAlign w:val="bottom"/>
          </w:tcPr>
          <w:p>
            <w:pPr>
              <w:jc w:val="center"/>
              <w:ind w:left="1012"/>
              <w:spacing w:after="0"/>
              <w:rPr>
                <w:sz w:val="20"/>
                <w:szCs w:val="20"/>
                <w:color w:val="auto"/>
              </w:rPr>
            </w:pPr>
            <w:r>
              <w:rPr>
                <w:rFonts w:ascii="Arial" w:cs="Arial" w:eastAsia="Arial" w:hAnsi="Arial"/>
                <w:sz w:val="13"/>
                <w:szCs w:val="13"/>
                <w:color w:val="auto"/>
                <w:w w:val="89"/>
              </w:rPr>
              <w:t>(Address of principal executive offices)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60" w:type="dxa"/>
            <w:vAlign w:val="bottom"/>
          </w:tcPr>
          <w:p>
            <w:pPr>
              <w:jc w:val="center"/>
              <w:ind w:left="1437"/>
              <w:spacing w:after="0"/>
              <w:rPr>
                <w:sz w:val="20"/>
                <w:szCs w:val="20"/>
                <w:color w:val="auto"/>
              </w:rPr>
            </w:pPr>
            <w:r>
              <w:rPr>
                <w:rFonts w:ascii="Arial" w:cs="Arial" w:eastAsia="Arial" w:hAnsi="Arial"/>
                <w:sz w:val="13"/>
                <w:szCs w:val="13"/>
                <w:color w:val="auto"/>
                <w:w w:val="87"/>
              </w:rPr>
              <w:t>(Zip Code)</w:t>
            </w:r>
          </w:p>
        </w:tc>
      </w:tr>
      <w:tr>
        <w:trPr>
          <w:trHeight w:val="281"/>
        </w:trPr>
        <w:tc>
          <w:tcPr>
            <w:tcW w:w="8900" w:type="dxa"/>
            <w:vAlign w:val="bottom"/>
            <w:gridSpan w:val="4"/>
          </w:tcPr>
          <w:p>
            <w:pPr>
              <w:jc w:val="center"/>
              <w:ind w:left="952"/>
              <w:spacing w:after="0"/>
              <w:rPr>
                <w:sz w:val="20"/>
                <w:szCs w:val="20"/>
                <w:color w:val="auto"/>
              </w:rPr>
            </w:pPr>
            <w:r>
              <w:rPr>
                <w:rFonts w:ascii="Arial" w:cs="Arial" w:eastAsia="Arial" w:hAnsi="Arial"/>
                <w:sz w:val="16"/>
                <w:szCs w:val="16"/>
                <w:color w:val="auto"/>
                <w:w w:val="90"/>
              </w:rPr>
              <w:t xml:space="preserve">Registrant’s telephone number, including area code: </w:t>
            </w:r>
            <w:r>
              <w:rPr>
                <w:rFonts w:ascii="Arial" w:cs="Arial" w:eastAsia="Arial" w:hAnsi="Arial"/>
                <w:sz w:val="16"/>
                <w:szCs w:val="16"/>
                <w:b w:val="1"/>
                <w:bCs w:val="1"/>
                <w:color w:val="auto"/>
                <w:w w:val="90"/>
              </w:rPr>
              <w:t>(781) 292-4200</w:t>
            </w:r>
          </w:p>
        </w:tc>
      </w:tr>
      <w:tr>
        <w:trPr>
          <w:trHeight w:val="296"/>
        </w:trPr>
        <w:tc>
          <w:tcPr>
            <w:tcW w:w="8900" w:type="dxa"/>
            <w:vAlign w:val="bottom"/>
            <w:gridSpan w:val="4"/>
          </w:tcPr>
          <w:p>
            <w:pPr>
              <w:jc w:val="center"/>
              <w:ind w:right="3997"/>
              <w:spacing w:after="0"/>
              <w:rPr>
                <w:sz w:val="20"/>
                <w:szCs w:val="20"/>
                <w:color w:val="auto"/>
              </w:rPr>
            </w:pPr>
            <w:r>
              <w:rPr>
                <w:rFonts w:ascii="Arial" w:cs="Arial" w:eastAsia="Arial" w:hAnsi="Arial"/>
                <w:sz w:val="16"/>
                <w:szCs w:val="16"/>
                <w:color w:val="auto"/>
                <w:w w:val="91"/>
              </w:rPr>
              <w:t>Securities registered pursuant to Section 12(b) of the Act:</w:t>
            </w:r>
          </w:p>
        </w:tc>
      </w:tr>
      <w:tr>
        <w:trPr>
          <w:trHeight w:val="235"/>
        </w:trPr>
        <w:tc>
          <w:tcPr>
            <w:tcW w:w="3800" w:type="dxa"/>
            <w:vAlign w:val="bottom"/>
            <w:tcBorders>
              <w:bottom w:val="single" w:sz="8" w:color="auto"/>
            </w:tcBorders>
          </w:tcPr>
          <w:p>
            <w:pPr>
              <w:jc w:val="center"/>
              <w:ind w:left="512"/>
              <w:spacing w:after="0"/>
              <w:rPr>
                <w:sz w:val="20"/>
                <w:szCs w:val="20"/>
                <w:color w:val="auto"/>
              </w:rPr>
            </w:pPr>
            <w:r>
              <w:rPr>
                <w:rFonts w:ascii="Arial" w:cs="Arial" w:eastAsia="Arial" w:hAnsi="Arial"/>
                <w:sz w:val="13"/>
                <w:szCs w:val="13"/>
                <w:b w:val="1"/>
                <w:bCs w:val="1"/>
                <w:color w:val="auto"/>
                <w:w w:val="83"/>
              </w:rPr>
              <w:t>Title of each class</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64"/>
        </w:trPr>
        <w:tc>
          <w:tcPr>
            <w:tcW w:w="3800" w:type="dxa"/>
            <w:vAlign w:val="bottom"/>
          </w:tcPr>
          <w:p>
            <w:pPr>
              <w:jc w:val="center"/>
              <w:ind w:left="512"/>
              <w:spacing w:after="0"/>
              <w:rPr>
                <w:sz w:val="20"/>
                <w:szCs w:val="20"/>
                <w:color w:val="auto"/>
              </w:rPr>
            </w:pPr>
            <w:r>
              <w:rPr>
                <w:rFonts w:ascii="Arial" w:cs="Arial" w:eastAsia="Arial" w:hAnsi="Arial"/>
                <w:sz w:val="13"/>
                <w:szCs w:val="13"/>
                <w:color w:val="auto"/>
                <w:w w:val="86"/>
              </w:rPr>
              <w:t>Common Stock, $0.0001 par value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tcPr>
          <w:p>
            <w:pPr>
              <w:jc w:val="center"/>
              <w:spacing w:after="0"/>
              <w:rPr>
                <w:sz w:val="20"/>
                <w:szCs w:val="20"/>
                <w:color w:val="auto"/>
              </w:rPr>
            </w:pPr>
            <w:r>
              <w:rPr>
                <w:rFonts w:ascii="Arial" w:cs="Arial" w:eastAsia="Arial" w:hAnsi="Arial"/>
                <w:sz w:val="13"/>
                <w:szCs w:val="13"/>
                <w:color w:val="auto"/>
                <w:w w:val="91"/>
              </w:rPr>
              <w:t>NASDAQ Global Market</w:t>
            </w:r>
          </w:p>
        </w:tc>
      </w:tr>
    </w:tbl>
    <w:p>
      <w:pPr>
        <w:spacing w:after="0" w:line="20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2393315</wp:posOffset>
            </wp:positionH>
            <wp:positionV relativeFrom="paragraph">
              <wp:posOffset>88265</wp:posOffset>
            </wp:positionV>
            <wp:extent cx="1606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6550" cy="8255"/>
                    </a:xfrm>
                    <a:prstGeom prst="rect">
                      <a:avLst/>
                    </a:prstGeom>
                    <a:noFill/>
                  </pic:spPr>
                </pic:pic>
              </a:graphicData>
            </a:graphic>
          </wp:anchor>
        </w:drawing>
      </w:r>
    </w:p>
    <w:p>
      <w:pPr>
        <w:spacing w:after="0" w:line="308" w:lineRule="exact"/>
        <w:rPr>
          <w:sz w:val="24"/>
          <w:szCs w:val="24"/>
          <w:color w:val="auto"/>
        </w:rPr>
      </w:pPr>
    </w:p>
    <w:p>
      <w:pPr>
        <w:ind w:left="640" w:right="760"/>
        <w:spacing w:after="0" w:line="26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3" w:lineRule="exact"/>
        <w:rPr>
          <w:sz w:val="24"/>
          <w:szCs w:val="24"/>
          <w:color w:val="auto"/>
        </w:rPr>
      </w:pPr>
    </w:p>
    <w:p>
      <w:pPr>
        <w:ind w:right="140" w:firstLine="646"/>
        <w:spacing w:after="0" w:line="20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jc w:val="both"/>
        <w:ind w:right="20" w:firstLine="646"/>
        <w:spacing w:after="0" w:line="20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w:t>
      </w:r>
    </w:p>
    <w:p>
      <w:pPr>
        <w:spacing w:after="0" w:line="22"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72" w:lineRule="exact"/>
        <w:rPr>
          <w:sz w:val="24"/>
          <w:szCs w:val="24"/>
          <w:color w:val="auto"/>
        </w:rPr>
      </w:pPr>
    </w:p>
    <w:p>
      <w:pPr>
        <w:ind w:right="20" w:firstLine="646"/>
        <w:spacing w:after="0" w:line="3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060"/>
          </w:cols>
          <w:pgMar w:left="920" w:top="233" w:right="919" w:bottom="1440" w:gutter="0" w:footer="0" w:header="0"/>
          <w:type w:val="continuous"/>
        </w:sectPr>
      </w:pPr>
    </w:p>
    <w:p>
      <w:pPr>
        <w:spacing w:after="0" w:line="1" w:lineRule="exact"/>
        <w:rPr>
          <w:sz w:val="24"/>
          <w:szCs w:val="24"/>
          <w:color w:val="auto"/>
        </w:rPr>
      </w:pPr>
    </w:p>
    <w:p>
      <w:pPr>
        <w:ind w:left="8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96"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jc w:val="center"/>
        <w:ind w:right="400"/>
        <w:spacing w:after="0" w:line="131"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5" w:lineRule="exact"/>
        <w:rPr>
          <w:sz w:val="24"/>
          <w:szCs w:val="24"/>
          <w:color w:val="auto"/>
        </w:rPr>
      </w:pPr>
    </w:p>
    <w:p>
      <w:pPr>
        <w:jc w:val="center"/>
        <w:ind w:right="400"/>
        <w:spacing w:after="0"/>
        <w:rPr>
          <w:sz w:val="20"/>
          <w:szCs w:val="20"/>
          <w:color w:val="auto"/>
        </w:rPr>
      </w:pPr>
      <w:r>
        <w:rPr>
          <w:rFonts w:ascii="Arial" w:cs="Arial" w:eastAsia="Arial" w:hAnsi="Arial"/>
          <w:sz w:val="13"/>
          <w:szCs w:val="13"/>
          <w:color w:val="auto"/>
        </w:rPr>
        <w:t>(Do not check if a</w:t>
      </w:r>
    </w:p>
    <w:p>
      <w:pPr>
        <w:jc w:val="center"/>
        <w:ind w:right="400"/>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96"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336" w:lineRule="exact"/>
        <w:rPr>
          <w:sz w:val="24"/>
          <w:szCs w:val="24"/>
          <w:color w:val="auto"/>
        </w:rPr>
      </w:pPr>
    </w:p>
    <w:p>
      <w:pPr>
        <w:sectPr>
          <w:pgSz w:w="11900" w:h="16838" w:orient="portrait"/>
          <w:cols w:equalWidth="0" w:num="4">
            <w:col w:w="1960" w:space="720"/>
            <w:col w:w="1060" w:space="720"/>
            <w:col w:w="1800" w:space="720"/>
            <w:col w:w="3080"/>
          </w:cols>
          <w:pgMar w:left="920" w:top="233" w:right="919" w:bottom="1440" w:gutter="0" w:footer="0" w:header="0"/>
          <w:type w:val="continuous"/>
        </w:sectPr>
      </w:pPr>
    </w:p>
    <w:p>
      <w:pPr>
        <w:ind w:left="640" w:right="860"/>
        <w:spacing w:after="0" w:line="21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Aggregate market value of the voting and non-voting common equity held by non-affiliates of the registrant as of June 30, 2016 was</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$47,609,884.</w:t>
      </w:r>
    </w:p>
    <w:p>
      <w:pPr>
        <w:spacing w:after="0" w:line="108" w:lineRule="exact"/>
        <w:rPr>
          <w:sz w:val="24"/>
          <w:szCs w:val="24"/>
          <w:color w:val="auto"/>
        </w:rPr>
      </w:pPr>
    </w:p>
    <w:p>
      <w:pPr>
        <w:ind w:left="640"/>
        <w:spacing w:after="0"/>
        <w:rPr>
          <w:sz w:val="20"/>
          <w:szCs w:val="20"/>
          <w:color w:val="auto"/>
        </w:rPr>
      </w:pPr>
      <w:r>
        <w:rPr>
          <w:rFonts w:ascii="Arial" w:cs="Arial" w:eastAsia="Arial" w:hAnsi="Arial"/>
          <w:sz w:val="16"/>
          <w:szCs w:val="16"/>
          <w:color w:val="auto"/>
        </w:rPr>
        <w:t>The number of shares outstanding of the registrant’s common stock as of March 15, 2017 was 36,992,418.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163195</wp:posOffset>
            </wp:positionV>
            <wp:extent cx="6392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925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188595</wp:posOffset>
            </wp:positionV>
            <wp:extent cx="639254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92545"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1026160</wp:posOffset>
            </wp:positionV>
            <wp:extent cx="6392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2545" cy="17145"/>
                    </a:xfrm>
                    <a:prstGeom prst="rect">
                      <a:avLst/>
                    </a:prstGeom>
                    <a:noFill/>
                  </pic:spPr>
                </pic:pic>
              </a:graphicData>
            </a:graphic>
          </wp:anchor>
        </w:drawing>
      </w:r>
    </w:p>
    <w:p>
      <w:pPr>
        <w:sectPr>
          <w:pgSz w:w="11900" w:h="16838" w:orient="portrait"/>
          <w:cols w:equalWidth="0" w:num="1">
            <w:col w:w="10060"/>
          </w:cols>
          <w:pgMar w:left="920" w:top="233" w:right="919" w:bottom="1440" w:gutter="0" w:footer="0" w:header="0"/>
          <w:type w:val="continuous"/>
        </w:sectPr>
      </w:pPr>
    </w:p>
    <w:bookmarkStart w:id="1" w:name="page2"/>
    <w:bookmarkEnd w:id="1"/>
    <w:tbl>
      <w:tblPr>
        <w:tblLayout w:type="fixed"/>
        <w:tblInd w:w="160" w:type="dxa"/>
        <w:tblCellMar>
          <w:top w:w="0" w:type="dxa"/>
          <w:left w:w="0" w:type="dxa"/>
          <w:bottom w:w="0" w:type="dxa"/>
          <w:right w:w="0" w:type="dxa"/>
        </w:tblCellMar>
      </w:tblPr>
      <w:tr>
        <w:trPr>
          <w:trHeight w:val="207"/>
        </w:trPr>
        <w:tc>
          <w:tcPr>
            <w:tcW w:w="8240" w:type="dxa"/>
            <w:vAlign w:val="bottom"/>
            <w:gridSpan w:val="29"/>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80" w:type="dxa"/>
            <w:vAlign w:val="bottom"/>
          </w:tcPr>
          <w:p>
            <w:pPr>
              <w:spacing w:after="0"/>
              <w:rPr>
                <w:sz w:val="17"/>
                <w:szCs w:val="17"/>
                <w:color w:val="auto"/>
              </w:rPr>
            </w:pPr>
          </w:p>
        </w:tc>
      </w:tr>
      <w:tr>
        <w:trPr>
          <w:trHeight w:val="774"/>
        </w:trPr>
        <w:tc>
          <w:tcPr>
            <w:tcW w:w="5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20" w:type="dxa"/>
            <w:vAlign w:val="bottom"/>
            <w:gridSpan w:val="13"/>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4"/>
                <w:szCs w:val="24"/>
                <w:color w:val="auto"/>
              </w:rPr>
            </w:pPr>
          </w:p>
        </w:tc>
      </w:tr>
      <w:tr>
        <w:trPr>
          <w:trHeight w:val="390"/>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0000EE"/>
            </w:tcBorders>
          </w:tcPr>
          <w:p>
            <w:pPr>
              <w:jc w:val="cente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362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r>
      <w:tr>
        <w:trPr>
          <w:trHeight w:val="195"/>
        </w:trPr>
        <w:tc>
          <w:tcPr>
            <w:tcW w:w="520" w:type="dxa"/>
            <w:vAlign w:val="bottom"/>
            <w:tcBorders>
              <w:bottom w:val="single" w:sz="8" w:color="0000EE"/>
            </w:tcBorders>
          </w:tcPr>
          <w:p>
            <w:pPr>
              <w:spacing w:after="0" w:line="195"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180" w:type="dxa"/>
            <w:vAlign w:val="bottom"/>
            <w:gridSpan w:val="4"/>
          </w:tcPr>
          <w:p>
            <w:pPr>
              <w:spacing w:after="0"/>
              <w:rPr>
                <w:sz w:val="16"/>
                <w:szCs w:val="16"/>
                <w:color w:val="auto"/>
              </w:rPr>
            </w:pPr>
          </w:p>
        </w:tc>
        <w:tc>
          <w:tcPr>
            <w:tcW w:w="620" w:type="dxa"/>
            <w:vAlign w:val="bottom"/>
            <w:tcBorders>
              <w:bottom w:val="single" w:sz="8" w:color="0000EE"/>
            </w:tcBorders>
            <w:gridSpan w:val="3"/>
          </w:tcPr>
          <w:p>
            <w:pPr>
              <w:spacing w:after="0" w:line="195"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6920" w:type="dxa"/>
            <w:vAlign w:val="bottom"/>
            <w:gridSpan w:val="21"/>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640" w:type="dxa"/>
            <w:vAlign w:val="bottom"/>
            <w:tcBorders>
              <w:bottom w:val="single" w:sz="8" w:color="0000EE"/>
            </w:tcBorders>
            <w:gridSpan w:val="3"/>
          </w:tcPr>
          <w:p>
            <w:pPr>
              <w:spacing w:after="0" w:line="195"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1A.</w:t>
              </w:r>
            </w:hyperlink>
          </w:p>
        </w:tc>
        <w:tc>
          <w:tcPr>
            <w:tcW w:w="60" w:type="dxa"/>
            <w:vAlign w:val="bottom"/>
            <w:gridSpan w:val="2"/>
          </w:tcPr>
          <w:p>
            <w:pPr>
              <w:spacing w:after="0"/>
              <w:rPr>
                <w:sz w:val="16"/>
                <w:szCs w:val="16"/>
                <w:color w:val="auto"/>
              </w:rPr>
            </w:pPr>
          </w:p>
        </w:tc>
        <w:tc>
          <w:tcPr>
            <w:tcW w:w="880" w:type="dxa"/>
            <w:vAlign w:val="bottom"/>
            <w:tcBorders>
              <w:bottom w:val="single" w:sz="8" w:color="0000EE"/>
            </w:tcBorders>
            <w:gridSpan w:val="5"/>
          </w:tcPr>
          <w:p>
            <w:pPr>
              <w:spacing w:after="0" w:line="195" w:lineRule="exact"/>
              <w:rPr>
                <w:rFonts w:ascii="Arial" w:cs="Arial" w:eastAsia="Arial" w:hAnsi="Arial"/>
                <w:sz w:val="18"/>
                <w:szCs w:val="18"/>
                <w:color w:val="0000EE"/>
                <w:w w:val="85"/>
              </w:rPr>
            </w:pPr>
            <w:hyperlink w:anchor="page36">
              <w:r>
                <w:rPr>
                  <w:rFonts w:ascii="Arial" w:cs="Arial" w:eastAsia="Arial" w:hAnsi="Arial"/>
                  <w:sz w:val="18"/>
                  <w:szCs w:val="18"/>
                  <w:color w:val="0000EE"/>
                  <w:w w:val="85"/>
                </w:rPr>
                <w:t>Risk Factors</w:t>
              </w:r>
            </w:hyperlink>
          </w:p>
        </w:tc>
        <w:tc>
          <w:tcPr>
            <w:tcW w:w="6660" w:type="dxa"/>
            <w:vAlign w:val="bottom"/>
            <w:gridSpan w:val="19"/>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r>
      <w:tr>
        <w:trPr>
          <w:trHeight w:val="195"/>
        </w:trPr>
        <w:tc>
          <w:tcPr>
            <w:tcW w:w="580" w:type="dxa"/>
            <w:vAlign w:val="bottom"/>
            <w:tcBorders>
              <w:bottom w:val="single" w:sz="8" w:color="0000EE"/>
            </w:tcBorders>
            <w:gridSpan w:val="2"/>
          </w:tcPr>
          <w:p>
            <w:pPr>
              <w:spacing w:after="0" w:line="195" w:lineRule="exact"/>
              <w:rPr>
                <w:rFonts w:ascii="Arial" w:cs="Arial" w:eastAsia="Arial" w:hAnsi="Arial"/>
                <w:sz w:val="18"/>
                <w:szCs w:val="18"/>
                <w:color w:val="0000EE"/>
                <w:w w:val="80"/>
              </w:rPr>
            </w:pPr>
            <w:hyperlink w:anchor="page63">
              <w:r>
                <w:rPr>
                  <w:rFonts w:ascii="Arial" w:cs="Arial" w:eastAsia="Arial" w:hAnsi="Arial"/>
                  <w:sz w:val="18"/>
                  <w:szCs w:val="18"/>
                  <w:color w:val="0000EE"/>
                  <w:w w:val="80"/>
                </w:rPr>
                <w:t>Item 1B.</w:t>
              </w:r>
            </w:hyperlink>
          </w:p>
        </w:tc>
        <w:tc>
          <w:tcPr>
            <w:tcW w:w="120" w:type="dxa"/>
            <w:vAlign w:val="bottom"/>
            <w:gridSpan w:val="3"/>
          </w:tcPr>
          <w:p>
            <w:pPr>
              <w:spacing w:after="0"/>
              <w:rPr>
                <w:sz w:val="16"/>
                <w:szCs w:val="16"/>
                <w:color w:val="auto"/>
              </w:rPr>
            </w:pPr>
          </w:p>
        </w:tc>
        <w:tc>
          <w:tcPr>
            <w:tcW w:w="2020" w:type="dxa"/>
            <w:vAlign w:val="bottom"/>
            <w:tcBorders>
              <w:bottom w:val="single" w:sz="8" w:color="0000EE"/>
            </w:tcBorders>
            <w:gridSpan w:val="11"/>
          </w:tcPr>
          <w:p>
            <w:pPr>
              <w:spacing w:after="0" w:line="195"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Unresolved Staff Comments</w:t>
              </w:r>
            </w:hyperlink>
          </w:p>
        </w:tc>
        <w:tc>
          <w:tcPr>
            <w:tcW w:w="5520" w:type="dxa"/>
            <w:vAlign w:val="bottom"/>
            <w:gridSpan w:val="13"/>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63</w:t>
            </w:r>
          </w:p>
        </w:tc>
      </w:tr>
      <w:tr>
        <w:trPr>
          <w:trHeight w:val="195"/>
        </w:trPr>
        <w:tc>
          <w:tcPr>
            <w:tcW w:w="520" w:type="dxa"/>
            <w:vAlign w:val="bottom"/>
          </w:tcPr>
          <w:p>
            <w:pPr>
              <w:spacing w:after="0" w:line="195"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2.</w:t>
              </w:r>
            </w:hyperlink>
          </w:p>
        </w:tc>
        <w:tc>
          <w:tcPr>
            <w:tcW w:w="180" w:type="dxa"/>
            <w:vAlign w:val="bottom"/>
            <w:gridSpan w:val="4"/>
          </w:tcPr>
          <w:p>
            <w:pPr>
              <w:spacing w:after="0"/>
              <w:rPr>
                <w:sz w:val="16"/>
                <w:szCs w:val="16"/>
                <w:color w:val="auto"/>
              </w:rPr>
            </w:pPr>
          </w:p>
        </w:tc>
        <w:tc>
          <w:tcPr>
            <w:tcW w:w="7540" w:type="dxa"/>
            <w:vAlign w:val="bottom"/>
            <w:gridSpan w:val="24"/>
          </w:tcPr>
          <w:p>
            <w:pPr>
              <w:spacing w:after="0" w:line="195" w:lineRule="exact"/>
              <w:rPr>
                <w:rFonts w:ascii="Arial" w:cs="Arial" w:eastAsia="Arial" w:hAnsi="Arial"/>
                <w:sz w:val="18"/>
                <w:szCs w:val="18"/>
                <w:color w:val="0000EE"/>
              </w:rPr>
            </w:pPr>
            <w:hyperlink w:anchor="page63">
              <w:r>
                <w:rPr>
                  <w:rFonts w:ascii="Arial" w:cs="Arial" w:eastAsia="Arial" w:hAnsi="Arial"/>
                  <w:sz w:val="18"/>
                  <w:szCs w:val="18"/>
                  <w:color w:val="0000EE"/>
                </w:rPr>
                <w:t>Properties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63</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520" w:type="dxa"/>
            <w:vAlign w:val="bottom"/>
          </w:tcPr>
          <w:p>
            <w:pPr>
              <w:spacing w:after="0" w:line="195"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3.</w:t>
              </w:r>
            </w:hyperlink>
          </w:p>
        </w:tc>
        <w:tc>
          <w:tcPr>
            <w:tcW w:w="180" w:type="dxa"/>
            <w:vAlign w:val="bottom"/>
            <w:gridSpan w:val="4"/>
          </w:tcPr>
          <w:p>
            <w:pPr>
              <w:spacing w:after="0"/>
              <w:rPr>
                <w:sz w:val="16"/>
                <w:szCs w:val="16"/>
                <w:color w:val="auto"/>
              </w:rPr>
            </w:pPr>
          </w:p>
        </w:tc>
        <w:tc>
          <w:tcPr>
            <w:tcW w:w="7540" w:type="dxa"/>
            <w:vAlign w:val="bottom"/>
            <w:gridSpan w:val="24"/>
          </w:tcPr>
          <w:p>
            <w:pPr>
              <w:spacing w:after="0" w:line="195"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63</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520" w:type="dxa"/>
            <w:vAlign w:val="bottom"/>
            <w:tcBorders>
              <w:bottom w:val="single" w:sz="8" w:color="0000EE"/>
            </w:tcBorders>
          </w:tcPr>
          <w:p>
            <w:pPr>
              <w:spacing w:after="0" w:line="195"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4.</w:t>
              </w:r>
            </w:hyperlink>
          </w:p>
        </w:tc>
        <w:tc>
          <w:tcPr>
            <w:tcW w:w="180" w:type="dxa"/>
            <w:vAlign w:val="bottom"/>
            <w:gridSpan w:val="4"/>
          </w:tcPr>
          <w:p>
            <w:pPr>
              <w:spacing w:after="0"/>
              <w:rPr>
                <w:sz w:val="16"/>
                <w:szCs w:val="16"/>
                <w:color w:val="auto"/>
              </w:rPr>
            </w:pPr>
          </w:p>
        </w:tc>
        <w:tc>
          <w:tcPr>
            <w:tcW w:w="1740" w:type="dxa"/>
            <w:vAlign w:val="bottom"/>
            <w:tcBorders>
              <w:bottom w:val="single" w:sz="8" w:color="0000EE"/>
            </w:tcBorders>
            <w:gridSpan w:val="9"/>
          </w:tcPr>
          <w:p>
            <w:pPr>
              <w:spacing w:after="0" w:line="195"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Mine Safety Disclosures</w:t>
              </w:r>
            </w:hyperlink>
          </w:p>
        </w:tc>
        <w:tc>
          <w:tcPr>
            <w:tcW w:w="5800" w:type="dxa"/>
            <w:vAlign w:val="bottom"/>
            <w:gridSpan w:val="15"/>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63</w:t>
            </w:r>
          </w:p>
        </w:tc>
      </w:tr>
      <w:tr>
        <w:trPr>
          <w:trHeight w:val="195"/>
        </w:trPr>
        <w:tc>
          <w:tcPr>
            <w:tcW w:w="660" w:type="dxa"/>
            <w:vAlign w:val="bottom"/>
            <w:tcBorders>
              <w:bottom w:val="single" w:sz="8" w:color="0000EE"/>
            </w:tcBorders>
            <w:gridSpan w:val="4"/>
          </w:tcPr>
          <w:p>
            <w:pPr>
              <w:spacing w:after="0" w:line="195" w:lineRule="exact"/>
              <w:rPr>
                <w:rFonts w:ascii="Arial" w:cs="Arial" w:eastAsia="Arial" w:hAnsi="Arial"/>
                <w:sz w:val="18"/>
                <w:szCs w:val="18"/>
                <w:b w:val="1"/>
                <w:bCs w:val="1"/>
                <w:color w:val="0000EE"/>
                <w:w w:val="99"/>
              </w:rPr>
            </w:pPr>
            <w:hyperlink w:anchor="page64">
              <w:r>
                <w:rPr>
                  <w:rFonts w:ascii="Arial" w:cs="Arial" w:eastAsia="Arial" w:hAnsi="Arial"/>
                  <w:sz w:val="18"/>
                  <w:szCs w:val="18"/>
                  <w:b w:val="1"/>
                  <w:bCs w:val="1"/>
                  <w:color w:val="0000EE"/>
                  <w:w w:val="99"/>
                </w:rPr>
                <w:t>PART II</w:t>
              </w:r>
            </w:hyperlink>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95"/>
        </w:trPr>
        <w:tc>
          <w:tcPr>
            <w:tcW w:w="520" w:type="dxa"/>
            <w:vAlign w:val="bottom"/>
          </w:tcPr>
          <w:p>
            <w:pPr>
              <w:spacing w:after="0" w:line="195"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Item 5.</w:t>
              </w:r>
            </w:hyperlink>
          </w:p>
        </w:tc>
        <w:tc>
          <w:tcPr>
            <w:tcW w:w="180" w:type="dxa"/>
            <w:vAlign w:val="bottom"/>
            <w:gridSpan w:val="4"/>
          </w:tcPr>
          <w:p>
            <w:pPr>
              <w:spacing w:after="0"/>
              <w:rPr>
                <w:sz w:val="16"/>
                <w:szCs w:val="16"/>
                <w:color w:val="auto"/>
              </w:rPr>
            </w:pPr>
          </w:p>
        </w:tc>
        <w:tc>
          <w:tcPr>
            <w:tcW w:w="7540" w:type="dxa"/>
            <w:vAlign w:val="bottom"/>
            <w:gridSpan w:val="24"/>
          </w:tcPr>
          <w:p>
            <w:pPr>
              <w:spacing w:after="0" w:line="195"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Market for Registrant’s Common Equity, Related Stockholder Matters and Issuers Purchases of Equity</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64</w:t>
            </w:r>
          </w:p>
        </w:tc>
      </w:tr>
      <w:tr>
        <w:trPr>
          <w:trHeight w:val="195"/>
        </w:trPr>
        <w:tc>
          <w:tcPr>
            <w:tcW w:w="5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340" w:type="dxa"/>
            <w:vAlign w:val="bottom"/>
            <w:tcBorders>
              <w:top w:val="single" w:sz="8" w:color="0000EE"/>
            </w:tcBorders>
            <w:gridSpan w:val="23"/>
          </w:tcPr>
          <w:p>
            <w:pPr>
              <w:spacing w:after="0" w:line="195" w:lineRule="exact"/>
              <w:rPr>
                <w:rFonts w:ascii="Arial" w:cs="Arial" w:eastAsia="Arial" w:hAnsi="Arial"/>
                <w:sz w:val="18"/>
                <w:szCs w:val="18"/>
                <w:color w:val="0000EE"/>
              </w:rPr>
            </w:pPr>
            <w:hyperlink w:anchor="page64">
              <w:r>
                <w:rPr>
                  <w:rFonts w:ascii="Arial" w:cs="Arial" w:eastAsia="Arial" w:hAnsi="Arial"/>
                  <w:sz w:val="18"/>
                  <w:szCs w:val="18"/>
                  <w:color w:val="0000EE"/>
                </w:rPr>
                <w:t>Securities</w:t>
              </w:r>
            </w:hyperlink>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
        </w:trPr>
        <w:tc>
          <w:tcPr>
            <w:tcW w:w="580" w:type="dxa"/>
            <w:vAlign w:val="bottom"/>
            <w:gridSpan w:val="2"/>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520" w:type="dxa"/>
            <w:vAlign w:val="bottom"/>
            <w:tcBorders>
              <w:bottom w:val="single" w:sz="8" w:color="0000EE"/>
            </w:tcBorders>
          </w:tcPr>
          <w:p>
            <w:pPr>
              <w:spacing w:after="0" w:line="195"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Item 6.</w:t>
              </w:r>
            </w:hyperlink>
          </w:p>
        </w:tc>
        <w:tc>
          <w:tcPr>
            <w:tcW w:w="180" w:type="dxa"/>
            <w:vAlign w:val="bottom"/>
            <w:gridSpan w:val="4"/>
          </w:tcPr>
          <w:p>
            <w:pPr>
              <w:spacing w:after="0"/>
              <w:rPr>
                <w:sz w:val="16"/>
                <w:szCs w:val="16"/>
                <w:color w:val="auto"/>
              </w:rPr>
            </w:pPr>
          </w:p>
        </w:tc>
        <w:tc>
          <w:tcPr>
            <w:tcW w:w="1680" w:type="dxa"/>
            <w:vAlign w:val="bottom"/>
            <w:tcBorders>
              <w:bottom w:val="single" w:sz="8" w:color="0000EE"/>
            </w:tcBorders>
            <w:gridSpan w:val="8"/>
          </w:tcPr>
          <w:p>
            <w:pPr>
              <w:spacing w:after="0" w:line="195"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Selected Financial Data</w:t>
              </w:r>
            </w:hyperlink>
          </w:p>
        </w:tc>
        <w:tc>
          <w:tcPr>
            <w:tcW w:w="5860" w:type="dxa"/>
            <w:vAlign w:val="bottom"/>
            <w:gridSpan w:val="16"/>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66</w:t>
            </w:r>
          </w:p>
        </w:tc>
      </w:tr>
      <w:tr>
        <w:trPr>
          <w:trHeight w:val="195"/>
        </w:trPr>
        <w:tc>
          <w:tcPr>
            <w:tcW w:w="520" w:type="dxa"/>
            <w:vAlign w:val="bottom"/>
            <w:tcBorders>
              <w:bottom w:val="single" w:sz="8" w:color="0000EE"/>
            </w:tcBorders>
          </w:tcPr>
          <w:p>
            <w:pPr>
              <w:spacing w:after="0" w:line="195"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7.</w:t>
              </w:r>
            </w:hyperlink>
          </w:p>
        </w:tc>
        <w:tc>
          <w:tcPr>
            <w:tcW w:w="180" w:type="dxa"/>
            <w:vAlign w:val="bottom"/>
            <w:gridSpan w:val="4"/>
          </w:tcPr>
          <w:p>
            <w:pPr>
              <w:spacing w:after="0"/>
              <w:rPr>
                <w:sz w:val="16"/>
                <w:szCs w:val="16"/>
                <w:color w:val="auto"/>
              </w:rPr>
            </w:pPr>
          </w:p>
        </w:tc>
        <w:tc>
          <w:tcPr>
            <w:tcW w:w="642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Management’s Discussion and Analysis of Financial Condition and Results of Operations</w:t>
              </w:r>
            </w:hyperlink>
          </w:p>
        </w:tc>
        <w:tc>
          <w:tcPr>
            <w:tcW w:w="1120" w:type="dxa"/>
            <w:vAlign w:val="bottom"/>
            <w:gridSpan w:val="4"/>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67</w:t>
            </w:r>
          </w:p>
        </w:tc>
      </w:tr>
      <w:tr>
        <w:trPr>
          <w:trHeight w:val="195"/>
        </w:trPr>
        <w:tc>
          <w:tcPr>
            <w:tcW w:w="640" w:type="dxa"/>
            <w:vAlign w:val="bottom"/>
            <w:gridSpan w:val="3"/>
          </w:tcPr>
          <w:p>
            <w:pPr>
              <w:spacing w:after="0" w:line="195"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Item 7A.</w:t>
              </w:r>
            </w:hyperlink>
          </w:p>
        </w:tc>
        <w:tc>
          <w:tcPr>
            <w:tcW w:w="60" w:type="dxa"/>
            <w:vAlign w:val="bottom"/>
            <w:gridSpan w:val="2"/>
          </w:tcPr>
          <w:p>
            <w:pPr>
              <w:spacing w:after="0"/>
              <w:rPr>
                <w:sz w:val="16"/>
                <w:szCs w:val="16"/>
                <w:color w:val="auto"/>
              </w:rPr>
            </w:pPr>
          </w:p>
        </w:tc>
        <w:tc>
          <w:tcPr>
            <w:tcW w:w="7540" w:type="dxa"/>
            <w:vAlign w:val="bottom"/>
            <w:gridSpan w:val="24"/>
          </w:tcPr>
          <w:p>
            <w:pPr>
              <w:spacing w:after="0" w:line="195" w:lineRule="exact"/>
              <w:rPr>
                <w:rFonts w:ascii="Arial" w:cs="Arial" w:eastAsia="Arial" w:hAnsi="Arial"/>
                <w:sz w:val="18"/>
                <w:szCs w:val="18"/>
                <w:color w:val="0000EE"/>
              </w:rPr>
            </w:pPr>
            <w:hyperlink w:anchor="page79">
              <w:r>
                <w:rPr>
                  <w:rFonts w:ascii="Arial" w:cs="Arial" w:eastAsia="Arial" w:hAnsi="Arial"/>
                  <w:sz w:val="18"/>
                  <w:szCs w:val="18"/>
                  <w:color w:val="0000EE"/>
                </w:rPr>
                <w:t>Quantitative and Qualitative Disclosures About Market Risk</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79</w:t>
            </w:r>
          </w:p>
        </w:tc>
      </w:tr>
      <w:tr>
        <w:trPr>
          <w:trHeight w:val="195"/>
        </w:trPr>
        <w:tc>
          <w:tcPr>
            <w:tcW w:w="520" w:type="dxa"/>
            <w:vAlign w:val="bottom"/>
            <w:tcBorders>
              <w:top w:val="single" w:sz="8" w:color="0000EE"/>
            </w:tcBorders>
          </w:tcPr>
          <w:p>
            <w:pPr>
              <w:spacing w:after="0" w:line="195"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Item 8.</w:t>
              </w:r>
            </w:hyperlink>
          </w:p>
        </w:tc>
        <w:tc>
          <w:tcPr>
            <w:tcW w:w="120" w:type="dxa"/>
            <w:vAlign w:val="bottom"/>
            <w:tcBorders>
              <w:top w:val="single" w:sz="8" w:color="0000EE"/>
            </w:tcBorders>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4320" w:type="dxa"/>
            <w:vAlign w:val="bottom"/>
            <w:tcBorders>
              <w:top w:val="single" w:sz="8" w:color="0000EE"/>
            </w:tcBorders>
            <w:gridSpan w:val="18"/>
          </w:tcPr>
          <w:p>
            <w:pPr>
              <w:spacing w:after="0" w:line="195"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Financial Statements and Supplementary Data</w:t>
              </w:r>
            </w:hyperlink>
          </w:p>
        </w:tc>
        <w:tc>
          <w:tcPr>
            <w:tcW w:w="3220" w:type="dxa"/>
            <w:vAlign w:val="bottom"/>
            <w:gridSpan w:val="6"/>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80</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520" w:type="dxa"/>
            <w:vAlign w:val="bottom"/>
          </w:tcPr>
          <w:p>
            <w:pPr>
              <w:spacing w:after="0" w:line="195"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Item 9.</w:t>
              </w:r>
            </w:hyperlink>
          </w:p>
        </w:tc>
        <w:tc>
          <w:tcPr>
            <w:tcW w:w="180" w:type="dxa"/>
            <w:vAlign w:val="bottom"/>
            <w:gridSpan w:val="4"/>
          </w:tcPr>
          <w:p>
            <w:pPr>
              <w:spacing w:after="0"/>
              <w:rPr>
                <w:sz w:val="16"/>
                <w:szCs w:val="16"/>
                <w:color w:val="auto"/>
              </w:rPr>
            </w:pPr>
          </w:p>
        </w:tc>
        <w:tc>
          <w:tcPr>
            <w:tcW w:w="7540" w:type="dxa"/>
            <w:vAlign w:val="bottom"/>
            <w:gridSpan w:val="24"/>
          </w:tcPr>
          <w:p>
            <w:pPr>
              <w:spacing w:after="0" w:line="195" w:lineRule="exact"/>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80</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640" w:type="dxa"/>
            <w:vAlign w:val="bottom"/>
            <w:tcBorders>
              <w:bottom w:val="single" w:sz="8" w:color="0000EE"/>
            </w:tcBorders>
            <w:gridSpan w:val="3"/>
          </w:tcPr>
          <w:p>
            <w:pPr>
              <w:spacing w:after="0" w:line="195"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Item 9A.</w:t>
              </w:r>
            </w:hyperlink>
          </w:p>
        </w:tc>
        <w:tc>
          <w:tcPr>
            <w:tcW w:w="60" w:type="dxa"/>
            <w:vAlign w:val="bottom"/>
            <w:gridSpan w:val="2"/>
          </w:tcPr>
          <w:p>
            <w:pPr>
              <w:spacing w:after="0"/>
              <w:rPr>
                <w:sz w:val="16"/>
                <w:szCs w:val="16"/>
                <w:color w:val="auto"/>
              </w:rPr>
            </w:pPr>
          </w:p>
        </w:tc>
        <w:tc>
          <w:tcPr>
            <w:tcW w:w="1740" w:type="dxa"/>
            <w:vAlign w:val="bottom"/>
            <w:tcBorders>
              <w:bottom w:val="single" w:sz="8" w:color="0000EE"/>
            </w:tcBorders>
            <w:gridSpan w:val="9"/>
          </w:tcPr>
          <w:p>
            <w:pPr>
              <w:spacing w:after="0" w:line="195" w:lineRule="exact"/>
              <w:rPr>
                <w:rFonts w:ascii="Arial" w:cs="Arial" w:eastAsia="Arial" w:hAnsi="Arial"/>
                <w:sz w:val="18"/>
                <w:szCs w:val="18"/>
                <w:color w:val="0000EE"/>
                <w:w w:val="86"/>
              </w:rPr>
            </w:pPr>
            <w:hyperlink w:anchor="page80">
              <w:r>
                <w:rPr>
                  <w:rFonts w:ascii="Arial" w:cs="Arial" w:eastAsia="Arial" w:hAnsi="Arial"/>
                  <w:sz w:val="18"/>
                  <w:szCs w:val="18"/>
                  <w:color w:val="0000EE"/>
                  <w:w w:val="86"/>
                </w:rPr>
                <w:t>Controls and Procedures</w:t>
              </w:r>
            </w:hyperlink>
          </w:p>
        </w:tc>
        <w:tc>
          <w:tcPr>
            <w:tcW w:w="5800" w:type="dxa"/>
            <w:vAlign w:val="bottom"/>
            <w:gridSpan w:val="15"/>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80</w:t>
            </w:r>
          </w:p>
        </w:tc>
      </w:tr>
      <w:tr>
        <w:trPr>
          <w:trHeight w:val="195"/>
        </w:trPr>
        <w:tc>
          <w:tcPr>
            <w:tcW w:w="580" w:type="dxa"/>
            <w:vAlign w:val="bottom"/>
            <w:gridSpan w:val="2"/>
          </w:tcPr>
          <w:p>
            <w:pPr>
              <w:spacing w:after="0" w:line="195" w:lineRule="exact"/>
              <w:rPr>
                <w:rFonts w:ascii="Arial" w:cs="Arial" w:eastAsia="Arial" w:hAnsi="Arial"/>
                <w:sz w:val="18"/>
                <w:szCs w:val="18"/>
                <w:color w:val="0000EE"/>
                <w:w w:val="80"/>
              </w:rPr>
            </w:pPr>
            <w:hyperlink w:anchor="page81">
              <w:r>
                <w:rPr>
                  <w:rFonts w:ascii="Arial" w:cs="Arial" w:eastAsia="Arial" w:hAnsi="Arial"/>
                  <w:sz w:val="18"/>
                  <w:szCs w:val="18"/>
                  <w:color w:val="0000EE"/>
                  <w:w w:val="80"/>
                </w:rPr>
                <w:t>Item 9B.</w:t>
              </w:r>
            </w:hyperlink>
          </w:p>
        </w:tc>
        <w:tc>
          <w:tcPr>
            <w:tcW w:w="120" w:type="dxa"/>
            <w:vAlign w:val="bottom"/>
            <w:gridSpan w:val="3"/>
          </w:tcPr>
          <w:p>
            <w:pPr>
              <w:spacing w:after="0"/>
              <w:rPr>
                <w:sz w:val="16"/>
                <w:szCs w:val="16"/>
                <w:color w:val="auto"/>
              </w:rPr>
            </w:pPr>
          </w:p>
        </w:tc>
        <w:tc>
          <w:tcPr>
            <w:tcW w:w="7540" w:type="dxa"/>
            <w:vAlign w:val="bottom"/>
            <w:gridSpan w:val="24"/>
          </w:tcPr>
          <w:p>
            <w:pPr>
              <w:spacing w:after="0" w:line="195"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81</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700" w:type="dxa"/>
            <w:vAlign w:val="bottom"/>
            <w:tcBorders>
              <w:bottom w:val="single" w:sz="8" w:color="0000EE"/>
            </w:tcBorders>
            <w:gridSpan w:val="5"/>
          </w:tcPr>
          <w:p>
            <w:pPr>
              <w:spacing w:after="0" w:line="195" w:lineRule="exact"/>
              <w:rPr>
                <w:rFonts w:ascii="Arial" w:cs="Arial" w:eastAsia="Arial" w:hAnsi="Arial"/>
                <w:sz w:val="18"/>
                <w:szCs w:val="18"/>
                <w:b w:val="1"/>
                <w:bCs w:val="1"/>
                <w:color w:val="0000EE"/>
                <w:w w:val="95"/>
              </w:rPr>
            </w:pPr>
            <w:hyperlink w:anchor="page82">
              <w:r>
                <w:rPr>
                  <w:rFonts w:ascii="Arial" w:cs="Arial" w:eastAsia="Arial" w:hAnsi="Arial"/>
                  <w:sz w:val="18"/>
                  <w:szCs w:val="18"/>
                  <w:b w:val="1"/>
                  <w:bCs w:val="1"/>
                  <w:color w:val="0000EE"/>
                  <w:w w:val="95"/>
                </w:rPr>
                <w:t>PART III</w:t>
              </w:r>
            </w:hyperlink>
          </w:p>
        </w:tc>
        <w:tc>
          <w:tcPr>
            <w:tcW w:w="7540" w:type="dxa"/>
            <w:vAlign w:val="bottom"/>
            <w:gridSpan w:val="24"/>
          </w:tcPr>
          <w:p>
            <w:pPr>
              <w:spacing w:after="0"/>
              <w:rPr>
                <w:sz w:val="16"/>
                <w:szCs w:val="16"/>
                <w:color w:val="auto"/>
              </w:rPr>
            </w:pPr>
          </w:p>
        </w:tc>
        <w:tc>
          <w:tcPr>
            <w:tcW w:w="480" w:type="dxa"/>
            <w:vAlign w:val="bottom"/>
          </w:tcPr>
          <w:p>
            <w:pPr>
              <w:spacing w:after="0"/>
              <w:rPr>
                <w:sz w:val="16"/>
                <w:szCs w:val="16"/>
                <w:color w:val="auto"/>
              </w:rPr>
            </w:pPr>
          </w:p>
        </w:tc>
      </w:tr>
      <w:tr>
        <w:trPr>
          <w:trHeight w:val="195"/>
        </w:trPr>
        <w:tc>
          <w:tcPr>
            <w:tcW w:w="700" w:type="dxa"/>
            <w:vAlign w:val="bottom"/>
            <w:gridSpan w:val="5"/>
          </w:tcPr>
          <w:p>
            <w:pPr>
              <w:spacing w:after="0" w:line="195" w:lineRule="exact"/>
              <w:rPr>
                <w:rFonts w:ascii="Arial" w:cs="Arial" w:eastAsia="Arial" w:hAnsi="Arial"/>
                <w:sz w:val="18"/>
                <w:szCs w:val="18"/>
                <w:color w:val="0000EE"/>
              </w:rPr>
            </w:pPr>
            <w:hyperlink w:anchor="page82">
              <w:r>
                <w:rPr>
                  <w:rFonts w:ascii="Arial" w:cs="Arial" w:eastAsia="Arial" w:hAnsi="Arial"/>
                  <w:sz w:val="18"/>
                  <w:szCs w:val="18"/>
                  <w:color w:val="0000EE"/>
                </w:rPr>
                <w:t>Item 10.</w:t>
              </w:r>
            </w:hyperlink>
          </w:p>
        </w:tc>
        <w:tc>
          <w:tcPr>
            <w:tcW w:w="7540" w:type="dxa"/>
            <w:vAlign w:val="bottom"/>
            <w:gridSpan w:val="24"/>
          </w:tcPr>
          <w:p>
            <w:pPr>
              <w:spacing w:after="0" w:line="195" w:lineRule="exact"/>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82</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700" w:type="dxa"/>
            <w:vAlign w:val="bottom"/>
            <w:gridSpan w:val="5"/>
          </w:tcPr>
          <w:p>
            <w:pPr>
              <w:spacing w:after="0" w:line="195" w:lineRule="exact"/>
              <w:rPr>
                <w:rFonts w:ascii="Arial" w:cs="Arial" w:eastAsia="Arial" w:hAnsi="Arial"/>
                <w:sz w:val="18"/>
                <w:szCs w:val="18"/>
                <w:color w:val="0000EE"/>
              </w:rPr>
            </w:pPr>
            <w:hyperlink w:anchor="page85">
              <w:r>
                <w:rPr>
                  <w:rFonts w:ascii="Arial" w:cs="Arial" w:eastAsia="Arial" w:hAnsi="Arial"/>
                  <w:sz w:val="18"/>
                  <w:szCs w:val="18"/>
                  <w:color w:val="0000EE"/>
                </w:rPr>
                <w:t>Item 11.</w:t>
              </w:r>
            </w:hyperlink>
          </w:p>
        </w:tc>
        <w:tc>
          <w:tcPr>
            <w:tcW w:w="7540" w:type="dxa"/>
            <w:vAlign w:val="bottom"/>
            <w:gridSpan w:val="24"/>
          </w:tcPr>
          <w:p>
            <w:pPr>
              <w:spacing w:after="0" w:line="195" w:lineRule="exact"/>
              <w:rPr>
                <w:rFonts w:ascii="Arial" w:cs="Arial" w:eastAsia="Arial" w:hAnsi="Arial"/>
                <w:sz w:val="18"/>
                <w:szCs w:val="18"/>
                <w:color w:val="0000EE"/>
              </w:rPr>
            </w:pPr>
            <w:hyperlink w:anchor="page85">
              <w:r>
                <w:rPr>
                  <w:rFonts w:ascii="Arial" w:cs="Arial" w:eastAsia="Arial" w:hAnsi="Arial"/>
                  <w:sz w:val="18"/>
                  <w:szCs w:val="18"/>
                  <w:color w:val="0000EE"/>
                </w:rPr>
                <w:t>Executive Compensation</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85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700" w:type="dxa"/>
            <w:vAlign w:val="bottom"/>
            <w:gridSpan w:val="5"/>
          </w:tcPr>
          <w:p>
            <w:pPr>
              <w:spacing w:after="0" w:line="195" w:lineRule="exact"/>
              <w:rPr>
                <w:rFonts w:ascii="Arial" w:cs="Arial" w:eastAsia="Arial" w:hAnsi="Arial"/>
                <w:sz w:val="18"/>
                <w:szCs w:val="18"/>
                <w:color w:val="0000EE"/>
              </w:rPr>
            </w:pPr>
            <w:hyperlink w:anchor="page92">
              <w:r>
                <w:rPr>
                  <w:rFonts w:ascii="Arial" w:cs="Arial" w:eastAsia="Arial" w:hAnsi="Arial"/>
                  <w:sz w:val="18"/>
                  <w:szCs w:val="18"/>
                  <w:color w:val="0000EE"/>
                </w:rPr>
                <w:t>Item 12.</w:t>
              </w:r>
            </w:hyperlink>
          </w:p>
        </w:tc>
        <w:tc>
          <w:tcPr>
            <w:tcW w:w="7540" w:type="dxa"/>
            <w:vAlign w:val="bottom"/>
            <w:gridSpan w:val="24"/>
          </w:tcPr>
          <w:p>
            <w:pPr>
              <w:spacing w:after="0" w:line="195"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Security Ownership of Certain Beneficial Owners and Management and Related Stockholder Matters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92</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700" w:type="dxa"/>
            <w:vAlign w:val="bottom"/>
            <w:gridSpan w:val="5"/>
          </w:tcPr>
          <w:p>
            <w:pPr>
              <w:spacing w:after="0" w:line="195" w:lineRule="exact"/>
              <w:rPr>
                <w:rFonts w:ascii="Arial" w:cs="Arial" w:eastAsia="Arial" w:hAnsi="Arial"/>
                <w:sz w:val="18"/>
                <w:szCs w:val="18"/>
                <w:color w:val="0000EE"/>
              </w:rPr>
            </w:pPr>
            <w:hyperlink w:anchor="page94">
              <w:r>
                <w:rPr>
                  <w:rFonts w:ascii="Arial" w:cs="Arial" w:eastAsia="Arial" w:hAnsi="Arial"/>
                  <w:sz w:val="18"/>
                  <w:szCs w:val="18"/>
                  <w:color w:val="0000EE"/>
                </w:rPr>
                <w:t>Item 13.</w:t>
              </w:r>
            </w:hyperlink>
          </w:p>
        </w:tc>
        <w:tc>
          <w:tcPr>
            <w:tcW w:w="7540" w:type="dxa"/>
            <w:vAlign w:val="bottom"/>
            <w:gridSpan w:val="24"/>
          </w:tcPr>
          <w:p>
            <w:pPr>
              <w:spacing w:after="0" w:line="195" w:lineRule="exact"/>
              <w:rPr>
                <w:rFonts w:ascii="Arial" w:cs="Arial" w:eastAsia="Arial" w:hAnsi="Arial"/>
                <w:sz w:val="18"/>
                <w:szCs w:val="18"/>
                <w:color w:val="0000EE"/>
              </w:rPr>
            </w:pPr>
            <w:hyperlink w:anchor="page94">
              <w:r>
                <w:rPr>
                  <w:rFonts w:ascii="Arial" w:cs="Arial" w:eastAsia="Arial" w:hAnsi="Arial"/>
                  <w:sz w:val="18"/>
                  <w:szCs w:val="18"/>
                  <w:color w:val="0000EE"/>
                </w:rPr>
                <w:t>Certain Relationships and Related Transactions, and Director Independence</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94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700" w:type="dxa"/>
            <w:vAlign w:val="bottom"/>
            <w:gridSpan w:val="5"/>
          </w:tcPr>
          <w:p>
            <w:pPr>
              <w:spacing w:after="0" w:line="195" w:lineRule="exact"/>
              <w:rPr>
                <w:rFonts w:ascii="Arial" w:cs="Arial" w:eastAsia="Arial" w:hAnsi="Arial"/>
                <w:sz w:val="18"/>
                <w:szCs w:val="18"/>
                <w:color w:val="0000EE"/>
              </w:rPr>
            </w:pPr>
            <w:hyperlink w:anchor="page96">
              <w:r>
                <w:rPr>
                  <w:rFonts w:ascii="Arial" w:cs="Arial" w:eastAsia="Arial" w:hAnsi="Arial"/>
                  <w:sz w:val="18"/>
                  <w:szCs w:val="18"/>
                  <w:color w:val="0000EE"/>
                </w:rPr>
                <w:t>Item 14.</w:t>
              </w:r>
            </w:hyperlink>
          </w:p>
        </w:tc>
        <w:tc>
          <w:tcPr>
            <w:tcW w:w="7540" w:type="dxa"/>
            <w:vAlign w:val="bottom"/>
            <w:gridSpan w:val="24"/>
          </w:tcPr>
          <w:p>
            <w:pPr>
              <w:spacing w:after="0" w:line="195" w:lineRule="exact"/>
              <w:rPr>
                <w:rFonts w:ascii="Arial" w:cs="Arial" w:eastAsia="Arial" w:hAnsi="Arial"/>
                <w:sz w:val="18"/>
                <w:szCs w:val="18"/>
                <w:color w:val="0000EE"/>
              </w:rPr>
            </w:pPr>
            <w:hyperlink w:anchor="page96">
              <w:r>
                <w:rPr>
                  <w:rFonts w:ascii="Arial" w:cs="Arial" w:eastAsia="Arial" w:hAnsi="Arial"/>
                  <w:sz w:val="18"/>
                  <w:szCs w:val="18"/>
                  <w:color w:val="0000EE"/>
                </w:rPr>
                <w:t>Principal Accountant Fees and Services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96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8240" w:type="dxa"/>
            <w:vAlign w:val="bottom"/>
            <w:gridSpan w:val="29"/>
          </w:tcPr>
          <w:p>
            <w:pPr>
              <w:spacing w:after="0" w:line="195" w:lineRule="exact"/>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PART IV</w:t>
              </w:r>
            </w:hyperlink>
          </w:p>
        </w:tc>
        <w:tc>
          <w:tcPr>
            <w:tcW w:w="480" w:type="dxa"/>
            <w:vAlign w:val="bottom"/>
          </w:tcPr>
          <w:p>
            <w:pPr>
              <w:spacing w:after="0"/>
              <w:rPr>
                <w:sz w:val="16"/>
                <w:szCs w:val="16"/>
                <w:color w:val="auto"/>
              </w:rPr>
            </w:pPr>
          </w:p>
        </w:tc>
      </w:tr>
      <w:tr>
        <w:trPr>
          <w:trHeight w:val="20"/>
        </w:trPr>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44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700" w:type="dxa"/>
            <w:vAlign w:val="bottom"/>
            <w:gridSpan w:val="5"/>
          </w:tcPr>
          <w:p>
            <w:pPr>
              <w:spacing w:after="0" w:line="195" w:lineRule="exact"/>
              <w:rPr>
                <w:rFonts w:ascii="Arial" w:cs="Arial" w:eastAsia="Arial" w:hAnsi="Arial"/>
                <w:sz w:val="18"/>
                <w:szCs w:val="18"/>
                <w:color w:val="0000EE"/>
              </w:rPr>
            </w:pPr>
            <w:hyperlink w:anchor="page97">
              <w:r>
                <w:rPr>
                  <w:rFonts w:ascii="Arial" w:cs="Arial" w:eastAsia="Arial" w:hAnsi="Arial"/>
                  <w:sz w:val="18"/>
                  <w:szCs w:val="18"/>
                  <w:color w:val="0000EE"/>
                </w:rPr>
                <w:t>Item 15.</w:t>
              </w:r>
            </w:hyperlink>
          </w:p>
        </w:tc>
        <w:tc>
          <w:tcPr>
            <w:tcW w:w="7540" w:type="dxa"/>
            <w:vAlign w:val="bottom"/>
            <w:gridSpan w:val="24"/>
          </w:tcPr>
          <w:p>
            <w:pPr>
              <w:spacing w:after="0" w:line="195" w:lineRule="exact"/>
              <w:rPr>
                <w:rFonts w:ascii="Arial" w:cs="Arial" w:eastAsia="Arial" w:hAnsi="Arial"/>
                <w:sz w:val="18"/>
                <w:szCs w:val="18"/>
                <w:color w:val="0000EE"/>
              </w:rPr>
            </w:pPr>
            <w:hyperlink w:anchor="page97">
              <w:r>
                <w:rPr>
                  <w:rFonts w:ascii="Arial" w:cs="Arial" w:eastAsia="Arial" w:hAnsi="Arial"/>
                  <w:sz w:val="18"/>
                  <w:szCs w:val="18"/>
                  <w:color w:val="0000EE"/>
                </w:rPr>
                <w:t>Exhibits and Financial Statement Schedules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97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44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700" w:type="dxa"/>
            <w:vAlign w:val="bottom"/>
            <w:gridSpan w:val="5"/>
          </w:tcPr>
          <w:p>
            <w:pPr>
              <w:spacing w:after="0" w:line="195" w:lineRule="exact"/>
              <w:rPr>
                <w:rFonts w:ascii="Arial" w:cs="Arial" w:eastAsia="Arial" w:hAnsi="Arial"/>
                <w:sz w:val="18"/>
                <w:szCs w:val="18"/>
                <w:color w:val="0000EE"/>
              </w:rPr>
            </w:pPr>
            <w:hyperlink w:anchor="page97">
              <w:r>
                <w:rPr>
                  <w:rFonts w:ascii="Arial" w:cs="Arial" w:eastAsia="Arial" w:hAnsi="Arial"/>
                  <w:sz w:val="18"/>
                  <w:szCs w:val="18"/>
                  <w:color w:val="0000EE"/>
                </w:rPr>
                <w:t>Item 16.</w:t>
              </w:r>
            </w:hyperlink>
          </w:p>
        </w:tc>
        <w:tc>
          <w:tcPr>
            <w:tcW w:w="7540" w:type="dxa"/>
            <w:vAlign w:val="bottom"/>
            <w:gridSpan w:val="24"/>
          </w:tcPr>
          <w:p>
            <w:pPr>
              <w:spacing w:after="0" w:line="195" w:lineRule="exact"/>
              <w:rPr>
                <w:rFonts w:ascii="Arial" w:cs="Arial" w:eastAsia="Arial" w:hAnsi="Arial"/>
                <w:sz w:val="18"/>
                <w:szCs w:val="18"/>
                <w:color w:val="0000EE"/>
              </w:rPr>
            </w:pPr>
            <w:hyperlink w:anchor="page97">
              <w:r>
                <w:rPr>
                  <w:rFonts w:ascii="Arial" w:cs="Arial" w:eastAsia="Arial" w:hAnsi="Arial"/>
                  <w:sz w:val="18"/>
                  <w:szCs w:val="18"/>
                  <w:color w:val="0000EE"/>
                </w:rPr>
                <w:t>Form 10-K Summary</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97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60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8240" w:type="dxa"/>
            <w:vAlign w:val="bottom"/>
            <w:gridSpan w:val="29"/>
          </w:tcPr>
          <w:p>
            <w:pPr>
              <w:spacing w:after="0" w:line="195" w:lineRule="exact"/>
              <w:rPr>
                <w:rFonts w:ascii="Arial" w:cs="Arial" w:eastAsia="Arial" w:hAnsi="Arial"/>
                <w:sz w:val="18"/>
                <w:szCs w:val="18"/>
                <w:color w:val="0000EE"/>
              </w:rPr>
            </w:pPr>
            <w:hyperlink w:anchor="page98">
              <w:r>
                <w:rPr>
                  <w:rFonts w:ascii="Arial" w:cs="Arial" w:eastAsia="Arial" w:hAnsi="Arial"/>
                  <w:sz w:val="18"/>
                  <w:szCs w:val="18"/>
                  <w:color w:val="0000EE"/>
                </w:rPr>
                <w:t>SIGNATURES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98</w:t>
            </w:r>
          </w:p>
        </w:tc>
      </w:tr>
      <w:tr>
        <w:trPr>
          <w:trHeight w:val="895"/>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540" w:type="dxa"/>
            <w:vAlign w:val="bottom"/>
            <w:gridSpan w:val="14"/>
          </w:tcPr>
          <w:p>
            <w:pPr>
              <w:jc w:val="center"/>
              <w:ind w:left="291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28"/>
        </w:trPr>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107" w:right="1440" w:bottom="1440" w:gutter="0" w:footer="0" w:header="0"/>
        </w:sectPr>
      </w:pPr>
    </w:p>
    <w:bookmarkStart w:id="2" w:name="page3"/>
    <w:bookmarkEnd w:id="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28" w:lineRule="exact"/>
        <w:rPr>
          <w:sz w:val="20"/>
          <w:szCs w:val="20"/>
          <w:color w:val="auto"/>
        </w:rPr>
      </w:pPr>
    </w:p>
    <w:p>
      <w:pPr>
        <w:ind w:left="160" w:right="279" w:firstLine="646"/>
        <w:spacing w:after="0" w:line="267" w:lineRule="auto"/>
        <w:rPr>
          <w:sz w:val="20"/>
          <w:szCs w:val="20"/>
          <w:color w:val="auto"/>
        </w:rPr>
      </w:pPr>
      <w:r>
        <w:rPr>
          <w:rFonts w:ascii="Arial" w:cs="Arial" w:eastAsia="Arial" w:hAnsi="Arial"/>
          <w:sz w:val="17"/>
          <w:szCs w:val="17"/>
          <w:color w:val="auto"/>
        </w:rPr>
        <w:t>This Annual Report on Form 10-K contains forward-looking statements that involve substantial risks and uncertainties. All statements, other than statements related to present facts or current conditions or historical facts, contained in this Annual Report on Form 10-K, including statements regarding our strategy, future operations, future financial position, future revenues, projected costs, prospects, plans and objectives of management, are forward looking statements. Such statements relate to, among other things, the development of our product candidates, including duvelisib, defactinib (VS-6063), VS-4718 and VS-5584, and our FAK, PI3K, and mTOR programs generally, the timeline for clinical development and regulatory approval of our product candidates, the expected timing for the reporting of data from on-going trials, the structure of our planned or pending clinical trials, additional planned studies, our rights to develop or commercialize our product candidates and our ability to finance contemplated development activities and fund operations for a specified period.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188" w:lineRule="exact"/>
        <w:rPr>
          <w:sz w:val="20"/>
          <w:szCs w:val="20"/>
          <w:color w:val="auto"/>
        </w:rPr>
      </w:pPr>
    </w:p>
    <w:p>
      <w:pPr>
        <w:ind w:left="160" w:right="159" w:firstLine="646"/>
        <w:spacing w:after="0" w:line="284" w:lineRule="auto"/>
        <w:rPr>
          <w:sz w:val="20"/>
          <w:szCs w:val="20"/>
          <w:color w:val="auto"/>
        </w:rPr>
      </w:pPr>
      <w:r>
        <w:rPr>
          <w:rFonts w:ascii="Arial" w:cs="Arial" w:eastAsia="Arial" w:hAnsi="Arial"/>
          <w:sz w:val="16"/>
          <w:szCs w:val="16"/>
          <w:color w:val="auto"/>
        </w:rPr>
        <w:t>Forward-looking statements are not guarantees of future performance and our actual results could differ materially from the results discussed in the forward-looking statements we make. Factors that could cause actual results to differ materially from those in the forward-looking statements include, but are not limited to, our ability to raise additional capital to support our clinical development program and other operations, our ability to develop products of commercial value and to identify, discover and obtain rights to additional product candidates, our ability to protect and maintain our intellectual property and the ability of our licensors to obtain and maintain patent protection for the technology or products that we license from them, the fact that the preclinical and clinical testing of our product candidates and preliminary data from clinical trials may not be predictive of the success of ongoing or later clinical trials, that data may not be available when we expect it to be, that enrollment of clinical trials may take longer than expected, that our product candidates may cause unexpected safety events, that we will be unable to successfully initiate or complete the clinical development of our product candidates, including duvelisib, defactinib, VS-4718 and VS-5584, that development of our product candidates will take longer or cost more than planned, that we or Infinity Pharmaceuticals, Inc. (Infinity) will fail to fully perform under our license agreement for duvelisib, that the transition of the duvelisib program from Infinity will not be completed, our reliance on third-parties, competitive developments, the effect of current and future legislation and regulation and regulatory actions, as well as other risks described in this Annual Report on Form 10-K and other filings with the Securities and Exchange Commission (SEC).</w:t>
      </w:r>
    </w:p>
    <w:p>
      <w:pPr>
        <w:spacing w:after="0" w:line="177" w:lineRule="exact"/>
        <w:rPr>
          <w:sz w:val="20"/>
          <w:szCs w:val="20"/>
          <w:color w:val="auto"/>
        </w:rPr>
      </w:pPr>
    </w:p>
    <w:p>
      <w:pPr>
        <w:ind w:left="160" w:right="159" w:firstLine="646"/>
        <w:spacing w:after="0" w:line="274" w:lineRule="auto"/>
        <w:rPr>
          <w:sz w:val="20"/>
          <w:szCs w:val="20"/>
          <w:color w:val="auto"/>
        </w:rPr>
      </w:pPr>
      <w:r>
        <w:rPr>
          <w:rFonts w:ascii="Arial" w:cs="Arial" w:eastAsia="Arial" w:hAnsi="Arial"/>
          <w:sz w:val="17"/>
          <w:szCs w:val="17"/>
          <w:color w:val="auto"/>
        </w:rPr>
        <w:t>As a result of these and other factors,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We do not assume any obligation to update any forward-looking statements, whether as a result of new information, future events or otherwise, except as required by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 Business</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ind w:left="160" w:right="239" w:firstLine="646"/>
        <w:spacing w:after="0" w:line="253" w:lineRule="auto"/>
        <w:rPr>
          <w:sz w:val="20"/>
          <w:szCs w:val="20"/>
          <w:color w:val="auto"/>
        </w:rPr>
      </w:pPr>
      <w:r>
        <w:rPr>
          <w:rFonts w:ascii="Arial" w:cs="Arial" w:eastAsia="Arial" w:hAnsi="Arial"/>
          <w:sz w:val="18"/>
          <w:szCs w:val="18"/>
          <w:color w:val="auto"/>
        </w:rPr>
        <w:t>We are a biopharmaceutical company focused on discovering and developing drugs to improve outcomes for patients with cancer. Our most advanced product candidates, duvelisib and defactinib (VS-6063), utilize a multi-faceted approach to treat cancers originating either in the blood or major organ systems. We are currently evaluating these compounds in both preclinical and clinical studies as potential therapies for certain cancers, including leukemia, lymphoma, lung cancer, ovarian cancer, mesothelioma, and pancreatic cancer. We believe that these compounds may be beneficial as therapeutics either as single agents or when used in combination with immuno-oncology agents or other current and emerging standard of care treatments in aggressive cancers that are poorly served by currently available therapies.</w:t>
      </w:r>
    </w:p>
    <w:p>
      <w:pPr>
        <w:spacing w:after="0" w:line="192" w:lineRule="exact"/>
        <w:rPr>
          <w:sz w:val="20"/>
          <w:szCs w:val="20"/>
          <w:color w:val="auto"/>
        </w:rPr>
      </w:pPr>
    </w:p>
    <w:p>
      <w:pPr>
        <w:ind w:left="160" w:right="179" w:firstLine="646"/>
        <w:spacing w:after="0" w:line="253" w:lineRule="auto"/>
        <w:rPr>
          <w:sz w:val="20"/>
          <w:szCs w:val="20"/>
          <w:color w:val="auto"/>
        </w:rPr>
      </w:pPr>
      <w:r>
        <w:rPr>
          <w:rFonts w:ascii="Arial" w:cs="Arial" w:eastAsia="Arial" w:hAnsi="Arial"/>
          <w:sz w:val="18"/>
          <w:szCs w:val="18"/>
          <w:color w:val="auto"/>
        </w:rPr>
        <w:t xml:space="preserve">Duvelisib targets the Phosphoinositide 3-kinase (PI3K) and defactinib targets the Focal Adhesion Kinase (FAK) signaling pathways. The PI3K signaling pathway plays a central role in cancer proliferation and survival. Duvelisib is an investigational oral therapy designed to attack both malignant B-cells and T-cells and disrupt the tumor microenvironment to help thwart their growth and proliferation for patients with lymphatic cancers through the dual inhibition of PI3K delta and gamma. FAK is a non-receptor tyrosine kinase encoded by the </w:t>
      </w:r>
      <w:r>
        <w:rPr>
          <w:rFonts w:ascii="Arial" w:cs="Arial" w:eastAsia="Arial" w:hAnsi="Arial"/>
          <w:sz w:val="18"/>
          <w:szCs w:val="18"/>
          <w:i w:val="1"/>
          <w:iCs w:val="1"/>
          <w:color w:val="auto"/>
        </w:rPr>
        <w:t>PTK-2</w:t>
      </w:r>
      <w:r>
        <w:rPr>
          <w:rFonts w:ascii="Arial" w:cs="Arial" w:eastAsia="Arial" w:hAnsi="Arial"/>
          <w:sz w:val="18"/>
          <w:szCs w:val="18"/>
          <w:color w:val="auto"/>
        </w:rPr>
        <w:t xml:space="preserve"> gene that is involved in cellular adhesion and, in cancer, metastatic capability. Defactinib is a targeted inhibitor of the FAK signaling pathway. Similar to duvelisib, defactinib is also orally available and designed to be a potential therapy for patients to take at home under the advice of their physician.</w:t>
      </w:r>
    </w:p>
    <w:p>
      <w:pPr>
        <w:spacing w:after="0" w:line="192" w:lineRule="exact"/>
        <w:rPr>
          <w:sz w:val="20"/>
          <w:szCs w:val="20"/>
          <w:color w:val="auto"/>
        </w:rPr>
      </w:pPr>
    </w:p>
    <w:p>
      <w:pPr>
        <w:ind w:left="160" w:right="159" w:firstLine="646"/>
        <w:spacing w:after="0" w:line="258" w:lineRule="auto"/>
        <w:rPr>
          <w:sz w:val="20"/>
          <w:szCs w:val="20"/>
          <w:color w:val="auto"/>
        </w:rPr>
      </w:pPr>
      <w:r>
        <w:rPr>
          <w:rFonts w:ascii="Arial" w:cs="Arial" w:eastAsia="Arial" w:hAnsi="Arial"/>
          <w:sz w:val="18"/>
          <w:szCs w:val="18"/>
          <w:color w:val="auto"/>
        </w:rPr>
        <w:t>Duvelisib is currently being studied in the DUO™ study, which is a Phase 3, randomized, open-label, two-arm trial of duvelisib versus treatment with ofatumumab. This study will evaluate the safety and efficacy of duvelisib as compared to ofatumumab in approximately 300 patients with relapsed or refractory chronic lymphocytic leukemia (CLL) or small lymphocytic lymphoma (SLL).</w:t>
      </w:r>
    </w:p>
    <w:p>
      <w:pPr>
        <w:spacing w:after="0" w:line="187" w:lineRule="exact"/>
        <w:rPr>
          <w:sz w:val="20"/>
          <w:szCs w:val="20"/>
          <w:color w:val="auto"/>
        </w:rPr>
      </w:pPr>
    </w:p>
    <w:p>
      <w:pPr>
        <w:ind w:left="160" w:right="159" w:firstLine="646"/>
        <w:spacing w:after="0" w:line="258" w:lineRule="auto"/>
        <w:rPr>
          <w:sz w:val="20"/>
          <w:szCs w:val="20"/>
          <w:color w:val="auto"/>
        </w:rPr>
      </w:pPr>
      <w:r>
        <w:rPr>
          <w:rFonts w:ascii="Arial" w:cs="Arial" w:eastAsia="Arial" w:hAnsi="Arial"/>
          <w:sz w:val="18"/>
          <w:szCs w:val="18"/>
          <w:color w:val="auto"/>
        </w:rPr>
        <w:t>Duvelisib has successfully completed the Phase 2 DYNAMO™ study which is an open-label, single-arm trial of duvelisib that evaluated the safety and efficacy of duvelisib in 129 patients with refractory indolent non-Hodgkin lymphoma (iNHL). This study met its primary endpoint of overall response rate (ORR) and the majority of reported side effects were expected, reversible and clinically manageable.</w:t>
      </w:r>
    </w:p>
    <w:p>
      <w:pPr>
        <w:spacing w:after="0" w:line="187" w:lineRule="exact"/>
        <w:rPr>
          <w:sz w:val="20"/>
          <w:szCs w:val="20"/>
          <w:color w:val="auto"/>
        </w:rPr>
      </w:pPr>
    </w:p>
    <w:p>
      <w:pPr>
        <w:ind w:left="160" w:right="299" w:firstLine="646"/>
        <w:spacing w:after="0" w:line="254" w:lineRule="auto"/>
        <w:rPr>
          <w:sz w:val="20"/>
          <w:szCs w:val="20"/>
          <w:color w:val="auto"/>
        </w:rPr>
      </w:pPr>
      <w:r>
        <w:rPr>
          <w:rFonts w:ascii="Arial" w:cs="Arial" w:eastAsia="Arial" w:hAnsi="Arial"/>
          <w:sz w:val="18"/>
          <w:szCs w:val="18"/>
          <w:color w:val="auto"/>
        </w:rPr>
        <w:t>Defactinib is currently being evaluated in a Phase 1b study in combination with Merck &amp; Co.’s PD-1 inhibitor pembrolizumab and gemcitabine in patients with advanced pancreatic cancer, a Phase 1/2 clinical collaboration with Pfizer Inc. (Pfizer) and Merck KGaA to evaluate defactinib in combination with avelumab, an anti-PD-L1 antibody, in patients with ovarian cancer, and a Phase 1/2 study in collaboration with Cancer Research UK and Merck &amp; Co. for the combination of defactinib and pembrolizumab in patients with non-small cell lung cancer (NSCLC), mesothelioma or pancreatic cancer.</w:t>
      </w:r>
    </w:p>
    <w:p>
      <w:pPr>
        <w:spacing w:after="0" w:line="193" w:lineRule="exact"/>
        <w:rPr>
          <w:sz w:val="20"/>
          <w:szCs w:val="20"/>
          <w:color w:val="auto"/>
        </w:rPr>
      </w:pPr>
    </w:p>
    <w:p>
      <w:pPr>
        <w:ind w:left="160" w:right="459" w:firstLine="646"/>
        <w:spacing w:after="0" w:line="278" w:lineRule="auto"/>
        <w:rPr>
          <w:sz w:val="20"/>
          <w:szCs w:val="20"/>
          <w:color w:val="auto"/>
        </w:rPr>
      </w:pPr>
      <w:r>
        <w:rPr>
          <w:rFonts w:ascii="Arial" w:cs="Arial" w:eastAsia="Arial" w:hAnsi="Arial"/>
          <w:sz w:val="17"/>
          <w:szCs w:val="17"/>
          <w:color w:val="auto"/>
        </w:rPr>
        <w:t>In addition to duvelisib and defactinib, we have additional earlier-stage programs that have undergone preliminary clinical testing, including clinical trials of the FAK inhibitor VS-4718 and the PI3K/mTOR inhibitor VS-5584. Though both of these programs are slated to complete their Phase 1 testing, we have no plans for further development at this time as we focus most of our resources on duvelisib and defactinib.</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PROBLEM</w:t>
      </w:r>
    </w:p>
    <w:p>
      <w:pPr>
        <w:spacing w:after="0" w:line="228" w:lineRule="exact"/>
        <w:rPr>
          <w:sz w:val="20"/>
          <w:szCs w:val="20"/>
          <w:color w:val="auto"/>
        </w:rPr>
      </w:pPr>
    </w:p>
    <w:p>
      <w:pPr>
        <w:ind w:left="160" w:right="179" w:firstLine="646"/>
        <w:spacing w:after="0" w:line="269" w:lineRule="auto"/>
        <w:rPr>
          <w:sz w:val="20"/>
          <w:szCs w:val="20"/>
          <w:color w:val="auto"/>
        </w:rPr>
      </w:pPr>
      <w:r>
        <w:rPr>
          <w:rFonts w:ascii="Arial" w:cs="Arial" w:eastAsia="Arial" w:hAnsi="Arial"/>
          <w:sz w:val="17"/>
          <w:szCs w:val="17"/>
          <w:color w:val="auto"/>
        </w:rPr>
        <w:t>Cancer is a group of diseases characterized by uncontrolled growth and spread of abnormal cells. The American Cancer Society estimated that in the United States in 2017, approximately 1.7 million new cases of cancer would be diagnosed and approximately 600,000 people would die from the disease. Current treatments for cancer include surgery, radiation therapy, chemotherapy, hormonal therapy, immunotherapy, and targeted therapy. The cancer death rate in the United States has only decreased modestly since the early 1990s. Despite years of intensive research and clinical use, current treatments often fail to cure cancer. Cancer remains one of the world’s most serious health problems and is the second most common cause of death in the United States after heart disease. The following table sets forth the U.S. annual incidence of certain cancers, based on 2016 estimates from the National Cancer Institute’s Surveillance, Epidemiology, and End Results Program (NCI; SEER).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124460</wp:posOffset>
            </wp:positionV>
            <wp:extent cx="5537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500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b w:val="1"/>
                <w:bCs w:val="1"/>
                <w:color w:val="auto"/>
              </w:rPr>
              <w:t>Cancer type</w:t>
            </w:r>
          </w:p>
        </w:tc>
        <w:tc>
          <w:tcPr>
            <w:tcW w:w="372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8"/>
                <w:szCs w:val="18"/>
                <w:b w:val="1"/>
                <w:bCs w:val="1"/>
                <w:color w:val="auto"/>
              </w:rPr>
              <w:t>U.S. annual</w:t>
            </w:r>
          </w:p>
        </w:tc>
      </w:tr>
      <w:tr>
        <w:trPr>
          <w:trHeight w:val="209"/>
        </w:trPr>
        <w:tc>
          <w:tcPr>
            <w:tcW w:w="5000" w:type="dxa"/>
            <w:vAlign w:val="bottom"/>
            <w:tcBorders>
              <w:bottom w:val="single" w:sz="8" w:color="7F7F7F"/>
            </w:tcBorders>
          </w:tcPr>
          <w:p>
            <w:pPr>
              <w:spacing w:after="0"/>
              <w:rPr>
                <w:sz w:val="18"/>
                <w:szCs w:val="18"/>
                <w:color w:val="auto"/>
              </w:rPr>
            </w:pPr>
          </w:p>
        </w:tc>
        <w:tc>
          <w:tcPr>
            <w:tcW w:w="3720" w:type="dxa"/>
            <w:vAlign w:val="bottom"/>
            <w:tcBorders>
              <w:bottom w:val="single" w:sz="8" w:color="7F7F7F"/>
            </w:tcBorders>
          </w:tcPr>
          <w:p>
            <w:pPr>
              <w:jc w:val="right"/>
              <w:ind w:right="50"/>
              <w:spacing w:after="0"/>
              <w:rPr>
                <w:sz w:val="20"/>
                <w:szCs w:val="20"/>
                <w:color w:val="auto"/>
              </w:rPr>
            </w:pPr>
            <w:r>
              <w:rPr>
                <w:rFonts w:ascii="Arial" w:cs="Arial" w:eastAsia="Arial" w:hAnsi="Arial"/>
                <w:sz w:val="18"/>
                <w:szCs w:val="18"/>
                <w:b w:val="1"/>
                <w:bCs w:val="1"/>
                <w:color w:val="auto"/>
              </w:rPr>
              <w:t>incidence</w:t>
            </w:r>
          </w:p>
        </w:tc>
      </w:tr>
      <w:tr>
        <w:trPr>
          <w:trHeight w:val="209"/>
        </w:trPr>
        <w:tc>
          <w:tcPr>
            <w:tcW w:w="50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Lymphoma</w:t>
            </w:r>
          </w:p>
        </w:tc>
        <w:tc>
          <w:tcPr>
            <w:tcW w:w="3720" w:type="dxa"/>
            <w:vAlign w:val="bottom"/>
            <w:tcBorders>
              <w:bottom w:val="single" w:sz="8" w:color="7F7F7F"/>
            </w:tcBorders>
            <w:shd w:val="clear" w:color="auto" w:fill="CCEEFF"/>
          </w:tcPr>
          <w:p>
            <w:pPr>
              <w:spacing w:after="0"/>
              <w:rPr>
                <w:sz w:val="18"/>
                <w:szCs w:val="18"/>
                <w:color w:val="auto"/>
              </w:rPr>
            </w:pPr>
          </w:p>
        </w:tc>
      </w:tr>
      <w:tr>
        <w:trPr>
          <w:trHeight w:val="209"/>
        </w:trPr>
        <w:tc>
          <w:tcPr>
            <w:tcW w:w="5000" w:type="dxa"/>
            <w:vAlign w:val="bottom"/>
            <w:tcBorders>
              <w:bottom w:val="single" w:sz="8" w:color="7F7F7F"/>
            </w:tcBorders>
          </w:tcPr>
          <w:p>
            <w:pPr>
              <w:ind w:left="40"/>
              <w:spacing w:after="0"/>
              <w:rPr>
                <w:sz w:val="20"/>
                <w:szCs w:val="20"/>
                <w:color w:val="auto"/>
              </w:rPr>
            </w:pPr>
            <w:r>
              <w:rPr>
                <w:rFonts w:ascii="Arial" w:cs="Arial" w:eastAsia="Arial" w:hAnsi="Arial"/>
                <w:sz w:val="18"/>
                <w:szCs w:val="18"/>
                <w:color w:val="auto"/>
              </w:rPr>
              <w:t>Non-Hodgkin lymphoma</w:t>
            </w:r>
          </w:p>
        </w:tc>
        <w:tc>
          <w:tcPr>
            <w:tcW w:w="3720" w:type="dxa"/>
            <w:vAlign w:val="bottom"/>
            <w:tcBorders>
              <w:bottom w:val="single" w:sz="8" w:color="7F7F7F"/>
            </w:tcBorders>
          </w:tcPr>
          <w:p>
            <w:pPr>
              <w:jc w:val="right"/>
              <w:ind w:right="50"/>
              <w:spacing w:after="0"/>
              <w:rPr>
                <w:sz w:val="20"/>
                <w:szCs w:val="20"/>
                <w:color w:val="auto"/>
              </w:rPr>
            </w:pPr>
            <w:r>
              <w:rPr>
                <w:rFonts w:ascii="Arial" w:cs="Arial" w:eastAsia="Arial" w:hAnsi="Arial"/>
                <w:sz w:val="18"/>
                <w:szCs w:val="18"/>
                <w:color w:val="auto"/>
              </w:rPr>
              <w:t>72,580</w:t>
            </w:r>
          </w:p>
        </w:tc>
      </w:tr>
      <w:tr>
        <w:trPr>
          <w:trHeight w:val="209"/>
        </w:trPr>
        <w:tc>
          <w:tcPr>
            <w:tcW w:w="500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8"/>
                <w:szCs w:val="18"/>
                <w:color w:val="auto"/>
              </w:rPr>
              <w:t>Chronic lymphocytic leukemia</w:t>
            </w:r>
          </w:p>
        </w:tc>
        <w:tc>
          <w:tcPr>
            <w:tcW w:w="3720" w:type="dxa"/>
            <w:vAlign w:val="bottom"/>
            <w:tcBorders>
              <w:bottom w:val="single" w:sz="8" w:color="7F7F7F"/>
            </w:tcBorders>
            <w:shd w:val="clear" w:color="auto" w:fill="CCEEFF"/>
          </w:tcPr>
          <w:p>
            <w:pPr>
              <w:jc w:val="right"/>
              <w:ind w:right="50"/>
              <w:spacing w:after="0"/>
              <w:rPr>
                <w:sz w:val="20"/>
                <w:szCs w:val="20"/>
                <w:color w:val="auto"/>
              </w:rPr>
            </w:pPr>
            <w:r>
              <w:rPr>
                <w:rFonts w:ascii="Arial" w:cs="Arial" w:eastAsia="Arial" w:hAnsi="Arial"/>
                <w:sz w:val="18"/>
                <w:szCs w:val="18"/>
                <w:color w:val="auto"/>
              </w:rPr>
              <w:t>18,960</w:t>
            </w:r>
          </w:p>
        </w:tc>
      </w:tr>
      <w:tr>
        <w:trPr>
          <w:trHeight w:val="209"/>
        </w:trPr>
        <w:tc>
          <w:tcPr>
            <w:tcW w:w="50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i w:val="1"/>
                <w:iCs w:val="1"/>
                <w:color w:val="auto"/>
              </w:rPr>
              <w:t>Solid tumor</w:t>
            </w:r>
          </w:p>
        </w:tc>
        <w:tc>
          <w:tcPr>
            <w:tcW w:w="3720" w:type="dxa"/>
            <w:vAlign w:val="bottom"/>
            <w:tcBorders>
              <w:bottom w:val="single" w:sz="8" w:color="7F7F7F"/>
            </w:tcBorders>
          </w:tcPr>
          <w:p>
            <w:pPr>
              <w:spacing w:after="0"/>
              <w:rPr>
                <w:sz w:val="18"/>
                <w:szCs w:val="18"/>
                <w:color w:val="auto"/>
              </w:rPr>
            </w:pPr>
          </w:p>
        </w:tc>
      </w:tr>
      <w:tr>
        <w:trPr>
          <w:trHeight w:val="209"/>
        </w:trPr>
        <w:tc>
          <w:tcPr>
            <w:tcW w:w="500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8"/>
                <w:szCs w:val="18"/>
                <w:color w:val="auto"/>
              </w:rPr>
              <w:t>Lung and bronchus cancer</w:t>
            </w:r>
          </w:p>
        </w:tc>
        <w:tc>
          <w:tcPr>
            <w:tcW w:w="3720" w:type="dxa"/>
            <w:vAlign w:val="bottom"/>
            <w:tcBorders>
              <w:bottom w:val="single" w:sz="8" w:color="7F7F7F"/>
            </w:tcBorders>
            <w:shd w:val="clear" w:color="auto" w:fill="CCEEFF"/>
          </w:tcPr>
          <w:p>
            <w:pPr>
              <w:jc w:val="right"/>
              <w:ind w:right="50"/>
              <w:spacing w:after="0"/>
              <w:rPr>
                <w:sz w:val="20"/>
                <w:szCs w:val="20"/>
                <w:color w:val="auto"/>
              </w:rPr>
            </w:pPr>
            <w:r>
              <w:rPr>
                <w:rFonts w:ascii="Arial" w:cs="Arial" w:eastAsia="Arial" w:hAnsi="Arial"/>
                <w:sz w:val="18"/>
                <w:szCs w:val="18"/>
                <w:color w:val="auto"/>
              </w:rPr>
              <w:t>224,390</w:t>
            </w:r>
          </w:p>
        </w:tc>
      </w:tr>
      <w:tr>
        <w:trPr>
          <w:trHeight w:val="209"/>
        </w:trPr>
        <w:tc>
          <w:tcPr>
            <w:tcW w:w="5000" w:type="dxa"/>
            <w:vAlign w:val="bottom"/>
            <w:tcBorders>
              <w:bottom w:val="single" w:sz="8" w:color="7F7F7F"/>
            </w:tcBorders>
          </w:tcPr>
          <w:p>
            <w:pPr>
              <w:ind w:left="40"/>
              <w:spacing w:after="0"/>
              <w:rPr>
                <w:sz w:val="20"/>
                <w:szCs w:val="20"/>
                <w:color w:val="auto"/>
              </w:rPr>
            </w:pPr>
            <w:r>
              <w:rPr>
                <w:rFonts w:ascii="Arial" w:cs="Arial" w:eastAsia="Arial" w:hAnsi="Arial"/>
                <w:sz w:val="18"/>
                <w:szCs w:val="18"/>
                <w:color w:val="auto"/>
              </w:rPr>
              <w:t>Pancreatic cancer</w:t>
            </w:r>
          </w:p>
        </w:tc>
        <w:tc>
          <w:tcPr>
            <w:tcW w:w="3720" w:type="dxa"/>
            <w:vAlign w:val="bottom"/>
            <w:tcBorders>
              <w:bottom w:val="single" w:sz="8" w:color="7F7F7F"/>
            </w:tcBorders>
          </w:tcPr>
          <w:p>
            <w:pPr>
              <w:jc w:val="right"/>
              <w:ind w:right="50"/>
              <w:spacing w:after="0"/>
              <w:rPr>
                <w:sz w:val="20"/>
                <w:szCs w:val="20"/>
                <w:color w:val="auto"/>
              </w:rPr>
            </w:pPr>
            <w:r>
              <w:rPr>
                <w:rFonts w:ascii="Arial" w:cs="Arial" w:eastAsia="Arial" w:hAnsi="Arial"/>
                <w:sz w:val="18"/>
                <w:szCs w:val="18"/>
                <w:color w:val="auto"/>
              </w:rPr>
              <w:t>53,070</w:t>
            </w:r>
          </w:p>
        </w:tc>
      </w:tr>
      <w:tr>
        <w:trPr>
          <w:trHeight w:val="209"/>
        </w:trPr>
        <w:tc>
          <w:tcPr>
            <w:tcW w:w="500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8"/>
                <w:szCs w:val="18"/>
                <w:color w:val="auto"/>
              </w:rPr>
              <w:t>Ovarian cancer</w:t>
            </w:r>
          </w:p>
        </w:tc>
        <w:tc>
          <w:tcPr>
            <w:tcW w:w="3720" w:type="dxa"/>
            <w:vAlign w:val="bottom"/>
            <w:tcBorders>
              <w:bottom w:val="single" w:sz="8" w:color="7F7F7F"/>
            </w:tcBorders>
            <w:shd w:val="clear" w:color="auto" w:fill="CCEEFF"/>
          </w:tcPr>
          <w:p>
            <w:pPr>
              <w:jc w:val="right"/>
              <w:ind w:right="50"/>
              <w:spacing w:after="0"/>
              <w:rPr>
                <w:sz w:val="20"/>
                <w:szCs w:val="20"/>
                <w:color w:val="auto"/>
              </w:rPr>
            </w:pPr>
            <w:r>
              <w:rPr>
                <w:rFonts w:ascii="Arial" w:cs="Arial" w:eastAsia="Arial" w:hAnsi="Arial"/>
                <w:sz w:val="18"/>
                <w:szCs w:val="18"/>
                <w:color w:val="auto"/>
              </w:rPr>
              <w:t>22,280</w:t>
            </w:r>
          </w:p>
        </w:tc>
      </w:tr>
    </w:tbl>
    <w:p>
      <w:pPr>
        <w:spacing w:after="0" w:line="200" w:lineRule="exact"/>
        <w:rPr>
          <w:sz w:val="20"/>
          <w:szCs w:val="20"/>
          <w:color w:val="auto"/>
        </w:rPr>
      </w:pPr>
    </w:p>
    <w:p>
      <w:pPr>
        <w:spacing w:after="0" w:line="216" w:lineRule="exact"/>
        <w:rPr>
          <w:sz w:val="20"/>
          <w:szCs w:val="20"/>
          <w:color w:val="auto"/>
        </w:rPr>
      </w:pPr>
    </w:p>
    <w:p>
      <w:pPr>
        <w:ind w:left="160" w:right="259" w:firstLine="646"/>
        <w:spacing w:after="0" w:line="256" w:lineRule="auto"/>
        <w:rPr>
          <w:sz w:val="20"/>
          <w:szCs w:val="20"/>
          <w:color w:val="auto"/>
        </w:rPr>
      </w:pPr>
      <w:r>
        <w:rPr>
          <w:rFonts w:ascii="Arial" w:cs="Arial" w:eastAsia="Arial" w:hAnsi="Arial"/>
          <w:sz w:val="18"/>
          <w:szCs w:val="18"/>
          <w:color w:val="auto"/>
        </w:rPr>
        <w:t>With the application of new technologies and key discoveries, we believe that we are now entering an era of cancer research characterized by a more sophisticated understanding of the biology of cancer. We believe that the potential of oral, targeted therapies, along with the rapidly advancing field of immunotherapy, or using the body’s immune system to fight cancer, are important new insights that present the opportunity to develop more effective cancer treatments.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STRATEGY</w:t>
      </w:r>
    </w:p>
    <w:p>
      <w:pPr>
        <w:spacing w:after="0" w:line="228" w:lineRule="exact"/>
        <w:rPr>
          <w:sz w:val="20"/>
          <w:szCs w:val="20"/>
          <w:color w:val="auto"/>
        </w:rPr>
      </w:pPr>
    </w:p>
    <w:p>
      <w:pPr>
        <w:ind w:left="160" w:right="279" w:firstLine="646"/>
        <w:spacing w:after="0" w:line="300" w:lineRule="auto"/>
        <w:rPr>
          <w:sz w:val="20"/>
          <w:szCs w:val="20"/>
          <w:color w:val="auto"/>
        </w:rPr>
      </w:pPr>
      <w:r>
        <w:rPr>
          <w:rFonts w:ascii="Arial" w:cs="Arial" w:eastAsia="Arial" w:hAnsi="Arial"/>
          <w:sz w:val="16"/>
          <w:szCs w:val="16"/>
          <w:color w:val="auto"/>
        </w:rPr>
        <w:t>Our product candidates seek to utilize a multi-faceted approach to treat cancer by directly targeting the cancer cells, enhancing anti-tumor immunity, and modulating the local tumor microenvironment. Our goal is to build a leading biopharmaceutical company focused on the discovery, development and, ultimately, commercialization of novel drugs that use a multi-faceted approach to improving outcomes for patients with cancer.</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Key elements of our strategy to achieve this goal are:</w:t>
      </w:r>
    </w:p>
    <w:p>
      <w:pPr>
        <w:spacing w:after="0" w:line="224" w:lineRule="exact"/>
        <w:rPr>
          <w:sz w:val="20"/>
          <w:szCs w:val="20"/>
          <w:color w:val="auto"/>
        </w:rPr>
      </w:pPr>
    </w:p>
    <w:p>
      <w:pPr>
        <w:ind w:left="1200" w:right="179" w:hanging="81"/>
        <w:spacing w:after="0" w:line="262"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our product candidates through clinical development. We have ongoing clinical trials of duvelisib and defactinib both as single agents and in combination with other agents in several hematologic and solid tumor indications.</w:t>
      </w:r>
    </w:p>
    <w:p>
      <w:pPr>
        <w:spacing w:after="0" w:line="183" w:lineRule="exact"/>
        <w:rPr>
          <w:rFonts w:ascii="Arial" w:cs="Arial" w:eastAsia="Arial" w:hAnsi="Arial"/>
          <w:sz w:val="18"/>
          <w:szCs w:val="18"/>
          <w:color w:val="auto"/>
        </w:rPr>
      </w:pPr>
    </w:p>
    <w:p>
      <w:pPr>
        <w:ind w:left="1200" w:right="339" w:hanging="81"/>
        <w:spacing w:after="0" w:line="310"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 the indications in which our product candidates may be used. In parallel to CLL, SLL, iNHL, NSCLC, ovarian cancer, pancreatic cancer and mesothelioma trials that we are currently conducting, we plan to pursue additional disease indications to expand the potential of our product candidates.</w:t>
      </w:r>
    </w:p>
    <w:p>
      <w:pPr>
        <w:spacing w:after="0" w:line="148" w:lineRule="exact"/>
        <w:rPr>
          <w:rFonts w:ascii="Arial" w:cs="Arial" w:eastAsia="Arial" w:hAnsi="Arial"/>
          <w:sz w:val="16"/>
          <w:szCs w:val="16"/>
          <w:color w:val="auto"/>
        </w:rPr>
      </w:pPr>
    </w:p>
    <w:p>
      <w:pPr>
        <w:ind w:left="1200" w:right="199" w:hanging="81"/>
        <w:spacing w:after="0" w:line="218" w:lineRule="exact"/>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Collaborate selectively to augment and accelerate translational research, development and commercialization. We may seek third</w:t>
      </w:r>
      <w:r>
        <w:rPr>
          <w:rFonts w:ascii="MS PGothic" w:cs="MS PGothic" w:eastAsia="MS PGothic" w:hAnsi="MS PGothic"/>
          <w:sz w:val="16"/>
          <w:szCs w:val="16"/>
          <w:color w:val="auto"/>
        </w:rPr>
        <w:t>‑</w:t>
      </w:r>
      <w:r>
        <w:rPr>
          <w:rFonts w:ascii="Arial" w:cs="Arial" w:eastAsia="Arial" w:hAnsi="Arial"/>
          <w:sz w:val="16"/>
          <w:szCs w:val="16"/>
          <w:color w:val="auto"/>
        </w:rPr>
        <w:t>party collaborators for the development and eventual commercialization of our product candidates. In particular, we may enter into third</w:t>
      </w:r>
      <w:r>
        <w:rPr>
          <w:rFonts w:ascii="MS PGothic" w:cs="MS PGothic" w:eastAsia="MS PGothic" w:hAnsi="MS PGothic"/>
          <w:sz w:val="16"/>
          <w:szCs w:val="16"/>
          <w:color w:val="auto"/>
        </w:rPr>
        <w:t>‑</w:t>
      </w:r>
      <w:r>
        <w:rPr>
          <w:rFonts w:ascii="Arial" w:cs="Arial" w:eastAsia="Arial" w:hAnsi="Arial"/>
          <w:sz w:val="16"/>
          <w:szCs w:val="16"/>
          <w:color w:val="auto"/>
        </w:rPr>
        <w:t>party arrangements for target oncology indications in which our potential collaborator has particular expertise or for which we need access to additional research, development, or commercialization resources.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left="1200" w:right="199" w:hanging="81"/>
        <w:spacing w:after="0" w:line="220" w:lineRule="exact"/>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Consider acquiring or in</w:t>
      </w:r>
      <w:r>
        <w:rPr>
          <w:rFonts w:ascii="MS PGothic" w:cs="MS PGothic" w:eastAsia="MS PGothic" w:hAnsi="MS PGothic"/>
          <w:sz w:val="17"/>
          <w:szCs w:val="17"/>
          <w:color w:val="auto"/>
        </w:rPr>
        <w:t>‑</w:t>
      </w:r>
      <w:r>
        <w:rPr>
          <w:rFonts w:ascii="Arial" w:cs="Arial" w:eastAsia="Arial" w:hAnsi="Arial"/>
          <w:sz w:val="17"/>
          <w:szCs w:val="17"/>
          <w:color w:val="auto"/>
        </w:rPr>
        <w:t>licensing rights to additional agents. We may pursue the acquisition or in</w:t>
      </w:r>
      <w:r>
        <w:rPr>
          <w:rFonts w:ascii="MS PGothic" w:cs="MS PGothic" w:eastAsia="MS PGothic" w:hAnsi="MS PGothic"/>
          <w:sz w:val="17"/>
          <w:szCs w:val="17"/>
          <w:color w:val="auto"/>
        </w:rPr>
        <w:t>‑</w:t>
      </w:r>
      <w:r>
        <w:rPr>
          <w:rFonts w:ascii="Arial" w:cs="Arial" w:eastAsia="Arial" w:hAnsi="Arial"/>
          <w:sz w:val="17"/>
          <w:szCs w:val="17"/>
          <w:color w:val="auto"/>
        </w:rPr>
        <w:t>license of rights to additional agents from third parties that may supplement our internal programs and allow us to initiate clinical development of a diverse pipeline of agents more quickly.</w:t>
      </w:r>
    </w:p>
    <w:p>
      <w:pPr>
        <w:spacing w:after="0" w:line="201" w:lineRule="exact"/>
        <w:rPr>
          <w:rFonts w:ascii="Arial" w:cs="Arial" w:eastAsia="Arial" w:hAnsi="Arial"/>
          <w:sz w:val="17"/>
          <w:szCs w:val="17"/>
          <w:color w:val="auto"/>
        </w:rPr>
      </w:pPr>
    </w:p>
    <w:p>
      <w:pPr>
        <w:ind w:left="1200" w:right="159" w:hanging="81"/>
        <w:spacing w:after="0" w:line="254"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and maintain scientific leadership in the areas of lymphoid malignancies, immuno-oncology and cancer stem cells (CSCs). We plan to continue to conduct research in the hematological, immuno-oncology and CSC fields to further our understanding of the underlying biology of enhancing the body’s immune response to tumors as well as cancer progression and metastasis. We also plan to continue fostering relationships with top scientific advisors, researchers and physicians. We believe that exceptional advisors, employees and management are critical to leadership in the development of new therapies for the treatment of cancer.</w:t>
      </w:r>
    </w:p>
    <w:p>
      <w:pPr>
        <w:spacing w:after="0" w:line="189" w:lineRule="exact"/>
        <w:rPr>
          <w:rFonts w:ascii="Arial" w:cs="Arial" w:eastAsia="Arial" w:hAnsi="Arial"/>
          <w:sz w:val="18"/>
          <w:szCs w:val="18"/>
          <w:color w:val="auto"/>
        </w:rPr>
      </w:pPr>
    </w:p>
    <w:p>
      <w:pPr>
        <w:ind w:left="1200" w:right="819" w:hanging="81"/>
        <w:spacing w:after="0" w:line="262"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Selectively build a commercial infrastructure in the U.S. for the potential launch of duvelisib in hematologic malignancies as an oral monotherapy for patients needing additional lines of therapy following previous treatment.</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PRODUCT CANDIDATES</w:t>
      </w:r>
    </w:p>
    <w:p>
      <w:pPr>
        <w:spacing w:after="0" w:line="228" w:lineRule="exact"/>
        <w:rPr>
          <w:sz w:val="20"/>
          <w:szCs w:val="20"/>
          <w:color w:val="auto"/>
        </w:rPr>
      </w:pPr>
    </w:p>
    <w:p>
      <w:pPr>
        <w:ind w:left="160" w:right="399" w:firstLine="646"/>
        <w:spacing w:after="0" w:line="256" w:lineRule="auto"/>
        <w:rPr>
          <w:sz w:val="20"/>
          <w:szCs w:val="20"/>
          <w:color w:val="auto"/>
        </w:rPr>
      </w:pPr>
      <w:r>
        <w:rPr>
          <w:rFonts w:ascii="Arial" w:cs="Arial" w:eastAsia="Arial" w:hAnsi="Arial"/>
          <w:sz w:val="18"/>
          <w:szCs w:val="18"/>
          <w:color w:val="auto"/>
        </w:rPr>
        <w:t>We are focused on the discovery and development of small molecules for optimized efficacy and safety primarily as orally available drug candidates. We have several product candidates currently in clinical trials, including duvelisib and defactinib. We are running clinical trials in cancers where there are limited treatment options, including CLL, iNHL, T-cell lymphoma, lung cancer, ovarian cancer, pancreatic cancer, mesothelioma, and other advanced cancers.</w:t>
      </w:r>
    </w:p>
    <w:p>
      <w:pPr>
        <w:spacing w:after="0" w:line="188" w:lineRule="exact"/>
        <w:rPr>
          <w:sz w:val="20"/>
          <w:szCs w:val="20"/>
          <w:color w:val="auto"/>
        </w:rPr>
      </w:pPr>
    </w:p>
    <w:p>
      <w:pPr>
        <w:ind w:left="160" w:right="319" w:firstLine="646"/>
        <w:spacing w:after="0" w:line="254" w:lineRule="auto"/>
        <w:rPr>
          <w:sz w:val="20"/>
          <w:szCs w:val="20"/>
          <w:color w:val="auto"/>
        </w:rPr>
      </w:pPr>
      <w:r>
        <w:rPr>
          <w:rFonts w:ascii="Arial" w:cs="Arial" w:eastAsia="Arial" w:hAnsi="Arial"/>
          <w:sz w:val="18"/>
          <w:szCs w:val="18"/>
          <w:color w:val="auto"/>
        </w:rPr>
        <w:t>Conventional chemotherapy works by stopping the function of cancer cells through a variety of mechanisms. Chemotherapies are usually not targeted at any specific differences between cancer cells and normal cells. Rather, they kill cancer cells because cancer cells generally grow more rapidly than normal cells and, as a result, are relatively more affected by the chemotherapy than normal cells. As a result, the treatments may succeed at initially decreasing tumor burden but ultimately fail to kill all of the cancer cells or effectively disrupt the tumor microenvironment, potentially resulting in disease progression.</w:t>
      </w:r>
    </w:p>
    <w:p>
      <w:pPr>
        <w:spacing w:after="0" w:line="193" w:lineRule="exact"/>
        <w:rPr>
          <w:sz w:val="20"/>
          <w:szCs w:val="20"/>
          <w:color w:val="auto"/>
        </w:rPr>
      </w:pPr>
    </w:p>
    <w:p>
      <w:pPr>
        <w:ind w:left="160" w:right="199" w:firstLine="646"/>
        <w:spacing w:after="0" w:line="300" w:lineRule="auto"/>
        <w:rPr>
          <w:sz w:val="20"/>
          <w:szCs w:val="20"/>
          <w:color w:val="auto"/>
        </w:rPr>
      </w:pPr>
      <w:r>
        <w:rPr>
          <w:rFonts w:ascii="Arial" w:cs="Arial" w:eastAsia="Arial" w:hAnsi="Arial"/>
          <w:sz w:val="16"/>
          <w:szCs w:val="16"/>
          <w:color w:val="auto"/>
        </w:rPr>
        <w:t>Our goal is to develop targeted agents that both specifically kill cancer cells and disrupt the tumor microenvironment to enhance the efficacy of cancer treatment. Agents that can modulate the tumor microenvironment to increase cytotoxic T-cell access to the tumor cells and decrease immunosuppressive T-cells in tumors have been sought after to increase the proportion of responding cancer patients and the duration of response to cancer treatment.</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Non-Hodgkin Lymphoma, Chronic Lymphocytic Leukemia</w:t>
      </w:r>
    </w:p>
    <w:p>
      <w:pPr>
        <w:spacing w:after="0" w:line="224" w:lineRule="exact"/>
        <w:rPr>
          <w:sz w:val="20"/>
          <w:szCs w:val="20"/>
          <w:color w:val="auto"/>
        </w:rPr>
      </w:pPr>
    </w:p>
    <w:p>
      <w:pPr>
        <w:ind w:left="160" w:right="439" w:firstLine="646"/>
        <w:spacing w:after="0" w:line="306" w:lineRule="auto"/>
        <w:rPr>
          <w:sz w:val="20"/>
          <w:szCs w:val="20"/>
          <w:color w:val="auto"/>
        </w:rPr>
      </w:pPr>
      <w:r>
        <w:rPr>
          <w:rFonts w:ascii="Arial" w:cs="Arial" w:eastAsia="Arial" w:hAnsi="Arial"/>
          <w:sz w:val="17"/>
          <w:szCs w:val="17"/>
          <w:color w:val="auto"/>
        </w:rPr>
        <w:t>Hematologic malignancies are cancers of the blood or bone marrow such as non-Hodgkin lymphoma (NHL) and CLL. In general, lymphomas are a disease that occurs in patients over the age of 65.</w:t>
      </w:r>
    </w:p>
    <w:p>
      <w:pPr>
        <w:spacing w:after="0" w:line="148" w:lineRule="exact"/>
        <w:rPr>
          <w:sz w:val="20"/>
          <w:szCs w:val="20"/>
          <w:color w:val="auto"/>
        </w:rPr>
      </w:pPr>
    </w:p>
    <w:p>
      <w:pPr>
        <w:ind w:left="160" w:right="159" w:firstLine="646"/>
        <w:spacing w:after="0" w:line="290" w:lineRule="auto"/>
        <w:rPr>
          <w:sz w:val="20"/>
          <w:szCs w:val="20"/>
          <w:color w:val="auto"/>
        </w:rPr>
      </w:pPr>
      <w:r>
        <w:rPr>
          <w:rFonts w:ascii="Arial" w:cs="Arial" w:eastAsia="Arial" w:hAnsi="Arial"/>
          <w:sz w:val="16"/>
          <w:szCs w:val="16"/>
          <w:color w:val="auto"/>
        </w:rPr>
        <w:t>The overall five-year relative survival rate for people with NHL is 69%, and the 10-year relative survival rate is 59%. The type and stage of the lymphoma can often provide useful information about a person’s prognosis, but for some types of lymphomas the stage is less informative on its own. In these cases, other factors can give doctors a better idea about a person’s prognosis. These factors are included in the International Prognostic Index and other metrics which take into account the patient’s age, stage of disease, presence of metastases, performance status and blood levels of lactate dehydrogenase. In the case of indolent follicular lymphomas, the Follicular Lymphoma International Prognostic Index is better suited to evaluate the prognosis of follicular lymphoma (FL) and to help guide treatment decisions.</w:t>
      </w:r>
    </w:p>
    <w:p>
      <w:pPr>
        <w:spacing w:after="0" w:line="166" w:lineRule="exact"/>
        <w:rPr>
          <w:sz w:val="20"/>
          <w:szCs w:val="20"/>
          <w:color w:val="auto"/>
        </w:rPr>
      </w:pPr>
    </w:p>
    <w:p>
      <w:pPr>
        <w:ind w:left="160" w:right="179" w:firstLine="646"/>
        <w:spacing w:after="0" w:line="262" w:lineRule="auto"/>
        <w:rPr>
          <w:sz w:val="20"/>
          <w:szCs w:val="20"/>
          <w:color w:val="auto"/>
        </w:rPr>
      </w:pPr>
      <w:r>
        <w:rPr>
          <w:rFonts w:ascii="Arial" w:cs="Arial" w:eastAsia="Arial" w:hAnsi="Arial"/>
          <w:sz w:val="18"/>
          <w:szCs w:val="18"/>
          <w:color w:val="auto"/>
        </w:rPr>
        <w:t>There have been only incremental advances in treatment options for FL beyond chemotherapy or immunotherapies like the antibodies against CD20, such as rituximab and obinutuzumab, and the overall clinical outlook for patients still remains poor.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39" w:firstLine="646"/>
        <w:spacing w:after="0" w:line="290" w:lineRule="auto"/>
        <w:rPr>
          <w:sz w:val="20"/>
          <w:szCs w:val="20"/>
          <w:color w:val="auto"/>
        </w:rPr>
      </w:pPr>
      <w:r>
        <w:rPr>
          <w:rFonts w:ascii="Arial" w:cs="Arial" w:eastAsia="Arial" w:hAnsi="Arial"/>
          <w:sz w:val="16"/>
          <w:szCs w:val="16"/>
          <w:color w:val="auto"/>
        </w:rPr>
        <w:t>The NCI estimates that there were 18,960 new cases of CLL in the U.S. in 2016 and that the overall five-year survival rate for patients with CLL is approximately 83%. As CLL is generally a slow-growing disease, the advent of new oral anti-cancer therapies since 2013 have been a significant advance as treatment options beyond chemotherapy or anti-CD20 immunotherapies, including ofatumumab. Unlike in FL, the BTK and BCL-2 inhibitors have demonstrable activity in the treatment of CLL. However, evidence coming from studies on real-world use of these agents is revealing that a significant number of patients either relapse following treatment, become refractory to current agents, or are unable to tolerate treatment due to unmanageable side effects resulting from treatment, representing a significant medical need.</w:t>
      </w:r>
    </w:p>
    <w:p>
      <w:pPr>
        <w:spacing w:after="0" w:line="166" w:lineRule="exact"/>
        <w:rPr>
          <w:sz w:val="20"/>
          <w:szCs w:val="20"/>
          <w:color w:val="auto"/>
        </w:rPr>
      </w:pPr>
    </w:p>
    <w:p>
      <w:pPr>
        <w:ind w:left="160" w:right="179" w:firstLine="646"/>
        <w:spacing w:after="0" w:line="340" w:lineRule="auto"/>
        <w:rPr>
          <w:sz w:val="20"/>
          <w:szCs w:val="20"/>
          <w:color w:val="auto"/>
        </w:rPr>
      </w:pPr>
      <w:r>
        <w:rPr>
          <w:rFonts w:ascii="Arial" w:cs="Arial" w:eastAsia="Arial" w:hAnsi="Arial"/>
          <w:sz w:val="16"/>
          <w:szCs w:val="16"/>
          <w:color w:val="auto"/>
        </w:rPr>
        <w:t>The potential of additional oral agents, particularly as a monotherapy that can be used in the general community physician’s armamentarium, may hold significant value in the treatment of patients with either CLL, SLL or FL.</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Ovarian Cancer</w:t>
      </w:r>
    </w:p>
    <w:p>
      <w:pPr>
        <w:spacing w:after="0" w:line="224" w:lineRule="exact"/>
        <w:rPr>
          <w:sz w:val="20"/>
          <w:szCs w:val="20"/>
          <w:color w:val="auto"/>
        </w:rPr>
      </w:pPr>
    </w:p>
    <w:p>
      <w:pPr>
        <w:ind w:left="160" w:right="179" w:firstLine="646"/>
        <w:spacing w:after="0" w:line="274" w:lineRule="auto"/>
        <w:rPr>
          <w:sz w:val="20"/>
          <w:szCs w:val="20"/>
          <w:color w:val="auto"/>
        </w:rPr>
      </w:pPr>
      <w:r>
        <w:rPr>
          <w:rFonts w:ascii="Arial" w:cs="Arial" w:eastAsia="Arial" w:hAnsi="Arial"/>
          <w:sz w:val="17"/>
          <w:szCs w:val="17"/>
          <w:color w:val="auto"/>
        </w:rPr>
        <w:t>Ovarian cancer forms in tissues of the ovary, one of a pair of female reproductive glands in which the ova, or eggs, are formed. Most ovarian cancers are either ovarian epithelial carcinoma, cancer that begins in the cells on the surface of the ovary, or malignant germ cell tumors that begin in egg cells. According to the NCI, epithelial carcinoma of the ovary is one of the most common gynecologic malignancies and the fifth most frequent cause of cancer death in women, with 50% of all cases occurring in women older than 65 years.</w:t>
      </w:r>
    </w:p>
    <w:p>
      <w:pPr>
        <w:spacing w:after="0" w:line="176" w:lineRule="exact"/>
        <w:rPr>
          <w:sz w:val="20"/>
          <w:szCs w:val="20"/>
          <w:color w:val="auto"/>
        </w:rPr>
      </w:pPr>
    </w:p>
    <w:p>
      <w:pPr>
        <w:ind w:left="160" w:right="319" w:firstLine="646"/>
        <w:spacing w:after="0" w:line="276" w:lineRule="auto"/>
        <w:rPr>
          <w:sz w:val="20"/>
          <w:szCs w:val="20"/>
          <w:color w:val="auto"/>
        </w:rPr>
      </w:pPr>
      <w:r>
        <w:rPr>
          <w:rFonts w:ascii="Arial" w:cs="Arial" w:eastAsia="Arial" w:hAnsi="Arial"/>
          <w:sz w:val="18"/>
          <w:szCs w:val="18"/>
          <w:color w:val="auto"/>
        </w:rPr>
        <w:t>The American Cancer Society estimated that in 2017 there will be approximately 22,000 new cases of ovarian cancer diagnosed and approximately 14,000 women will die from the disease.</w:t>
      </w:r>
    </w:p>
    <w:p>
      <w:pPr>
        <w:spacing w:after="0" w:line="170" w:lineRule="exact"/>
        <w:rPr>
          <w:sz w:val="20"/>
          <w:szCs w:val="20"/>
          <w:color w:val="auto"/>
        </w:rPr>
      </w:pPr>
    </w:p>
    <w:p>
      <w:pPr>
        <w:ind w:left="160" w:right="219" w:firstLine="646"/>
        <w:spacing w:after="0" w:line="278" w:lineRule="auto"/>
        <w:rPr>
          <w:sz w:val="20"/>
          <w:szCs w:val="20"/>
          <w:color w:val="auto"/>
        </w:rPr>
      </w:pPr>
      <w:r>
        <w:rPr>
          <w:rFonts w:ascii="Arial" w:cs="Arial" w:eastAsia="Arial" w:hAnsi="Arial"/>
          <w:sz w:val="17"/>
          <w:szCs w:val="17"/>
          <w:color w:val="auto"/>
        </w:rPr>
        <w:t>For patients with ovarian cancer, the most important prognostic factor is stage of the disease. Unfortunately, most patients with ovarian cancer have widespread disease at diagnosis. This may be partly explained by relatively early spread to the rest of the abdominal cavity. General symptoms such as abdominal pain and swelling, gastrointestinal symptoms, and pelvic pain often go unrecognized, leading to delays in diagnosis.</w:t>
      </w:r>
    </w:p>
    <w:p>
      <w:pPr>
        <w:spacing w:after="0" w:line="171" w:lineRule="exact"/>
        <w:rPr>
          <w:sz w:val="20"/>
          <w:szCs w:val="20"/>
          <w:color w:val="auto"/>
        </w:rPr>
      </w:pPr>
    </w:p>
    <w:p>
      <w:pPr>
        <w:jc w:val="both"/>
        <w:ind w:left="160" w:right="239" w:firstLine="646"/>
        <w:spacing w:after="0" w:line="262" w:lineRule="auto"/>
        <w:rPr>
          <w:sz w:val="20"/>
          <w:szCs w:val="20"/>
          <w:color w:val="auto"/>
        </w:rPr>
      </w:pPr>
      <w:r>
        <w:rPr>
          <w:rFonts w:ascii="Arial" w:cs="Arial" w:eastAsia="Arial" w:hAnsi="Arial"/>
          <w:sz w:val="18"/>
          <w:szCs w:val="18"/>
          <w:color w:val="auto"/>
        </w:rPr>
        <w:t>Most patients are treated with a combination of surgery, chemotherapy, targeted therapy and radiation therapy. Surgery is often comprehensive to remove as much of the tumor as possible and may include removal of the ovaries or a total hysterectomy where the uterus is also removed.</w:t>
      </w:r>
    </w:p>
    <w:p>
      <w:pPr>
        <w:spacing w:after="0" w:line="183" w:lineRule="exact"/>
        <w:rPr>
          <w:sz w:val="20"/>
          <w:szCs w:val="20"/>
          <w:color w:val="auto"/>
        </w:rPr>
      </w:pPr>
    </w:p>
    <w:p>
      <w:pPr>
        <w:ind w:left="160" w:right="399" w:firstLine="646"/>
        <w:spacing w:after="0" w:line="219" w:lineRule="exact"/>
        <w:rPr>
          <w:sz w:val="20"/>
          <w:szCs w:val="20"/>
          <w:color w:val="auto"/>
        </w:rPr>
      </w:pPr>
      <w:r>
        <w:rPr>
          <w:rFonts w:ascii="Arial" w:cs="Arial" w:eastAsia="Arial" w:hAnsi="Arial"/>
          <w:sz w:val="18"/>
          <w:szCs w:val="18"/>
          <w:color w:val="auto"/>
        </w:rPr>
        <w:t>Unfortunately, available therapies are rarely curative in the treatment of ovarian cancer and many tumors become resistant to platinum</w:t>
      </w:r>
      <w:r>
        <w:rPr>
          <w:rFonts w:ascii="MS PGothic" w:cs="MS PGothic" w:eastAsia="MS PGothic" w:hAnsi="MS PGothic"/>
          <w:sz w:val="18"/>
          <w:szCs w:val="18"/>
          <w:color w:val="auto"/>
        </w:rPr>
        <w:t>‑</w:t>
      </w:r>
      <w:r>
        <w:rPr>
          <w:rFonts w:ascii="Arial" w:cs="Arial" w:eastAsia="Arial" w:hAnsi="Arial"/>
          <w:sz w:val="18"/>
          <w:szCs w:val="18"/>
          <w:color w:val="auto"/>
        </w:rPr>
        <w:t>based chemotherapy, which is the primary treatment regimen. Further therapy with conventional chemotherapy is generally palliative, not curative, as the tumor is able to metastasize and spread to other sites in the body.</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Pancreatic Cancer</w:t>
      </w:r>
    </w:p>
    <w:p>
      <w:pPr>
        <w:spacing w:after="0" w:line="224" w:lineRule="exact"/>
        <w:rPr>
          <w:sz w:val="20"/>
          <w:szCs w:val="20"/>
          <w:color w:val="auto"/>
        </w:rPr>
      </w:pPr>
    </w:p>
    <w:p>
      <w:pPr>
        <w:ind w:left="160" w:right="259" w:firstLine="646"/>
        <w:spacing w:after="0" w:line="274" w:lineRule="auto"/>
        <w:rPr>
          <w:sz w:val="20"/>
          <w:szCs w:val="20"/>
          <w:color w:val="auto"/>
        </w:rPr>
      </w:pPr>
      <w:r>
        <w:rPr>
          <w:rFonts w:ascii="Arial" w:cs="Arial" w:eastAsia="Arial" w:hAnsi="Arial"/>
          <w:sz w:val="17"/>
          <w:szCs w:val="17"/>
          <w:color w:val="auto"/>
        </w:rPr>
        <w:t>Pancreatic cancer begins in the tissues of the pancreas — an organ in the abdomen that lies horizontally behind the lower part of the stomach. The pancreas secretes enzymes that aid digestion and hormones that help regulate the metabolism of sugars. Patients present initially with vague symptoms that are often mistaken for other common abdominal conditions and diseases. It is the 12th most common cancer diagnosed in the United States and the disease represents the fourth leading cause of cancer-related death in the country.</w:t>
      </w:r>
    </w:p>
    <w:p>
      <w:pPr>
        <w:spacing w:after="0" w:line="176" w:lineRule="exact"/>
        <w:rPr>
          <w:sz w:val="20"/>
          <w:szCs w:val="20"/>
          <w:color w:val="auto"/>
        </w:rPr>
      </w:pPr>
    </w:p>
    <w:p>
      <w:pPr>
        <w:ind w:left="160" w:right="179" w:firstLine="646"/>
        <w:spacing w:after="0" w:line="290" w:lineRule="auto"/>
        <w:rPr>
          <w:sz w:val="20"/>
          <w:szCs w:val="20"/>
          <w:color w:val="auto"/>
        </w:rPr>
      </w:pPr>
      <w:r>
        <w:rPr>
          <w:rFonts w:ascii="Arial" w:cs="Arial" w:eastAsia="Arial" w:hAnsi="Arial"/>
          <w:sz w:val="16"/>
          <w:szCs w:val="16"/>
          <w:color w:val="auto"/>
        </w:rPr>
        <w:t>Pancreatic cancer often has a poor prognosis, even when diagnosed early. Pancreatic cancer typically spreads rapidly and is seldom detected in its early stages, which is a major reason why it is a leading cause of cancer death. Signs and symptoms may not appear until pancreatic cancer is so advanced that complete surgical removal is not possible. An estimated 54,000 Americans will be diagnosed with pancreatic cancer in 2017 and over 43,000 will die from the disease. Pancreatic cancer is one of the few cancers where survival has not improved significantly during the past 40 years. Pancreatic cancer has a very high mortality rate with 92.3% of patients dying within five years of their initial diagnosis. The median age for diagnosis is 70 with the disease affecting males slightly more than females.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39" w:firstLine="646"/>
        <w:spacing w:after="0" w:line="295" w:lineRule="auto"/>
        <w:rPr>
          <w:sz w:val="20"/>
          <w:szCs w:val="20"/>
          <w:color w:val="auto"/>
        </w:rPr>
      </w:pPr>
      <w:r>
        <w:rPr>
          <w:rFonts w:ascii="Arial" w:cs="Arial" w:eastAsia="Arial" w:hAnsi="Arial"/>
          <w:sz w:val="16"/>
          <w:szCs w:val="16"/>
          <w:color w:val="auto"/>
        </w:rPr>
        <w:t>Treatment options for pancreatic cancer are limited with surgical resection of the tumor possible in less than 20% of patients. Chemotherapy or chemotherapy plus radiation is offered to patients whose tumors are unable to be removed surgically. Immuno-oncology agents have not demonstrated a significant improvement in treatment outcome for patients with pancreatic cancer. The limited impact of chemotherapies and immunotherapies to improve the outcome may be due to the dense stroma that is prevalent in pancreatic tumors and the presence of CSCs in the tumor.</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Non-Small Cell Lung Cancer</w:t>
      </w:r>
    </w:p>
    <w:p>
      <w:pPr>
        <w:spacing w:after="0" w:line="224" w:lineRule="exact"/>
        <w:rPr>
          <w:sz w:val="20"/>
          <w:szCs w:val="20"/>
          <w:color w:val="auto"/>
        </w:rPr>
      </w:pPr>
    </w:p>
    <w:p>
      <w:pPr>
        <w:ind w:left="160" w:right="159" w:firstLine="646"/>
        <w:spacing w:after="0" w:line="218" w:lineRule="exact"/>
        <w:rPr>
          <w:sz w:val="20"/>
          <w:szCs w:val="20"/>
          <w:color w:val="auto"/>
        </w:rPr>
      </w:pPr>
      <w:r>
        <w:rPr>
          <w:rFonts w:ascii="Arial" w:cs="Arial" w:eastAsia="Arial" w:hAnsi="Arial"/>
          <w:sz w:val="16"/>
          <w:szCs w:val="16"/>
          <w:color w:val="auto"/>
        </w:rPr>
        <w:t>According to the NCI, the most common types of NSCLC are squamous cell carcinoma, large cell carcinoma, and adenocarcinoma. Although NSCLCs are associated with cigarette smoke, adenocarcinomas may be found in patients who have never smoked. As a class, NSCLCs are relatively insensitive to chemotherapy and radiation therapy compared with small cell lung cancer (SCLC). The NCI estimates that in 2016 there were 224,390 new cases of lung cancer (both NSCLC and SCLC) in the United States and 158,080 deaths. Lung cancer is the leading cause of cancer</w:t>
      </w:r>
      <w:r>
        <w:rPr>
          <w:rFonts w:ascii="MS PGothic" w:cs="MS PGothic" w:eastAsia="MS PGothic" w:hAnsi="MS PGothic"/>
          <w:sz w:val="16"/>
          <w:szCs w:val="16"/>
          <w:color w:val="auto"/>
        </w:rPr>
        <w:t>‑</w:t>
      </w:r>
      <w:r>
        <w:rPr>
          <w:rFonts w:ascii="Arial" w:cs="Arial" w:eastAsia="Arial" w:hAnsi="Arial"/>
          <w:sz w:val="16"/>
          <w:szCs w:val="16"/>
          <w:color w:val="auto"/>
        </w:rPr>
        <w:t>related mortality in the United States. The five</w:t>
      </w:r>
      <w:r>
        <w:rPr>
          <w:rFonts w:ascii="MS PGothic" w:cs="MS PGothic" w:eastAsia="MS PGothic" w:hAnsi="MS PGothic"/>
          <w:sz w:val="16"/>
          <w:szCs w:val="16"/>
          <w:color w:val="auto"/>
        </w:rPr>
        <w:t>‑</w:t>
      </w:r>
      <w:r>
        <w:rPr>
          <w:rFonts w:ascii="Arial" w:cs="Arial" w:eastAsia="Arial" w:hAnsi="Arial"/>
          <w:sz w:val="16"/>
          <w:szCs w:val="16"/>
          <w:color w:val="auto"/>
        </w:rPr>
        <w:t>year relative survival rate from 2006 to 2012 for patients with lung cancer was 17.9%.</w:t>
      </w:r>
    </w:p>
    <w:p>
      <w:pPr>
        <w:spacing w:after="0" w:line="201" w:lineRule="exact"/>
        <w:rPr>
          <w:sz w:val="20"/>
          <w:szCs w:val="20"/>
          <w:color w:val="auto"/>
        </w:rPr>
      </w:pPr>
    </w:p>
    <w:p>
      <w:pPr>
        <w:ind w:left="160" w:right="259" w:firstLine="646"/>
        <w:spacing w:after="0" w:line="217" w:lineRule="exact"/>
        <w:rPr>
          <w:sz w:val="20"/>
          <w:szCs w:val="20"/>
          <w:color w:val="auto"/>
        </w:rPr>
      </w:pPr>
      <w:r>
        <w:rPr>
          <w:rFonts w:ascii="Arial" w:cs="Arial" w:eastAsia="Arial" w:hAnsi="Arial"/>
          <w:sz w:val="17"/>
          <w:szCs w:val="17"/>
          <w:color w:val="auto"/>
        </w:rPr>
        <w:t>Patients with resectable disease may be cured by surgery or surgery followed by chemotherapy. Local control can be achieved with radiation therapy in a large number of patients with unresectable disease, but cure is seen only in a small number of patients. Patients with locally advanced unresectable disease may achieve long</w:t>
      </w:r>
      <w:r>
        <w:rPr>
          <w:rFonts w:ascii="MS PGothic" w:cs="MS PGothic" w:eastAsia="MS PGothic" w:hAnsi="MS PGothic"/>
          <w:sz w:val="17"/>
          <w:szCs w:val="17"/>
          <w:color w:val="auto"/>
        </w:rPr>
        <w:t>‑</w:t>
      </w:r>
      <w:r>
        <w:rPr>
          <w:rFonts w:ascii="Arial" w:cs="Arial" w:eastAsia="Arial" w:hAnsi="Arial"/>
          <w:sz w:val="17"/>
          <w:szCs w:val="17"/>
          <w:color w:val="auto"/>
        </w:rPr>
        <w:t>term survival with radiation therapy combined with chemotherapy. Patients with advanced metastatic disease may achieve improved survival and palliation of symptoms with chemotherapy, targeted agents, and other supportive measures. The disease becomes resistant to therapy and returns in the vast majority of patients. The presence of CSCs may contribute to this resistance and eventual disease progression.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Mesothelioma</w:t>
      </w:r>
    </w:p>
    <w:p>
      <w:pPr>
        <w:spacing w:after="0" w:line="224" w:lineRule="exact"/>
        <w:rPr>
          <w:sz w:val="20"/>
          <w:szCs w:val="20"/>
          <w:color w:val="auto"/>
        </w:rPr>
      </w:pPr>
    </w:p>
    <w:p>
      <w:pPr>
        <w:ind w:left="160" w:right="259" w:firstLine="646"/>
        <w:spacing w:after="0" w:line="256" w:lineRule="auto"/>
        <w:rPr>
          <w:sz w:val="20"/>
          <w:szCs w:val="20"/>
          <w:color w:val="auto"/>
        </w:rPr>
      </w:pPr>
      <w:r>
        <w:rPr>
          <w:rFonts w:ascii="Arial" w:cs="Arial" w:eastAsia="Arial" w:hAnsi="Arial"/>
          <w:sz w:val="18"/>
          <w:szCs w:val="18"/>
          <w:color w:val="auto"/>
        </w:rPr>
        <w:t>Mesothelioma is a form of cancer most often caused by asbestos, that affects the smooth lining of the chest, lungs, heart, and abdomen. The layer of tissue surrounding these organs is made up of mesothelial cells, hence the name mesothelioma. Mesothelioma most often forms in the pleural cavity of the chest or into the abdomen. Mesothelioma forms a solid tumor that begins as a result of insult to the tissues caused by asbestos particles, which penetrate into the pleural cavity of the chest.</w:t>
      </w:r>
    </w:p>
    <w:p>
      <w:pPr>
        <w:spacing w:after="0" w:line="188" w:lineRule="exact"/>
        <w:rPr>
          <w:sz w:val="20"/>
          <w:szCs w:val="20"/>
          <w:color w:val="auto"/>
        </w:rPr>
      </w:pPr>
    </w:p>
    <w:p>
      <w:pPr>
        <w:ind w:left="160" w:right="279" w:firstLine="646"/>
        <w:spacing w:after="0" w:line="272" w:lineRule="auto"/>
        <w:rPr>
          <w:sz w:val="20"/>
          <w:szCs w:val="20"/>
          <w:color w:val="auto"/>
        </w:rPr>
      </w:pPr>
      <w:r>
        <w:rPr>
          <w:rFonts w:ascii="Arial" w:cs="Arial" w:eastAsia="Arial" w:hAnsi="Arial"/>
          <w:sz w:val="17"/>
          <w:szCs w:val="17"/>
          <w:color w:val="auto"/>
        </w:rPr>
        <w:t>Pleural mesothelioma accounts for approximately 2,500 - 3,000 cases a year in the United States. This disease affects the pleura, which is the thin balloon shaped lining of the lungs. In its early stages, mesothelioma is difficult to detect as it may start with a thickening of the pleural rind, or fluid, which can be associated with many other conditions. This rind is normally thin and smooth in the non-diseased state. In time it begins to demonstrate progression, forming a more pronounced irregular rind and nodules which coalesce into a crust that compresses and invades into adjacent structures compromising lung and cardiac function.</w:t>
      </w:r>
    </w:p>
    <w:p>
      <w:pPr>
        <w:spacing w:after="0" w:line="178" w:lineRule="exact"/>
        <w:rPr>
          <w:sz w:val="20"/>
          <w:szCs w:val="20"/>
          <w:color w:val="auto"/>
        </w:rPr>
      </w:pPr>
    </w:p>
    <w:p>
      <w:pPr>
        <w:ind w:left="160" w:right="319" w:firstLine="646"/>
        <w:spacing w:after="0" w:line="310" w:lineRule="auto"/>
        <w:rPr>
          <w:sz w:val="20"/>
          <w:szCs w:val="20"/>
          <w:color w:val="auto"/>
        </w:rPr>
      </w:pPr>
      <w:r>
        <w:rPr>
          <w:rFonts w:ascii="Arial" w:cs="Arial" w:eastAsia="Arial" w:hAnsi="Arial"/>
          <w:sz w:val="16"/>
          <w:szCs w:val="16"/>
          <w:color w:val="auto"/>
        </w:rPr>
        <w:t>The symptoms of mesothelioma gradually become more noticeable, prompting the patient to seek a medical consultation. By this time the progression of the disease may already be too advanced, as the tumor may have spread to the lymph nodes and/or begun to metastasize to remote organs of the body like the brain, spleen, liver or kidneys.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PI3K Inhibition Program</w:t>
      </w:r>
    </w:p>
    <w:p>
      <w:pPr>
        <w:spacing w:after="0" w:line="228" w:lineRule="exact"/>
        <w:rPr>
          <w:sz w:val="20"/>
          <w:szCs w:val="20"/>
          <w:color w:val="auto"/>
        </w:rPr>
      </w:pPr>
    </w:p>
    <w:p>
      <w:pPr>
        <w:ind w:left="160" w:right="199" w:firstLine="646"/>
        <w:spacing w:after="0" w:line="254" w:lineRule="auto"/>
        <w:rPr>
          <w:sz w:val="20"/>
          <w:szCs w:val="20"/>
          <w:color w:val="auto"/>
        </w:rPr>
      </w:pPr>
      <w:r>
        <w:rPr>
          <w:rFonts w:ascii="Arial" w:cs="Arial" w:eastAsia="Arial" w:hAnsi="Arial"/>
          <w:sz w:val="18"/>
          <w:szCs w:val="18"/>
          <w:color w:val="auto"/>
        </w:rPr>
        <w:t>The PI3Ks are a family of enzymes involved in multiple cellular functions, including cell proliferation and survival, cell differentiation, cell migration, and immunity. PI3K-delta and PI3K-gamma are two proteins with distinct and mostly non-overlapping roles believed to support the growth and survival of malignant B-cells and T-cells. Specifically, preclinical data suggest that PI3K-delta signaling can lead to the proliferation of malignant B-cells, and that both PI3K-gamma and PI3K-delta play an important role in the formation and maintenance of the supportive tumor microenvironment.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Duvelisib</w:t>
      </w:r>
    </w:p>
    <w:p>
      <w:pPr>
        <w:spacing w:after="0" w:line="228" w:lineRule="exact"/>
        <w:rPr>
          <w:sz w:val="20"/>
          <w:szCs w:val="20"/>
          <w:color w:val="auto"/>
        </w:rPr>
      </w:pPr>
    </w:p>
    <w:p>
      <w:pPr>
        <w:ind w:left="160" w:right="219" w:firstLine="646"/>
        <w:spacing w:after="0" w:line="310" w:lineRule="auto"/>
        <w:rPr>
          <w:sz w:val="20"/>
          <w:szCs w:val="20"/>
          <w:color w:val="auto"/>
        </w:rPr>
      </w:pPr>
      <w:r>
        <w:rPr>
          <w:rFonts w:ascii="Arial" w:cs="Arial" w:eastAsia="Arial" w:hAnsi="Arial"/>
          <w:sz w:val="16"/>
          <w:szCs w:val="16"/>
          <w:color w:val="auto"/>
        </w:rPr>
        <w:t>Our lead product candidate, duvelisib, is an oral, dual inhibitor of PI3K-delta and PI3K-gamma. Duvelisib is an investigational compound in clinical trials for hematologic malignancies, and its safety and efficacy have not yet been evaluated by the U.S. Food and Drug Administration (FDA) or any other health authority for marketing authorization.</w:t>
      </w:r>
    </w:p>
    <w:p>
      <w:pPr>
        <w:spacing w:after="0" w:line="148" w:lineRule="exact"/>
        <w:rPr>
          <w:sz w:val="20"/>
          <w:szCs w:val="20"/>
          <w:color w:val="auto"/>
        </w:rPr>
      </w:pPr>
    </w:p>
    <w:p>
      <w:pPr>
        <w:ind w:left="160" w:right="159" w:firstLine="646"/>
        <w:spacing w:after="0" w:line="270" w:lineRule="auto"/>
        <w:rPr>
          <w:sz w:val="20"/>
          <w:szCs w:val="20"/>
          <w:color w:val="auto"/>
        </w:rPr>
      </w:pPr>
      <w:r>
        <w:rPr>
          <w:rFonts w:ascii="Arial" w:cs="Arial" w:eastAsia="Arial" w:hAnsi="Arial"/>
          <w:sz w:val="17"/>
          <w:szCs w:val="17"/>
          <w:color w:val="auto"/>
        </w:rPr>
        <w:t>We are conducting worldwide clinical investigation of duvelisib in blood cancers initially focusing on iNHL and CLL. The investigation of duvelisib is supported by data from a Phase 1, open-label, dose-escalation study designed to evaluate the safety, pharmacokinetics and clinical activity of duvelisib in patients with advanced hematologic malignancies. The maximum tolerated dose of duvelisib was defined at 75 mg twice daily (BID) and the trial has been completed. A 25 mg BID dosing regimen has been determined for further development based on efficacy, safety, pharmacokinetics and pharmacodynamics. Data from this study, presented in December 2014 at the Annual Meeting of the American Society for Hematology (ASH 2014), showed that duvelisib is clinically active in CLL, SLL, iNHL, and T-cell lymphoma, as well as other hematologic malignancies.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Indolent Non-Hodgkin Lymphoma</w:t>
      </w:r>
    </w:p>
    <w:p>
      <w:pPr>
        <w:spacing w:after="0" w:line="224" w:lineRule="exact"/>
        <w:rPr>
          <w:sz w:val="20"/>
          <w:szCs w:val="20"/>
          <w:color w:val="auto"/>
        </w:rPr>
      </w:pPr>
    </w:p>
    <w:p>
      <w:pPr>
        <w:ind w:left="160" w:right="139" w:firstLine="646"/>
        <w:spacing w:after="0" w:line="287" w:lineRule="auto"/>
        <w:rPr>
          <w:sz w:val="20"/>
          <w:szCs w:val="20"/>
          <w:color w:val="auto"/>
        </w:rPr>
      </w:pPr>
      <w:r>
        <w:rPr>
          <w:rFonts w:ascii="Arial" w:cs="Arial" w:eastAsia="Arial" w:hAnsi="Arial"/>
          <w:sz w:val="16"/>
          <w:szCs w:val="16"/>
          <w:color w:val="auto"/>
        </w:rPr>
        <w:t>The FDA and European Medicines Agency (EMA) have granted orphan drug designation to duvelisib for the potential treatment of FL, and the FDA has granted fast track designation to the investigation of duvelisib for the treatment of patients with FL who have received at least two prior therapies. The DYNAMO study is a Phase 2, open-label, single–arm monotherapy study evaluating the safety and efficacy of duvelisib dosed at 25 mg BID in 129 patients with iNHL. Patients in DYNAMO that continue to derive benefit remain on treatment. DYNAMO enrollment criteria included patients with FL, the most common subtype of iNHL, marginal zone lymphoma (MZL) and SLL, whose disease is refractory to rituximab, a monoclonal antibody treatment, and to either chemotherapy or radioimmunotherapy and who must have progressed within six months of receiving their final dose of a previous therapy. The primary endpoint of the study was an ORR according to the International Working Group Criteria, which includes change in target nodal lesion in combination with other measurements to determine response to treatment.</w:t>
      </w:r>
    </w:p>
    <w:p>
      <w:pPr>
        <w:spacing w:after="0" w:line="169" w:lineRule="exact"/>
        <w:rPr>
          <w:sz w:val="20"/>
          <w:szCs w:val="20"/>
          <w:color w:val="auto"/>
        </w:rPr>
      </w:pPr>
    </w:p>
    <w:p>
      <w:pPr>
        <w:ind w:left="160" w:right="159" w:firstLine="646"/>
        <w:spacing w:after="0" w:line="272" w:lineRule="auto"/>
        <w:rPr>
          <w:sz w:val="20"/>
          <w:szCs w:val="20"/>
          <w:color w:val="auto"/>
        </w:rPr>
      </w:pPr>
      <w:r>
        <w:rPr>
          <w:rFonts w:ascii="Arial" w:cs="Arial" w:eastAsia="Arial" w:hAnsi="Arial"/>
          <w:sz w:val="17"/>
          <w:szCs w:val="17"/>
          <w:color w:val="auto"/>
        </w:rPr>
        <w:t>The results from the DYNAMO study were presented at the 2016 Annual Meeting of the American Society for Hematology conference. DYNAMO achieved the primary endpoint in a heavily pre-treated, double refractory to chemotherapy and rituximab, patient population with an ORR of 46% (p=0.0001) in the intent to treat population (ITT), as assessed by an independent review committee with a median duration of response of 10 months. The breakdown of ORR in the three subtypes of iNHL for the overall study population was 41% in FL (n=83), 68% in SLL (n=28) and 33% in MZL (n=18). 83% of patients had a reduction in target lymph nodes.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153670</wp:posOffset>
            </wp:positionV>
            <wp:extent cx="4554855" cy="3751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54855" cy="375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756867"/>
        </w:rPr>
        <w:t>*Adapted from Flinn et al., ASH 2016</w:t>
      </w:r>
    </w:p>
    <w:p>
      <w:pPr>
        <w:spacing w:after="0" w:line="35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153670</wp:posOffset>
            </wp:positionV>
            <wp:extent cx="4554855" cy="2478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5485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756867"/>
        </w:rPr>
        <w:t>*Flinn et al., ASH 2016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97155</wp:posOffset>
            </wp:positionV>
            <wp:extent cx="55378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59" w:firstLine="646"/>
        <w:spacing w:after="0" w:line="270" w:lineRule="auto"/>
        <w:rPr>
          <w:sz w:val="20"/>
          <w:szCs w:val="20"/>
          <w:color w:val="auto"/>
        </w:rPr>
      </w:pPr>
      <w:r>
        <w:rPr>
          <w:rFonts w:ascii="Arial" w:cs="Arial" w:eastAsia="Arial" w:hAnsi="Arial"/>
          <w:sz w:val="17"/>
          <w:szCs w:val="17"/>
          <w:color w:val="auto"/>
        </w:rPr>
        <w:t>Duvelisib was generally well tolerated, with an expected and manageable safety profile with appropriate risk mitigation. The majority of adverse events were Grade 1 or 2 in severity, reversible and/or clinically manageable. The most common (&gt;5%) Grade 3 adverse effects were an increase in diarrhea (14%), anemia (10%), and neutropenia (9%). Grade 3 or 4 adverse effects of special interest included neutropenia (28%), infection (18%), diarrhea (15%), thrombocytopenia (13%), anemia (12%), pneumonia (9%), hepatotoxicity (8%), rash (7%), colitis (5%), and pneumonitis (2%). Serious opportunistic infections were &lt;5% with none being fatal. Four treatment-related adverse events had the outcome of death (one septic shock; one viral infection; one drug reaction/eosinophilia/ systemic symptoms, one toxic epidermal necrolysis/sepsis syndrome).</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Chronic Lymphocytic Leukemia</w:t>
      </w:r>
    </w:p>
    <w:p>
      <w:pPr>
        <w:spacing w:after="0" w:line="224" w:lineRule="exact"/>
        <w:rPr>
          <w:sz w:val="20"/>
          <w:szCs w:val="20"/>
          <w:color w:val="auto"/>
        </w:rPr>
      </w:pPr>
    </w:p>
    <w:p>
      <w:pPr>
        <w:ind w:left="160" w:right="179" w:firstLine="646"/>
        <w:spacing w:after="0" w:line="290" w:lineRule="auto"/>
        <w:rPr>
          <w:sz w:val="20"/>
          <w:szCs w:val="20"/>
          <w:color w:val="auto"/>
        </w:rPr>
      </w:pPr>
      <w:r>
        <w:rPr>
          <w:rFonts w:ascii="Arial" w:cs="Arial" w:eastAsia="Arial" w:hAnsi="Arial"/>
          <w:sz w:val="16"/>
          <w:szCs w:val="16"/>
          <w:color w:val="auto"/>
        </w:rPr>
        <w:t>The FDA and EMA have granted orphan drug designation to duvelisib for the potential treatment of CLL and SLL. The FDA has granted fast track designation to the investigation of duvelisib for the potential treatment of patients with CLL who have received at least one prior therapy. We are evaluating duvelisib for the treatment of CLL in the DUO study. DUO is a randomized, Phase 3 monotherapy study designed to evaluate the safety and efficacy of duvelisib dosed at 25 mg BID compared to ofatumumab, a monoclonal antibody treatment, in approximately 300 patients with relapsed or refractory CLL. The primary endpoint of the study is progression-free survival. Enrollment of DUO was completed in November 2015, and we expect to report topline data mid-year 2017.</w:t>
      </w:r>
    </w:p>
    <w:p>
      <w:pPr>
        <w:spacing w:after="0" w:line="166" w:lineRule="exact"/>
        <w:rPr>
          <w:sz w:val="20"/>
          <w:szCs w:val="20"/>
          <w:color w:val="auto"/>
        </w:rPr>
      </w:pPr>
    </w:p>
    <w:p>
      <w:pPr>
        <w:ind w:left="160" w:right="219" w:firstLine="646"/>
        <w:spacing w:after="0" w:line="254" w:lineRule="auto"/>
        <w:rPr>
          <w:sz w:val="20"/>
          <w:szCs w:val="20"/>
          <w:color w:val="auto"/>
        </w:rPr>
      </w:pPr>
      <w:r>
        <w:rPr>
          <w:rFonts w:ascii="Arial" w:cs="Arial" w:eastAsia="Arial" w:hAnsi="Arial"/>
          <w:sz w:val="18"/>
          <w:szCs w:val="18"/>
          <w:color w:val="auto"/>
        </w:rPr>
        <w:t>The investigation of duvelisib in DUO is supported by preliminary data from a Phase 1 study that demonstrated that duvelisib administered at 25 mg BID was clinically active in patients with relapsed or refractory CLL, with a 57% ORR (17 of 30 evaluable patients), including one complete response, as per investigator assessment. At the time of the presentation of the study at ASH 2014, the median progression free survival in the 31 patients who received the 25 mg BID dose had not yet been reached with 66% of patients progression free at twelve months and 59% of patients progression free at 24 months.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153670</wp:posOffset>
            </wp:positionV>
            <wp:extent cx="4554855" cy="2538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54855" cy="2538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right="1559"/>
        <w:spacing w:after="0" w:line="251" w:lineRule="auto"/>
        <w:rPr>
          <w:sz w:val="20"/>
          <w:szCs w:val="20"/>
          <w:color w:val="auto"/>
        </w:rPr>
      </w:pPr>
      <w:r>
        <w:rPr>
          <w:rFonts w:ascii="Arial" w:cs="Arial" w:eastAsia="Arial" w:hAnsi="Arial"/>
          <w:sz w:val="14"/>
          <w:szCs w:val="14"/>
          <w:b w:val="1"/>
          <w:bCs w:val="1"/>
          <w:i w:val="1"/>
          <w:iCs w:val="1"/>
          <w:color w:val="756867"/>
        </w:rPr>
        <w:t>CR: Complete Response; PR: Partial Response; PD: Progressive Disease; TP53mut/del(17p): high-risk cytogenetic markers *O’Brien et al., ASH 2014</w:t>
      </w:r>
    </w:p>
    <w:p>
      <w:pPr>
        <w:spacing w:after="0" w:line="112" w:lineRule="exact"/>
        <w:rPr>
          <w:sz w:val="20"/>
          <w:szCs w:val="20"/>
          <w:color w:val="auto"/>
        </w:rPr>
      </w:pPr>
    </w:p>
    <w:p>
      <w:pPr>
        <w:jc w:val="both"/>
        <w:ind w:left="160" w:right="319" w:firstLine="646"/>
        <w:spacing w:after="0" w:line="258" w:lineRule="auto"/>
        <w:rPr>
          <w:sz w:val="20"/>
          <w:szCs w:val="20"/>
          <w:color w:val="auto"/>
        </w:rPr>
      </w:pPr>
      <w:r>
        <w:rPr>
          <w:rFonts w:ascii="Arial" w:cs="Arial" w:eastAsia="Arial" w:hAnsi="Arial"/>
          <w:sz w:val="18"/>
          <w:szCs w:val="18"/>
          <w:color w:val="auto"/>
        </w:rPr>
        <w:t>The majority of side effects were Grade 1 or 2 in severity, reversible and/or clinically manageable. Across all doses evaluated in the study (n=55), the most common Grade 3 side effects were pneumonia (24%), neutropenia (18%) and anemia (16%). Grade 4 side effects included pneumonia in one patient (2%), neutropenia in 13 patients (24%) and anemia in one patient (2%).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T-cell Lymphoma, Aggressive NHL and Other Lymphomas</w:t>
      </w:r>
    </w:p>
    <w:p>
      <w:pPr>
        <w:spacing w:after="0" w:line="224" w:lineRule="exact"/>
        <w:rPr>
          <w:sz w:val="20"/>
          <w:szCs w:val="20"/>
          <w:color w:val="auto"/>
        </w:rPr>
      </w:pPr>
    </w:p>
    <w:p>
      <w:pPr>
        <w:ind w:left="160" w:right="139"/>
        <w:spacing w:after="0" w:line="268" w:lineRule="auto"/>
        <w:rPr>
          <w:sz w:val="20"/>
          <w:szCs w:val="20"/>
          <w:color w:val="auto"/>
        </w:rPr>
      </w:pPr>
      <w:r>
        <w:rPr>
          <w:rFonts w:ascii="Arial" w:cs="Arial" w:eastAsia="Arial" w:hAnsi="Arial"/>
          <w:sz w:val="17"/>
          <w:szCs w:val="17"/>
          <w:color w:val="auto"/>
        </w:rPr>
        <w:t>Data from the Phase 1 study presented at ASH 2014 and at the Annual T-cell Lymphoma Forum held in January 2015 demonstrates that duvelisib is clinically active in advanced T-cell lymphomas. Treatment with duvelisib in heavily pre-treated patients with relapsed or refractory T-cell lymphoma resulted in an ORR of 42% (14 of 33 patients evaluable for response), including two complete responses and twelve partial responses. Among the 15 patients with peripheral T-cell lymphoma (PTCL) who were evaluable for response, treatment with duvelisib resulted in two complete responses and six partial responses, for an ORR of 53%. Among the 18 patients with cutaneous T-cell lymphoma (CTCL) evaluable for response, treatment with duvelisib resulted in six partial responses for an ORR of 33%. Stable disease was observed in one patient with PTCL and six patients with CTCL. The Grade 3 side effects in patients with T-cell lymphoma included increases in aspartate transaminase (ALT) or alanine transaminase (AST) in 11 patients (31%), rash in six patients (17%) and pneumonia in five patients (14%). Two patients (6%) had Grade 4 ALT or AST increases, and one patient (3%) had Grade 4 pneumonia.</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FIGURE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756867"/>
        </w:rPr>
        <w:t>CR</w:t>
      </w:r>
      <w:r>
        <w:rPr>
          <w:rFonts w:ascii="Arial" w:cs="Arial" w:eastAsia="Arial" w:hAnsi="Arial"/>
          <w:sz w:val="14"/>
          <w:szCs w:val="14"/>
          <w:i w:val="1"/>
          <w:iCs w:val="1"/>
          <w:color w:val="756867"/>
        </w:rPr>
        <w:t>: Complete Response;</w:t>
      </w:r>
      <w:r>
        <w:rPr>
          <w:rFonts w:ascii="Arial" w:cs="Arial" w:eastAsia="Arial" w:hAnsi="Arial"/>
          <w:sz w:val="14"/>
          <w:szCs w:val="14"/>
          <w:b w:val="1"/>
          <w:bCs w:val="1"/>
          <w:i w:val="1"/>
          <w:iCs w:val="1"/>
          <w:color w:val="756867"/>
        </w:rPr>
        <w:t xml:space="preserve"> PR</w:t>
      </w:r>
      <w:r>
        <w:rPr>
          <w:rFonts w:ascii="Arial" w:cs="Arial" w:eastAsia="Arial" w:hAnsi="Arial"/>
          <w:sz w:val="14"/>
          <w:szCs w:val="14"/>
          <w:i w:val="1"/>
          <w:iCs w:val="1"/>
          <w:color w:val="756867"/>
        </w:rPr>
        <w:t>: Partial Response</w:t>
      </w:r>
      <w:r>
        <w:rPr>
          <w:rFonts w:ascii="Arial" w:cs="Arial" w:eastAsia="Arial" w:hAnsi="Arial"/>
          <w:sz w:val="14"/>
          <w:szCs w:val="14"/>
          <w:b w:val="1"/>
          <w:bCs w:val="1"/>
          <w:i w:val="1"/>
          <w:iCs w:val="1"/>
          <w:color w:val="756867"/>
        </w:rPr>
        <w:t>;</w:t>
      </w:r>
    </w:p>
    <w:p>
      <w:pPr>
        <w:ind w:left="160"/>
        <w:spacing w:after="0" w:line="220" w:lineRule="auto"/>
        <w:rPr>
          <w:sz w:val="20"/>
          <w:szCs w:val="20"/>
          <w:color w:val="auto"/>
        </w:rPr>
      </w:pPr>
      <w:r>
        <w:rPr>
          <w:rFonts w:ascii="Arial" w:cs="Arial" w:eastAsia="Arial" w:hAnsi="Arial"/>
          <w:sz w:val="14"/>
          <w:szCs w:val="14"/>
          <w:b w:val="1"/>
          <w:bCs w:val="1"/>
          <w:i w:val="1"/>
          <w:iCs w:val="1"/>
          <w:color w:val="756867"/>
        </w:rPr>
        <w:t>ORR</w:t>
      </w:r>
      <w:r>
        <w:rPr>
          <w:rFonts w:ascii="Arial" w:cs="Arial" w:eastAsia="Arial" w:hAnsi="Arial"/>
          <w:sz w:val="14"/>
          <w:szCs w:val="14"/>
          <w:i w:val="1"/>
          <w:iCs w:val="1"/>
          <w:color w:val="756867"/>
        </w:rPr>
        <w:t>: CR + PR</w:t>
      </w:r>
    </w:p>
    <w:p>
      <w:pPr>
        <w:ind w:left="160"/>
        <w:spacing w:after="0"/>
        <w:rPr>
          <w:sz w:val="20"/>
          <w:szCs w:val="20"/>
          <w:color w:val="auto"/>
        </w:rPr>
      </w:pPr>
      <w:r>
        <w:rPr>
          <w:rFonts w:ascii="Arial" w:cs="Arial" w:eastAsia="Arial" w:hAnsi="Arial"/>
          <w:sz w:val="14"/>
          <w:szCs w:val="14"/>
          <w:b w:val="1"/>
          <w:bCs w:val="1"/>
          <w:i w:val="1"/>
          <w:iCs w:val="1"/>
          <w:color w:val="756867"/>
        </w:rPr>
        <w:t>*Horwitz et al., T-Cell Lymphoma Forum 2015</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FAK Inhibition Program</w:t>
      </w:r>
    </w:p>
    <w:p>
      <w:pPr>
        <w:spacing w:after="0" w:line="228" w:lineRule="exact"/>
        <w:rPr>
          <w:sz w:val="20"/>
          <w:szCs w:val="20"/>
          <w:color w:val="auto"/>
        </w:rPr>
      </w:pPr>
    </w:p>
    <w:p>
      <w:pPr>
        <w:ind w:left="160" w:right="219" w:firstLine="646"/>
        <w:spacing w:after="0" w:line="268" w:lineRule="auto"/>
        <w:rPr>
          <w:sz w:val="20"/>
          <w:szCs w:val="20"/>
          <w:color w:val="auto"/>
        </w:rPr>
      </w:pPr>
      <w:r>
        <w:rPr>
          <w:rFonts w:ascii="Arial" w:cs="Arial" w:eastAsia="Arial" w:hAnsi="Arial"/>
          <w:sz w:val="17"/>
          <w:szCs w:val="17"/>
          <w:color w:val="auto"/>
        </w:rPr>
        <w:t>Our product candidates that inhibit FAK utilize a multi-faceted approach to treat cancer by reducing CSCs, enhancing anti-tumor immunity, and modulating the local tumor microenvironment. Our lead FAK inhibitor is known as defactinib (VS-6063) and our early-stage FAK inhibitor is known as VS-4718. The effects of FAK inhibition on the tumor microenvironment make defactinib a good candidate for combination therapy with immuno-oncology agents and other anti-cancer compounds. FAK expression is greater in many tumor types compared to normal tissue, particularly in cancers that have a high invasive and metastatic capability. The contact between cancer cells and connective tissue stimulates FAK signaling. However, CSCs acquire the ability to survive in the absence of contact with connective tissue. We believe that FAK signaling in CSCs may be maintained through alternative mechanisms, thus providing CSCs the ability to survive in the absence of cell contact. Accordingly, we believe that FAK signaling may be a central component of CSC biology that allows CSCs to survive after exiting from a tumor mass and enable metastatic growth at other sites in the body.</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59" w:firstLine="646"/>
        <w:spacing w:after="0" w:line="283" w:lineRule="auto"/>
        <w:rPr>
          <w:sz w:val="20"/>
          <w:szCs w:val="20"/>
          <w:color w:val="auto"/>
        </w:rPr>
      </w:pPr>
      <w:r>
        <w:rPr>
          <w:rFonts w:ascii="Arial" w:cs="Arial" w:eastAsia="Arial" w:hAnsi="Arial"/>
          <w:sz w:val="16"/>
          <w:szCs w:val="16"/>
          <w:color w:val="auto"/>
        </w:rPr>
        <w:t xml:space="preserve">In September 2015, researchers from the University of Edinburgh published a study in the journal </w:t>
      </w:r>
      <w:r>
        <w:rPr>
          <w:rFonts w:ascii="Arial" w:cs="Arial" w:eastAsia="Arial" w:hAnsi="Arial"/>
          <w:sz w:val="16"/>
          <w:szCs w:val="16"/>
          <w:i w:val="1"/>
          <w:iCs w:val="1"/>
          <w:color w:val="auto"/>
        </w:rPr>
        <w:t>Cell</w:t>
      </w:r>
      <w:r>
        <w:rPr>
          <w:rFonts w:ascii="Arial" w:cs="Arial" w:eastAsia="Arial" w:hAnsi="Arial"/>
          <w:sz w:val="16"/>
          <w:szCs w:val="16"/>
          <w:color w:val="auto"/>
        </w:rPr>
        <w:t xml:space="preserve"> that highlights the potential of FAK inhibition to enable the body’s immune system to fight cancer. The paper discussed results from preclinical research showing that FAK enables cancer cells to evade attack by the immune system. This research showed that genetic knock down of FAK or oral dosing of mice with a FAK inhibitor decreases immunosuppressive cells called T-regulatory cells (Figure 5a) and increases cytotoxic T-cells (Figure 5b) in skin cancer tumors leading to a reduction in tumor burden (Figure 5c). This work has since been expanded into pancreatic cancer and colorectal cancer models in which FAK inhibition similarly extends survival of tumor-bearing mice through increasing cytotoxic T-cells in the tumor and decreasing T regulatory cells as published in </w:t>
      </w:r>
      <w:r>
        <w:rPr>
          <w:rFonts w:ascii="Arial" w:cs="Arial" w:eastAsia="Arial" w:hAnsi="Arial"/>
          <w:sz w:val="16"/>
          <w:szCs w:val="16"/>
          <w:i w:val="1"/>
          <w:iCs w:val="1"/>
          <w:color w:val="auto"/>
        </w:rPr>
        <w:t>Nature Medicine</w:t>
      </w:r>
      <w:r>
        <w:rPr>
          <w:rFonts w:ascii="Arial" w:cs="Arial" w:eastAsia="Arial" w:hAnsi="Arial"/>
          <w:sz w:val="16"/>
          <w:szCs w:val="16"/>
          <w:color w:val="auto"/>
        </w:rPr>
        <w:t xml:space="preserve"> in August,</w:t>
      </w:r>
    </w:p>
    <w:p>
      <w:pPr>
        <w:spacing w:after="0" w:line="2" w:lineRule="exact"/>
        <w:rPr>
          <w:sz w:val="20"/>
          <w:szCs w:val="20"/>
          <w:color w:val="auto"/>
        </w:rPr>
      </w:pPr>
    </w:p>
    <w:p>
      <w:pPr>
        <w:ind w:left="160" w:right="259"/>
        <w:spacing w:after="0" w:line="252" w:lineRule="auto"/>
        <w:rPr>
          <w:sz w:val="20"/>
          <w:szCs w:val="20"/>
          <w:color w:val="auto"/>
        </w:rPr>
      </w:pPr>
      <w:r>
        <w:rPr>
          <w:rFonts w:ascii="Arial" w:cs="Arial" w:eastAsia="Arial" w:hAnsi="Arial"/>
          <w:sz w:val="18"/>
          <w:szCs w:val="18"/>
          <w:color w:val="auto"/>
        </w:rPr>
        <w:t>2016. Additionally, FAK inhibition was found to decrease other key immunosuppressive cell populations in tumors, known as myeloid-derived suppressor cells and M2 tumor-associated macrophages. Coincident with this immuno-modulation, FAK inhibition was shown to substantially increase survival of mice when combined with an anti-PD-1 immune checkpoint antibody. These results have indicated the potential promise of FAK inhibitors in combination with immune checkpoint inhibitors in the clinic.</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153670</wp:posOffset>
            </wp:positionV>
            <wp:extent cx="4554855" cy="1589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54855" cy="158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756867"/>
        </w:rPr>
        <w:t>*Adapted from: Serrels et al. Nuclear FAK controls chemokine transcription, Tregs, and evasion of anti-tumor immunity. Cell. 2015.</w:t>
      </w:r>
    </w:p>
    <w:p>
      <w:pPr>
        <w:spacing w:after="0" w:line="207" w:lineRule="exact"/>
        <w:rPr>
          <w:sz w:val="20"/>
          <w:szCs w:val="20"/>
          <w:color w:val="auto"/>
        </w:rPr>
      </w:pPr>
    </w:p>
    <w:p>
      <w:pPr>
        <w:ind w:left="160" w:right="159" w:firstLine="646"/>
        <w:spacing w:after="0" w:line="268" w:lineRule="auto"/>
        <w:rPr>
          <w:sz w:val="20"/>
          <w:szCs w:val="20"/>
          <w:color w:val="auto"/>
        </w:rPr>
      </w:pPr>
      <w:r>
        <w:rPr>
          <w:rFonts w:ascii="Arial" w:cs="Arial" w:eastAsia="Arial" w:hAnsi="Arial"/>
          <w:sz w:val="17"/>
          <w:szCs w:val="17"/>
          <w:color w:val="auto"/>
        </w:rPr>
        <w:t>In the 2016 Nature Medicine paper, preclinical data were presented (Jiang, et al) demonstrating that FAK inhibition reduces stromal density and increases T-cell entry into tumors. In this study, it was discovered that treating mice bearing pancreatic cancer tumors with a FAK inhibitor reduces stromal density. This was measured as a decrease in the number (Figure 6a) and proliferation (Figure 6b) of tumor-associated fibroblasts, together with a decrease in collagen and other extracellular matrix proteins (Figure 6c) in the tumors. The paper’s authors went on to show that this reduction in stromal density by FAK inhibition augments the effectiveness of the chemotherapeutic agent gemcitabine, and also allowed cytotoxic T-cells to enter the tumors (Figure 6d) to induce more durable survival of transgenic mice bearing pancreatic tumors (Figure 7). We believe these data provide strong rationale for the clinical evaluation of FAK inhibitors, including defactinib, in combination with a PD-1 or PD-L1 antibody in patients with pancreatic and other cancers. Based on this research, we have initiated clinical trials to assess the combination of defactinib with either avelumab (anti-PD-L1) or pembrolizumab (anti-PD-1) for the treatment of patients with ovarian cancer, pancreatic cancer, mesothelioma, or NSCLC.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153670</wp:posOffset>
            </wp:positionV>
            <wp:extent cx="4563745" cy="1777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63745" cy="177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right="759"/>
        <w:spacing w:after="0" w:line="251" w:lineRule="auto"/>
        <w:rPr>
          <w:sz w:val="20"/>
          <w:szCs w:val="20"/>
          <w:color w:val="auto"/>
        </w:rPr>
      </w:pPr>
      <w:r>
        <w:rPr>
          <w:rFonts w:ascii="Arial" w:cs="Arial" w:eastAsia="Arial" w:hAnsi="Arial"/>
          <w:sz w:val="14"/>
          <w:szCs w:val="14"/>
          <w:b w:val="1"/>
          <w:bCs w:val="1"/>
          <w:i w:val="1"/>
          <w:iCs w:val="1"/>
          <w:color w:val="756867"/>
        </w:rPr>
        <w:t>*Adapted from: Jiang et al. Targeting focal adhesion kinase renders pancreatic cancers responsive to checkpoint immunotherapy. Nature Medicine. 2016.</w:t>
      </w:r>
    </w:p>
    <w:p>
      <w:pPr>
        <w:spacing w:after="0" w:line="3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153670</wp:posOffset>
            </wp:positionV>
            <wp:extent cx="3691890" cy="3034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91890" cy="303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756867"/>
        </w:rPr>
        <w:t>Vehicle: Placebo control; Immuno: Gem +/- anti-PD-1 +/- anti-CTLA-4</w:t>
      </w:r>
    </w:p>
    <w:p>
      <w:pPr>
        <w:ind w:left="160" w:right="759"/>
        <w:spacing w:after="0" w:line="236" w:lineRule="auto"/>
        <w:rPr>
          <w:sz w:val="20"/>
          <w:szCs w:val="20"/>
          <w:color w:val="auto"/>
        </w:rPr>
      </w:pPr>
      <w:r>
        <w:rPr>
          <w:rFonts w:ascii="Arial" w:cs="Arial" w:eastAsia="Arial" w:hAnsi="Arial"/>
          <w:sz w:val="14"/>
          <w:szCs w:val="14"/>
          <w:b w:val="1"/>
          <w:bCs w:val="1"/>
          <w:i w:val="1"/>
          <w:iCs w:val="1"/>
          <w:color w:val="756867"/>
        </w:rPr>
        <w:t>*Adapted from: Jiang et al. Targeting focal adhesion kinase renders pancreatic cancers responsive to checkpoint immunotherapy. Nature Medicine. 2016.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Defactinib</w:t>
      </w:r>
    </w:p>
    <w:p>
      <w:pPr>
        <w:spacing w:after="0" w:line="27" w:lineRule="exact"/>
        <w:rPr>
          <w:sz w:val="20"/>
          <w:szCs w:val="20"/>
          <w:color w:val="auto"/>
        </w:rPr>
      </w:pPr>
    </w:p>
    <w:p>
      <w:pPr>
        <w:ind w:left="160" w:right="239" w:firstLine="646"/>
        <w:spacing w:after="0" w:line="215" w:lineRule="exact"/>
        <w:rPr>
          <w:sz w:val="20"/>
          <w:szCs w:val="20"/>
          <w:color w:val="auto"/>
        </w:rPr>
      </w:pPr>
      <w:r>
        <w:rPr>
          <w:rFonts w:ascii="Arial" w:cs="Arial" w:eastAsia="Arial" w:hAnsi="Arial"/>
          <w:sz w:val="18"/>
          <w:szCs w:val="18"/>
          <w:color w:val="auto"/>
        </w:rPr>
        <w:t>Defactinib is an orally</w:t>
      </w:r>
      <w:r>
        <w:rPr>
          <w:rFonts w:ascii="MS PGothic" w:cs="MS PGothic" w:eastAsia="MS PGothic" w:hAnsi="MS PGothic"/>
          <w:sz w:val="18"/>
          <w:szCs w:val="18"/>
          <w:color w:val="auto"/>
        </w:rPr>
        <w:t>‑</w:t>
      </w:r>
      <w:r>
        <w:rPr>
          <w:rFonts w:ascii="Arial" w:cs="Arial" w:eastAsia="Arial" w:hAnsi="Arial"/>
          <w:sz w:val="18"/>
          <w:szCs w:val="18"/>
          <w:color w:val="auto"/>
        </w:rPr>
        <w:t>available small molecule kinase inhibitor designed to inhibit FAK signaling. We are currently evaluating defactinib as a potential therapy for ovarian cancer, pancreatic cancer, mesothelioma, NSCLC, and other solid tumors. Defactinib has orphan drug designation in ovarian cancer and mesothelioma in the United States, the European Union, and Australia.</w:t>
      </w:r>
    </w:p>
    <w:p>
      <w:pPr>
        <w:spacing w:after="0" w:line="203" w:lineRule="exact"/>
        <w:rPr>
          <w:sz w:val="20"/>
          <w:szCs w:val="20"/>
          <w:color w:val="auto"/>
        </w:rPr>
      </w:pPr>
    </w:p>
    <w:p>
      <w:pPr>
        <w:ind w:left="160" w:right="159" w:firstLine="646"/>
        <w:spacing w:after="0" w:line="254" w:lineRule="auto"/>
        <w:rPr>
          <w:sz w:val="20"/>
          <w:szCs w:val="20"/>
          <w:color w:val="auto"/>
        </w:rPr>
      </w:pPr>
      <w:r>
        <w:rPr>
          <w:rFonts w:ascii="Arial" w:cs="Arial" w:eastAsia="Arial" w:hAnsi="Arial"/>
          <w:sz w:val="18"/>
          <w:szCs w:val="18"/>
          <w:color w:val="auto"/>
        </w:rPr>
        <w:t xml:space="preserve">The clinical evaluation of defactinib is supported by a growing body of preclinical research suggesting that FAK inhibition, when combined with PD-1 inhibitors, increases the anti-tumor activity of these immunotherapeutic agents. As published in the journals </w:t>
      </w:r>
      <w:r>
        <w:rPr>
          <w:rFonts w:ascii="Arial" w:cs="Arial" w:eastAsia="Arial" w:hAnsi="Arial"/>
          <w:sz w:val="18"/>
          <w:szCs w:val="18"/>
          <w:i w:val="1"/>
          <w:iCs w:val="1"/>
          <w:color w:val="auto"/>
        </w:rPr>
        <w:t>Cell</w:t>
      </w:r>
      <w:r>
        <w:rPr>
          <w:rFonts w:ascii="Arial" w:cs="Arial" w:eastAsia="Arial" w:hAnsi="Arial"/>
          <w:sz w:val="18"/>
          <w:szCs w:val="18"/>
          <w:color w:val="auto"/>
        </w:rPr>
        <w:t xml:space="preserve"> and </w:t>
      </w:r>
      <w:r>
        <w:rPr>
          <w:rFonts w:ascii="Arial" w:cs="Arial" w:eastAsia="Arial" w:hAnsi="Arial"/>
          <w:sz w:val="18"/>
          <w:szCs w:val="18"/>
          <w:i w:val="1"/>
          <w:iCs w:val="1"/>
          <w:color w:val="auto"/>
        </w:rPr>
        <w:t>Nature Medicine</w:t>
      </w:r>
      <w:r>
        <w:rPr>
          <w:rFonts w:ascii="Arial" w:cs="Arial" w:eastAsia="Arial" w:hAnsi="Arial"/>
          <w:sz w:val="18"/>
          <w:szCs w:val="18"/>
          <w:color w:val="auto"/>
        </w:rPr>
        <w:t>, FAK inhibition has been shown to increase cytotoxic (CD8+) T-cells in tumors, decrease T-cell exhaustion, decrease immunosuppressive cell populations, enhance T-cell killing of tumor cells, and create a generally more favorable tumor microenvironment, which may allow for enhanced efficacy of immuno-oncology therapeutics.</w:t>
      </w:r>
    </w:p>
    <w:p>
      <w:pPr>
        <w:spacing w:after="0" w:line="193" w:lineRule="exact"/>
        <w:rPr>
          <w:sz w:val="20"/>
          <w:szCs w:val="20"/>
          <w:color w:val="auto"/>
        </w:rPr>
      </w:pPr>
    </w:p>
    <w:p>
      <w:pPr>
        <w:ind w:left="160" w:right="199" w:firstLine="646"/>
        <w:spacing w:after="0" w:line="271" w:lineRule="auto"/>
        <w:rPr>
          <w:sz w:val="20"/>
          <w:szCs w:val="20"/>
          <w:color w:val="auto"/>
        </w:rPr>
      </w:pPr>
      <w:r>
        <w:rPr>
          <w:rFonts w:ascii="Arial" w:cs="Arial" w:eastAsia="Arial" w:hAnsi="Arial"/>
          <w:sz w:val="17"/>
          <w:szCs w:val="17"/>
          <w:color w:val="auto"/>
        </w:rPr>
        <w:t>Pancreatic cancer, along with other tumors such as ovarian cancer and prostate cancer, are tumor types in which immunotherapeutics have achieved limited clinical benefit, possibly due to the dense desmoplastic stroma and the abundance of immunosuppressive cells. Preclinical research has demonstrated that high stromal density prevents anti-cancer agents and T-cells from entering pancreatic tumors thereby limiting efficacy. In preclinical research conducted by us and others, FAK inhibition was shown to reduce stromal density and allow cytotoxic T-cells to better penetrate the tumor and kill the cancer cells. Collectively, these data provide strong rationale for combining our FAK inhibitors with checkpoint inhibitors in the clinic for pancreatic and other solid tumors.</w:t>
      </w:r>
    </w:p>
    <w:p>
      <w:pPr>
        <w:spacing w:after="0" w:line="178" w:lineRule="exact"/>
        <w:rPr>
          <w:sz w:val="20"/>
          <w:szCs w:val="20"/>
          <w:color w:val="auto"/>
        </w:rPr>
      </w:pPr>
    </w:p>
    <w:p>
      <w:pPr>
        <w:ind w:left="160" w:right="259" w:firstLine="646"/>
        <w:spacing w:after="0" w:line="258" w:lineRule="auto"/>
        <w:rPr>
          <w:sz w:val="20"/>
          <w:szCs w:val="20"/>
          <w:color w:val="auto"/>
        </w:rPr>
      </w:pPr>
      <w:r>
        <w:rPr>
          <w:rFonts w:ascii="Arial" w:cs="Arial" w:eastAsia="Arial" w:hAnsi="Arial"/>
          <w:sz w:val="18"/>
          <w:szCs w:val="18"/>
          <w:i w:val="1"/>
          <w:iCs w:val="1"/>
          <w:color w:val="auto"/>
        </w:rPr>
        <w:t xml:space="preserve">Phase 1/2 study with Pfizer and Merck KGaA in combination with immunotherapy in ovarian cancer. </w:t>
      </w:r>
      <w:r>
        <w:rPr>
          <w:rFonts w:ascii="Arial" w:cs="Arial" w:eastAsia="Arial" w:hAnsi="Arial"/>
          <w:sz w:val="18"/>
          <w:szCs w:val="18"/>
          <w:color w:val="auto"/>
        </w:rPr>
        <w:t>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announced a new clinical collaboration with Pfizer and Merck KGaA to evaluate defactinib in combination with avelumab in patients with ovarian cancer. Avelumab is a human programmed death ligand 1 (PD-L1), blocking antibody that binds to the PD-L1 ligand expressed on tumor cells.</w:t>
      </w:r>
    </w:p>
    <w:p>
      <w:pPr>
        <w:spacing w:after="0" w:line="187" w:lineRule="exact"/>
        <w:rPr>
          <w:sz w:val="20"/>
          <w:szCs w:val="20"/>
          <w:color w:val="auto"/>
        </w:rPr>
      </w:pPr>
    </w:p>
    <w:p>
      <w:pPr>
        <w:ind w:left="160" w:right="559" w:firstLine="646"/>
        <w:spacing w:after="0" w:line="285" w:lineRule="auto"/>
        <w:rPr>
          <w:sz w:val="20"/>
          <w:szCs w:val="20"/>
          <w:color w:val="auto"/>
        </w:rPr>
      </w:pPr>
      <w:r>
        <w:rPr>
          <w:rFonts w:ascii="Arial" w:cs="Arial" w:eastAsia="Arial" w:hAnsi="Arial"/>
          <w:sz w:val="17"/>
          <w:szCs w:val="17"/>
          <w:i w:val="1"/>
          <w:iCs w:val="1"/>
          <w:color w:val="auto"/>
        </w:rPr>
        <w:t xml:space="preserve">Phase 1/2 study with Cancer Research United Kingdom (CRUK) in combination with pembrolizumab.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2016, we announced a new clinical collaboration with CRUK and Merck &amp; Co. to evaluate defactinib in combination with pembrolizumab in patients with NSCLC, mesothelioma, or pancreatic cancer.</w:t>
      </w:r>
    </w:p>
    <w:p>
      <w:pPr>
        <w:spacing w:after="0" w:line="165" w:lineRule="exact"/>
        <w:rPr>
          <w:sz w:val="20"/>
          <w:szCs w:val="20"/>
          <w:color w:val="auto"/>
        </w:rPr>
      </w:pPr>
    </w:p>
    <w:p>
      <w:pPr>
        <w:ind w:left="160" w:right="239" w:firstLine="646"/>
        <w:spacing w:after="0" w:line="271" w:lineRule="auto"/>
        <w:rPr>
          <w:sz w:val="20"/>
          <w:szCs w:val="20"/>
          <w:color w:val="auto"/>
        </w:rPr>
      </w:pPr>
      <w:r>
        <w:rPr>
          <w:rFonts w:ascii="Arial" w:cs="Arial" w:eastAsia="Arial" w:hAnsi="Arial"/>
          <w:sz w:val="17"/>
          <w:szCs w:val="17"/>
          <w:i w:val="1"/>
          <w:iCs w:val="1"/>
          <w:color w:val="auto"/>
        </w:rPr>
        <w:t xml:space="preserve">Phase 1/1b study in combination with immunotherapy in pancreatic cancer. </w:t>
      </w:r>
      <w:r>
        <w:rPr>
          <w:rFonts w:ascii="Arial" w:cs="Arial" w:eastAsia="Arial" w:hAnsi="Arial"/>
          <w:sz w:val="17"/>
          <w:szCs w:val="17"/>
          <w:color w:val="auto"/>
        </w:rPr>
        <w:t>Defactinib is in a dose escalation</w:t>
      </w:r>
      <w:r>
        <w:rPr>
          <w:rFonts w:ascii="Arial" w:cs="Arial" w:eastAsia="Arial" w:hAnsi="Arial"/>
          <w:sz w:val="17"/>
          <w:szCs w:val="17"/>
          <w:i w:val="1"/>
          <w:iCs w:val="1"/>
          <w:color w:val="auto"/>
        </w:rPr>
        <w:t xml:space="preserve"> </w:t>
      </w:r>
      <w:r>
        <w:rPr>
          <w:rFonts w:ascii="Arial" w:cs="Arial" w:eastAsia="Arial" w:hAnsi="Arial"/>
          <w:sz w:val="17"/>
          <w:szCs w:val="17"/>
          <w:color w:val="auto"/>
        </w:rPr>
        <w:t>study in combination with Merck &amp; Co.’s PD-1 inhibitor pembrolizumab and gemcitabine in patients with advanced pancreatic cancer. This Phase 1 clinical trial is anticipated to enroll approximately 50 patients and is being conducted at the Washington University School of Medicine’s Division of Oncology under the direction of Andrea Wang-Gillam, M.D., Ph.D., Clinical Director of the Gastrointestinal Oncology Program. This trial is primarily designed to evaluate the safety of the combination regimen and may also provide a greater understanding of how FAK inhibition in combination with immunotherapies could improve outcomes for patients with pancreatic cancer.</w:t>
      </w:r>
    </w:p>
    <w:p>
      <w:pPr>
        <w:spacing w:after="0" w:line="174"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b w:val="1"/>
          <w:bCs w:val="1"/>
          <w:color w:val="auto"/>
        </w:rPr>
        <w:t>OUR MANAGEMENT TEAM AND SCIENTIFIC CO</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FOUNDERS AND ADVISORS</w:t>
      </w:r>
    </w:p>
    <w:p>
      <w:pPr>
        <w:spacing w:after="0" w:line="228" w:lineRule="exact"/>
        <w:rPr>
          <w:sz w:val="20"/>
          <w:szCs w:val="20"/>
          <w:color w:val="auto"/>
        </w:rPr>
      </w:pPr>
    </w:p>
    <w:p>
      <w:pPr>
        <w:ind w:left="160" w:right="359" w:firstLine="646"/>
        <w:spacing w:after="0" w:line="276" w:lineRule="auto"/>
        <w:rPr>
          <w:sz w:val="20"/>
          <w:szCs w:val="20"/>
          <w:color w:val="auto"/>
        </w:rPr>
      </w:pPr>
      <w:r>
        <w:rPr>
          <w:rFonts w:ascii="Arial" w:cs="Arial" w:eastAsia="Arial" w:hAnsi="Arial"/>
          <w:sz w:val="18"/>
          <w:szCs w:val="18"/>
          <w:color w:val="auto"/>
        </w:rPr>
        <w:t>Our experienced management team includes our President and Chief Executive Officer, Robert Forrester, and our Chief Operating Officer, Daniel Paterson.</w:t>
      </w:r>
    </w:p>
    <w:p>
      <w:pPr>
        <w:spacing w:after="0" w:line="170" w:lineRule="exact"/>
        <w:rPr>
          <w:sz w:val="20"/>
          <w:szCs w:val="20"/>
          <w:color w:val="auto"/>
        </w:rPr>
      </w:pPr>
    </w:p>
    <w:p>
      <w:pPr>
        <w:ind w:left="160" w:right="319" w:firstLine="646"/>
        <w:spacing w:after="0" w:line="262" w:lineRule="auto"/>
        <w:rPr>
          <w:sz w:val="20"/>
          <w:szCs w:val="20"/>
          <w:color w:val="auto"/>
        </w:rPr>
      </w:pPr>
      <w:r>
        <w:rPr>
          <w:rFonts w:ascii="Arial" w:cs="Arial" w:eastAsia="Arial" w:hAnsi="Arial"/>
          <w:sz w:val="18"/>
          <w:szCs w:val="18"/>
          <w:color w:val="auto"/>
        </w:rPr>
        <w:t>Mr. Forrester has been the Chief Executive Officer, Chief Operating Officer and chief financial officer of both private and public life science companies, including Forma Therapeutics, Inc., CombinatoRx, Inc. and Coley Pharmaceutical Group, Inc., which was acquired by Pfizer Inc. in 2007.</w:t>
      </w:r>
    </w:p>
    <w:p>
      <w:pPr>
        <w:spacing w:after="0" w:line="183" w:lineRule="exact"/>
        <w:rPr>
          <w:sz w:val="20"/>
          <w:szCs w:val="20"/>
          <w:color w:val="auto"/>
        </w:rPr>
      </w:pPr>
    </w:p>
    <w:p>
      <w:pPr>
        <w:ind w:left="160" w:right="219" w:firstLine="646"/>
        <w:spacing w:after="0" w:line="218" w:lineRule="exact"/>
        <w:rPr>
          <w:sz w:val="20"/>
          <w:szCs w:val="20"/>
          <w:color w:val="auto"/>
        </w:rPr>
      </w:pPr>
      <w:r>
        <w:rPr>
          <w:rFonts w:ascii="Arial" w:cs="Arial" w:eastAsia="Arial" w:hAnsi="Arial"/>
          <w:sz w:val="16"/>
          <w:szCs w:val="16"/>
          <w:color w:val="auto"/>
        </w:rPr>
        <w:t>Mr. Paterson has over 25 years of experience in management roles at healthcare and biotechnology companies, including as chief executive officer, Chief Operating Officer and Chief Business Officer, and specific expertise in oncology drug and diagnostic product development, business development, and launch planning. Mr. Paterson was Head of Global Strategy for Specialty Market and Patient</w:t>
      </w:r>
      <w:r>
        <w:rPr>
          <w:rFonts w:ascii="MS PGothic" w:cs="MS PGothic" w:eastAsia="MS PGothic" w:hAnsi="MS PGothic"/>
          <w:sz w:val="16"/>
          <w:szCs w:val="16"/>
          <w:color w:val="auto"/>
        </w:rPr>
        <w:t>‑</w:t>
      </w:r>
      <w:r>
        <w:rPr>
          <w:rFonts w:ascii="Arial" w:cs="Arial" w:eastAsia="Arial" w:hAnsi="Arial"/>
          <w:sz w:val="16"/>
          <w:szCs w:val="16"/>
          <w:color w:val="auto"/>
        </w:rPr>
        <w:t>Level Data at IMS Health after playing a key role in the acquisition of PharMetrics by IMS Health as Vice President of Marketing and Corporate Development.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319" w:firstLine="646"/>
        <w:spacing w:after="0" w:line="218" w:lineRule="exact"/>
        <w:rPr>
          <w:sz w:val="20"/>
          <w:szCs w:val="20"/>
          <w:color w:val="auto"/>
        </w:rPr>
      </w:pPr>
      <w:r>
        <w:rPr>
          <w:rFonts w:ascii="Arial" w:cs="Arial" w:eastAsia="Arial" w:hAnsi="Arial"/>
          <w:sz w:val="16"/>
          <w:szCs w:val="16"/>
          <w:color w:val="auto"/>
        </w:rPr>
        <w:t>Our scientific co</w:t>
      </w:r>
      <w:r>
        <w:rPr>
          <w:rFonts w:ascii="MS PGothic" w:cs="MS PGothic" w:eastAsia="MS PGothic" w:hAnsi="MS PGothic"/>
          <w:sz w:val="16"/>
          <w:szCs w:val="16"/>
          <w:color w:val="auto"/>
        </w:rPr>
        <w:t>‑</w:t>
      </w:r>
      <w:r>
        <w:rPr>
          <w:rFonts w:ascii="Arial" w:cs="Arial" w:eastAsia="Arial" w:hAnsi="Arial"/>
          <w:sz w:val="16"/>
          <w:szCs w:val="16"/>
          <w:color w:val="auto"/>
        </w:rPr>
        <w:t>founders are recognized leaders in the field of cancer biology. Robert Weinberg, Ph.D., Founding Member of the Whitehead Institute and Professor of Biology at MIT, has played a key role in identifying the genetic basis of cancer. Dr. Weinberg discovered the first tumor oncogene, the first tumor suppressor gene, the role of a protein related to the cell surface receptor HER2 in preclinical studies and the mechanisms underlying the formation of CSCs. Eric Lander, Ph.D., Founding Director of the Broad Institute, Professor of Biology at MIT and Professor of Systems Biology at Harvard Medical School, played a central role in the Human Genome Project.</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INTELLECTUAL PROPERTY</w:t>
      </w:r>
    </w:p>
    <w:p>
      <w:pPr>
        <w:spacing w:after="0" w:line="228" w:lineRule="exact"/>
        <w:rPr>
          <w:sz w:val="20"/>
          <w:szCs w:val="20"/>
          <w:color w:val="auto"/>
        </w:rPr>
      </w:pPr>
    </w:p>
    <w:p>
      <w:pPr>
        <w:ind w:left="160" w:right="299" w:firstLine="646"/>
        <w:spacing w:after="0" w:line="274" w:lineRule="auto"/>
        <w:rPr>
          <w:sz w:val="20"/>
          <w:szCs w:val="20"/>
          <w:color w:val="auto"/>
        </w:rPr>
      </w:pPr>
      <w:r>
        <w:rPr>
          <w:rFonts w:ascii="Arial" w:cs="Arial" w:eastAsia="Arial" w:hAnsi="Arial"/>
          <w:sz w:val="17"/>
          <w:szCs w:val="17"/>
          <w:color w:val="auto"/>
        </w:rPr>
        <w:t>We strive to protect the proprietary technology that we believe is important to our business, including seeking and maintaining patents intended to cover our product candidates and compositions, their methods of use and processes for their manufacture, and any other aspects of inventions that are commercially important to the development of our business. We also rely on trade secrets to protect aspects of our business that are not amenable to, or that we do not consider appropriate for, patent protection.</w:t>
      </w:r>
    </w:p>
    <w:p>
      <w:pPr>
        <w:spacing w:after="0" w:line="176" w:lineRule="exact"/>
        <w:rPr>
          <w:sz w:val="20"/>
          <w:szCs w:val="20"/>
          <w:color w:val="auto"/>
        </w:rPr>
      </w:pPr>
    </w:p>
    <w:p>
      <w:pPr>
        <w:ind w:left="160" w:right="199" w:firstLine="646"/>
        <w:spacing w:after="0" w:line="217" w:lineRule="exact"/>
        <w:rPr>
          <w:sz w:val="20"/>
          <w:szCs w:val="20"/>
          <w:color w:val="auto"/>
        </w:rPr>
      </w:pPr>
      <w:r>
        <w:rPr>
          <w:rFonts w:ascii="Arial" w:cs="Arial" w:eastAsia="Arial" w:hAnsi="Arial"/>
          <w:sz w:val="16"/>
          <w:szCs w:val="16"/>
          <w:color w:val="auto"/>
        </w:rPr>
        <w:t>We plan to continue to expand our intellectual property estate by filing patent applications directed to compositions, methods of treatment and patient selection created or identified from our ongoing development of our product candidates. Our success will depend on our ability to obtain and maintain patent and other proprietary protection for commercially important technology, inventions and know</w:t>
      </w:r>
      <w:r>
        <w:rPr>
          <w:rFonts w:ascii="MS PGothic" w:cs="MS PGothic" w:eastAsia="MS PGothic" w:hAnsi="MS PGothic"/>
          <w:sz w:val="16"/>
          <w:szCs w:val="16"/>
          <w:color w:val="auto"/>
        </w:rPr>
        <w:t>‑</w:t>
      </w:r>
      <w:r>
        <w:rPr>
          <w:rFonts w:ascii="Arial" w:cs="Arial" w:eastAsia="Arial" w:hAnsi="Arial"/>
          <w:sz w:val="16"/>
          <w:szCs w:val="16"/>
          <w:color w:val="auto"/>
        </w:rPr>
        <w:t>how related to our business, defend and enforce our patents, preserve the confidentiality of our trade secrets and operate without infringing the valid and enforceable patents and proprietary rights of third parties. We also rely on know</w:t>
      </w:r>
      <w:r>
        <w:rPr>
          <w:rFonts w:ascii="MS PGothic" w:cs="MS PGothic" w:eastAsia="MS PGothic" w:hAnsi="MS PGothic"/>
          <w:sz w:val="16"/>
          <w:szCs w:val="16"/>
          <w:color w:val="auto"/>
        </w:rPr>
        <w:t>‑</w:t>
      </w:r>
      <w:r>
        <w:rPr>
          <w:rFonts w:ascii="Arial" w:cs="Arial" w:eastAsia="Arial" w:hAnsi="Arial"/>
          <w:sz w:val="16"/>
          <w:szCs w:val="16"/>
          <w:color w:val="auto"/>
        </w:rPr>
        <w:t>how, continuing technological innovation and in</w:t>
      </w:r>
      <w:r>
        <w:rPr>
          <w:rFonts w:ascii="MS PGothic" w:cs="MS PGothic" w:eastAsia="MS PGothic" w:hAnsi="MS PGothic"/>
          <w:sz w:val="16"/>
          <w:szCs w:val="16"/>
          <w:color w:val="auto"/>
        </w:rPr>
        <w:t>‑</w:t>
      </w:r>
      <w:r>
        <w:rPr>
          <w:rFonts w:ascii="Arial" w:cs="Arial" w:eastAsia="Arial" w:hAnsi="Arial"/>
          <w:sz w:val="16"/>
          <w:szCs w:val="16"/>
          <w:color w:val="auto"/>
        </w:rPr>
        <w:t>licensing opportunities to develop and maintain our proprietary position. We seek to obtain domestic and international patent protection, and endeavor to promptly file patent applications for new commercially valuable inventions.</w:t>
      </w:r>
    </w:p>
    <w:p>
      <w:pPr>
        <w:spacing w:after="0" w:line="202" w:lineRule="exact"/>
        <w:rPr>
          <w:sz w:val="20"/>
          <w:szCs w:val="20"/>
          <w:color w:val="auto"/>
        </w:rPr>
      </w:pPr>
    </w:p>
    <w:p>
      <w:pPr>
        <w:ind w:left="160" w:right="199" w:firstLine="646"/>
        <w:spacing w:after="0" w:line="254"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patent scope can be reinterpreted by the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whether the claims of any issued patents will provide sufficient protection from competitors.</w:t>
      </w:r>
    </w:p>
    <w:p>
      <w:pPr>
        <w:spacing w:after="0" w:line="189" w:lineRule="exact"/>
        <w:rPr>
          <w:sz w:val="20"/>
          <w:szCs w:val="20"/>
          <w:color w:val="auto"/>
        </w:rPr>
      </w:pPr>
    </w:p>
    <w:p>
      <w:pPr>
        <w:ind w:left="160" w:right="279" w:firstLine="646"/>
        <w:spacing w:after="0" w:line="274" w:lineRule="auto"/>
        <w:rPr>
          <w:sz w:val="20"/>
          <w:szCs w:val="20"/>
          <w:color w:val="auto"/>
        </w:rPr>
      </w:pPr>
      <w:r>
        <w:rPr>
          <w:rFonts w:ascii="Arial" w:cs="Arial" w:eastAsia="Arial" w:hAnsi="Arial"/>
          <w:sz w:val="17"/>
          <w:szCs w:val="17"/>
          <w:color w:val="auto"/>
        </w:rPr>
        <w:t>Because patent applications in the United States and certain other jurisdictions are maintained in secrecy for 18 months or potentially even longer, and since publication of discoveries in the scientific or patent literature often lags behind actual discoveries, we cannot be certain of the priority of inventions covered by pending patent applications. Moreover, we may have to participate in interference proceedings or derivation proceedings declared by the U.S. Patent and Trademark Office to determine priority of invention.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Patents</w:t>
      </w:r>
    </w:p>
    <w:p>
      <w:pPr>
        <w:spacing w:after="0" w:line="228" w:lineRule="exact"/>
        <w:rPr>
          <w:sz w:val="20"/>
          <w:szCs w:val="20"/>
          <w:color w:val="auto"/>
        </w:rPr>
      </w:pPr>
    </w:p>
    <w:p>
      <w:pPr>
        <w:ind w:left="160" w:right="479" w:firstLine="646"/>
        <w:spacing w:after="0" w:line="306" w:lineRule="auto"/>
        <w:rPr>
          <w:sz w:val="20"/>
          <w:szCs w:val="20"/>
          <w:color w:val="auto"/>
        </w:rPr>
      </w:pPr>
      <w:r>
        <w:rPr>
          <w:rFonts w:ascii="Arial" w:cs="Arial" w:eastAsia="Arial" w:hAnsi="Arial"/>
          <w:sz w:val="17"/>
          <w:szCs w:val="17"/>
          <w:color w:val="auto"/>
        </w:rPr>
        <w:t>Our patent portfolio includes issued and pending applications worldwide. These patent applications fall into three categories: (1) PI3K inhibition program; (2) FAK inhibition program; and (3) other programs.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PI3K inhibition program</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are currently developing the PI3K inhibitor duvelisib.</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DUVELISIB</w:t>
      </w:r>
    </w:p>
    <w:p>
      <w:pPr>
        <w:spacing w:after="0" w:line="224" w:lineRule="exact"/>
        <w:rPr>
          <w:sz w:val="20"/>
          <w:szCs w:val="20"/>
          <w:color w:val="auto"/>
        </w:rPr>
      </w:pPr>
    </w:p>
    <w:p>
      <w:pPr>
        <w:ind w:left="160" w:right="259" w:firstLine="646"/>
        <w:spacing w:after="0" w:line="269" w:lineRule="auto"/>
        <w:rPr>
          <w:sz w:val="20"/>
          <w:szCs w:val="20"/>
          <w:color w:val="auto"/>
        </w:rPr>
      </w:pPr>
      <w:r>
        <w:rPr>
          <w:rFonts w:ascii="Arial" w:cs="Arial" w:eastAsia="Arial" w:hAnsi="Arial"/>
          <w:sz w:val="17"/>
          <w:szCs w:val="17"/>
          <w:color w:val="auto"/>
        </w:rPr>
        <w:t>We have exclusively licensed a portfolio of patent applications owned by Intellikine LLC and Infinity Pharmaceuticals, Inc. (Infinity), which are directed to PI3K inhibitor compounds and methods of their use, for example, in cancer. Certain patent families are related to duvelisib. These patent families include issued patents having claims covering duvelisib generically and specifically. Also included are issued patents covering certain polymorphs of duvelisib. Exemplary patents covering duvelisib, pharmaceutical compositions comprising duvelisib, methods of use, polymorphs, and methods of manufacture include US 8,193,182; US 8,785,456, and US 9,216,982. These U.S. patents have issued and will expire between 2029 and 2032. Related issued and pending worldwide patents and applications with claims to duvelisib, pharmaceutical compounds, methods of use, polymorphs, and methods of manufacture are pending in about 40 countries. Additional patent applications related to certain methods of use and combination therapies, as issued, would expire between 2029 and 2036.</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FAK inhibition program</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are currently developing the FAK inhibitor defactinib.</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DEFACTINIB</w:t>
      </w:r>
    </w:p>
    <w:p>
      <w:pPr>
        <w:spacing w:after="0" w:line="224" w:lineRule="exact"/>
        <w:rPr>
          <w:sz w:val="20"/>
          <w:szCs w:val="20"/>
          <w:color w:val="auto"/>
        </w:rPr>
      </w:pPr>
    </w:p>
    <w:p>
      <w:pPr>
        <w:ind w:left="160" w:right="139" w:firstLine="646"/>
        <w:spacing w:after="0" w:line="252" w:lineRule="auto"/>
        <w:rPr>
          <w:sz w:val="20"/>
          <w:szCs w:val="20"/>
          <w:color w:val="auto"/>
        </w:rPr>
      </w:pPr>
      <w:r>
        <w:rPr>
          <w:rFonts w:ascii="Arial" w:cs="Arial" w:eastAsia="Arial" w:hAnsi="Arial"/>
          <w:sz w:val="18"/>
          <w:szCs w:val="18"/>
          <w:color w:val="auto"/>
        </w:rPr>
        <w:t>We have exclusively licensed a portfolio of patent applications owned by Pfizer, which are directed to FAK inhibitor compounds and methods of their use, for example in cancer. One patent family is related generally to defactinib. This patent family includes issued patents having claims covering defactinib generically and specifically. For example, US 7,928,109 covers the composition of matter of defactinib specifically and US 8,247,411 covers the composition of matter of defactinib generically. Also included are issued and pending patent applications having claims directed to methods of treatment and methods of making defactinib. For example, US 8,440,822 covers methods of making defactinib. Any U.S. patents that have issued or will issue in this family will have a statutory expiration date in April of 2028. Related cases are pending worldwide, including for example in Europe, Brazil, Thailand, Hong Kong, and India, and granted in Australia, Mexico, Canada, China, Korea, Israel, New Zealand, South Africa, Singapore, Taiwan, and Japan.</w:t>
      </w:r>
    </w:p>
    <w:p>
      <w:pPr>
        <w:spacing w:after="0" w:line="195" w:lineRule="exact"/>
        <w:rPr>
          <w:sz w:val="20"/>
          <w:szCs w:val="20"/>
          <w:color w:val="auto"/>
        </w:rPr>
      </w:pPr>
    </w:p>
    <w:p>
      <w:pPr>
        <w:ind w:left="160" w:right="239" w:firstLine="646"/>
        <w:spacing w:after="0" w:line="271" w:lineRule="auto"/>
        <w:rPr>
          <w:sz w:val="20"/>
          <w:szCs w:val="20"/>
          <w:color w:val="auto"/>
        </w:rPr>
      </w:pPr>
      <w:r>
        <w:rPr>
          <w:rFonts w:ascii="Arial" w:cs="Arial" w:eastAsia="Arial" w:hAnsi="Arial"/>
          <w:sz w:val="17"/>
          <w:szCs w:val="17"/>
          <w:color w:val="auto"/>
        </w:rPr>
        <w:t>In addition to the issued and pending patent applications exclusively licensed from Pfizer, we own three patent families covering defactinib. One family is directed to compositions (e.g., oral dosage forms) of defactinib and certain methods of use. Any U.S. patents that will issue in this family will have a statutory expiration date in January of 2035. The other two families are directed to methods of using a FAK inhibitor in combination with another agent, such as defactinib in combination with a mitogen-activated protein kinase kinase enzymes (MEK) inhibitor for treating a patient or defactinib in combination with an immunotherapeutic agent. Any U.S. patents that will issue in these families will have a statutory expiration date in February of 2035 and June of 2036.</w:t>
      </w:r>
    </w:p>
    <w:p>
      <w:pPr>
        <w:spacing w:after="0" w:line="178" w:lineRule="exact"/>
        <w:rPr>
          <w:sz w:val="20"/>
          <w:szCs w:val="20"/>
          <w:color w:val="auto"/>
        </w:rPr>
      </w:pPr>
    </w:p>
    <w:p>
      <w:pPr>
        <w:ind w:left="160" w:right="379" w:firstLine="646"/>
        <w:spacing w:after="0" w:line="218" w:lineRule="exact"/>
        <w:rPr>
          <w:sz w:val="20"/>
          <w:szCs w:val="20"/>
          <w:color w:val="auto"/>
        </w:rPr>
      </w:pPr>
      <w:r>
        <w:rPr>
          <w:rFonts w:ascii="Arial" w:cs="Arial" w:eastAsia="Arial" w:hAnsi="Arial"/>
          <w:sz w:val="16"/>
          <w:szCs w:val="16"/>
          <w:color w:val="auto"/>
        </w:rPr>
        <w:t>Our licensed portfolio of patent applications from Pfizer also includes four families of patent applications directed to VS</w:t>
      </w:r>
      <w:r>
        <w:rPr>
          <w:rFonts w:ascii="MS PGothic" w:cs="MS PGothic" w:eastAsia="MS PGothic" w:hAnsi="MS PGothic"/>
          <w:sz w:val="16"/>
          <w:szCs w:val="16"/>
          <w:color w:val="auto"/>
        </w:rPr>
        <w:t>‑</w:t>
      </w:r>
      <w:r>
        <w:rPr>
          <w:rFonts w:ascii="Arial" w:cs="Arial" w:eastAsia="Arial" w:hAnsi="Arial"/>
          <w:sz w:val="16"/>
          <w:szCs w:val="16"/>
          <w:color w:val="auto"/>
        </w:rPr>
        <w:t>6062 and related methods of use. The patent families include issued and pending patent applications having claims directed to VS</w:t>
      </w:r>
      <w:r>
        <w:rPr>
          <w:rFonts w:ascii="MS PGothic" w:cs="MS PGothic" w:eastAsia="MS PGothic" w:hAnsi="MS PGothic"/>
          <w:sz w:val="16"/>
          <w:szCs w:val="16"/>
          <w:color w:val="auto"/>
        </w:rPr>
        <w:t>‑</w:t>
      </w:r>
      <w:r>
        <w:rPr>
          <w:rFonts w:ascii="Arial" w:cs="Arial" w:eastAsia="Arial" w:hAnsi="Arial"/>
          <w:sz w:val="16"/>
          <w:szCs w:val="16"/>
          <w:color w:val="auto"/>
        </w:rPr>
        <w:t>6062, methods of manufacture, and pharmaceutical salts. Patents have issued in these families in the U.S. that will expire in December of 2023, April of 2025, and November of 2028, respectively. Related cases have been granted worldwide, including for example in Australia, Canada, China, Japan, and Europe.</w:t>
      </w:r>
    </w:p>
    <w:p>
      <w:pPr>
        <w:spacing w:after="0" w:line="203"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i w:val="1"/>
          <w:iCs w:val="1"/>
          <w:color w:val="auto"/>
        </w:rPr>
        <w:t>VS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4718</w:t>
      </w:r>
    </w:p>
    <w:p>
      <w:pPr>
        <w:spacing w:after="0" w:line="224" w:lineRule="exact"/>
        <w:rPr>
          <w:sz w:val="20"/>
          <w:szCs w:val="20"/>
          <w:color w:val="auto"/>
        </w:rPr>
      </w:pPr>
    </w:p>
    <w:p>
      <w:pPr>
        <w:ind w:left="160" w:right="259" w:firstLine="646"/>
        <w:spacing w:after="0" w:line="218" w:lineRule="exact"/>
        <w:rPr>
          <w:sz w:val="20"/>
          <w:szCs w:val="20"/>
          <w:color w:val="auto"/>
        </w:rPr>
      </w:pPr>
      <w:r>
        <w:rPr>
          <w:rFonts w:ascii="Arial" w:cs="Arial" w:eastAsia="Arial" w:hAnsi="Arial"/>
          <w:sz w:val="17"/>
          <w:szCs w:val="17"/>
          <w:color w:val="auto"/>
        </w:rPr>
        <w:t>We have exclusively licensed a family of patent applications owned by the Scripps Research Institute, which is directed to VS</w:t>
      </w:r>
      <w:r>
        <w:rPr>
          <w:rFonts w:ascii="MS PGothic" w:cs="MS PGothic" w:eastAsia="MS PGothic" w:hAnsi="MS PGothic"/>
          <w:sz w:val="17"/>
          <w:szCs w:val="17"/>
          <w:color w:val="auto"/>
        </w:rPr>
        <w:t>‑</w:t>
      </w:r>
      <w:r>
        <w:rPr>
          <w:rFonts w:ascii="Arial" w:cs="Arial" w:eastAsia="Arial" w:hAnsi="Arial"/>
          <w:sz w:val="17"/>
          <w:szCs w:val="17"/>
          <w:color w:val="auto"/>
        </w:rPr>
        <w:t>4718 and related methods of use. For example, US 8,501,763 covers the composition of matter of VS</w:t>
      </w:r>
      <w:r>
        <w:rPr>
          <w:rFonts w:ascii="MS PGothic" w:cs="MS PGothic" w:eastAsia="MS PGothic" w:hAnsi="MS PGothic"/>
          <w:sz w:val="17"/>
          <w:szCs w:val="17"/>
          <w:color w:val="auto"/>
        </w:rPr>
        <w:t>‑</w:t>
      </w:r>
      <w:r>
        <w:rPr>
          <w:rFonts w:ascii="Arial" w:cs="Arial" w:eastAsia="Arial" w:hAnsi="Arial"/>
          <w:sz w:val="17"/>
          <w:szCs w:val="17"/>
          <w:color w:val="auto"/>
        </w:rPr>
        <w:t>4718. The statutory expiration of any patent that has issued or will issue pertaining to VS</w:t>
      </w:r>
      <w:r>
        <w:rPr>
          <w:rFonts w:ascii="MS PGothic" w:cs="MS PGothic" w:eastAsia="MS PGothic" w:hAnsi="MS PGothic"/>
          <w:sz w:val="17"/>
          <w:szCs w:val="17"/>
          <w:color w:val="auto"/>
        </w:rPr>
        <w:t>‑</w:t>
      </w:r>
      <w:r>
        <w:rPr>
          <w:rFonts w:ascii="Arial" w:cs="Arial" w:eastAsia="Arial" w:hAnsi="Arial"/>
          <w:sz w:val="17"/>
          <w:szCs w:val="17"/>
          <w:color w:val="auto"/>
        </w:rPr>
        <w:t>4718 has or will have a statutory expiration date in March of 2028. Related cases are pending worldwide, including for example in China and Canada. The patent has also been allowed in Japan and Europe.</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Patent Term</w:t>
      </w:r>
    </w:p>
    <w:p>
      <w:pPr>
        <w:spacing w:after="0" w:line="228" w:lineRule="exact"/>
        <w:rPr>
          <w:sz w:val="20"/>
          <w:szCs w:val="20"/>
          <w:color w:val="auto"/>
        </w:rPr>
      </w:pPr>
    </w:p>
    <w:p>
      <w:pPr>
        <w:ind w:left="160" w:right="159" w:firstLine="646"/>
        <w:spacing w:after="0" w:line="219" w:lineRule="exact"/>
        <w:rPr>
          <w:sz w:val="20"/>
          <w:szCs w:val="20"/>
          <w:color w:val="auto"/>
        </w:rPr>
      </w:pPr>
      <w:r>
        <w:rPr>
          <w:rFonts w:ascii="Arial" w:cs="Arial" w:eastAsia="Arial" w:hAnsi="Arial"/>
          <w:sz w:val="18"/>
          <w:szCs w:val="18"/>
          <w:color w:val="auto"/>
        </w:rPr>
        <w:t>The base term of a U.S. patent is 20 years from the filing date of the earliest</w:t>
      </w:r>
      <w:r>
        <w:rPr>
          <w:rFonts w:ascii="MS PGothic" w:cs="MS PGothic" w:eastAsia="MS PGothic" w:hAnsi="MS PGothic"/>
          <w:sz w:val="18"/>
          <w:szCs w:val="18"/>
          <w:color w:val="auto"/>
        </w:rPr>
        <w:t>‑</w:t>
      </w:r>
      <w:r>
        <w:rPr>
          <w:rFonts w:ascii="Arial" w:cs="Arial" w:eastAsia="Arial" w:hAnsi="Arial"/>
          <w:sz w:val="18"/>
          <w:szCs w:val="18"/>
          <w:color w:val="auto"/>
        </w:rPr>
        <w:t>filed non</w:t>
      </w:r>
      <w:r>
        <w:rPr>
          <w:rFonts w:ascii="MS PGothic" w:cs="MS PGothic" w:eastAsia="MS PGothic" w:hAnsi="MS PGothic"/>
          <w:sz w:val="18"/>
          <w:szCs w:val="18"/>
          <w:color w:val="auto"/>
        </w:rPr>
        <w:t>‑</w:t>
      </w:r>
      <w:r>
        <w:rPr>
          <w:rFonts w:ascii="Arial" w:cs="Arial" w:eastAsia="Arial" w:hAnsi="Arial"/>
          <w:sz w:val="18"/>
          <w:szCs w:val="18"/>
          <w:color w:val="auto"/>
        </w:rPr>
        <w:t>provisional patent application from which the patent claims priority. The term of a U.S. patent can be lengthened by patent term adjustment, which compensates the owner of the patent for administrative delays at the U.S. Patent and Trademark Office. In some cases, the term of a U.S. patent is shortened by terminal disclaimer that reduces its term to that of an earlier</w:t>
      </w:r>
      <w:r>
        <w:rPr>
          <w:rFonts w:ascii="MS PGothic" w:cs="MS PGothic" w:eastAsia="MS PGothic" w:hAnsi="MS PGothic"/>
          <w:sz w:val="18"/>
          <w:szCs w:val="18"/>
          <w:color w:val="auto"/>
        </w:rPr>
        <w:t>‑</w:t>
      </w:r>
      <w:r>
        <w:rPr>
          <w:rFonts w:ascii="Arial" w:cs="Arial" w:eastAsia="Arial" w:hAnsi="Arial"/>
          <w:sz w:val="18"/>
          <w:szCs w:val="18"/>
          <w:color w:val="auto"/>
        </w:rPr>
        <w:t>expiring patent.</w:t>
      </w:r>
    </w:p>
    <w:p>
      <w:pPr>
        <w:spacing w:after="0" w:line="201"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The term of a United States patent may be eligible for patent term extension under the Drug Price Competition and Patent Term Restoration Act of 1984, referred to as the Hatch</w:t>
      </w:r>
      <w:r>
        <w:rPr>
          <w:rFonts w:ascii="MS PGothic" w:cs="MS PGothic" w:eastAsia="MS PGothic" w:hAnsi="MS PGothic"/>
          <w:sz w:val="16"/>
          <w:szCs w:val="16"/>
          <w:color w:val="auto"/>
        </w:rPr>
        <w:t>‑</w:t>
      </w:r>
      <w:r>
        <w:rPr>
          <w:rFonts w:ascii="Arial" w:cs="Arial" w:eastAsia="Arial" w:hAnsi="Arial"/>
          <w:sz w:val="16"/>
          <w:szCs w:val="16"/>
          <w:color w:val="auto"/>
        </w:rPr>
        <w:t>Waxman Act, to account for at least some of the time the drug is under development and regulatory review after the patent is granted. With regard to a drug for which FDA approval is the first permitted marketing of the active ingredient, the Hatch</w:t>
      </w:r>
      <w:r>
        <w:rPr>
          <w:rFonts w:ascii="MS PGothic" w:cs="MS PGothic" w:eastAsia="MS PGothic" w:hAnsi="MS PGothic"/>
          <w:sz w:val="16"/>
          <w:szCs w:val="16"/>
          <w:color w:val="auto"/>
        </w:rPr>
        <w:t>‑</w:t>
      </w:r>
      <w:r>
        <w:rPr>
          <w:rFonts w:ascii="Arial" w:cs="Arial" w:eastAsia="Arial" w:hAnsi="Arial"/>
          <w:sz w:val="16"/>
          <w:szCs w:val="16"/>
          <w:color w:val="auto"/>
        </w:rPr>
        <w:t>Waxman Act allows for extension of the term of one United States patent that includes at least one claim covering the composition of matter of an FDA</w:t>
      </w:r>
      <w:r>
        <w:rPr>
          <w:rFonts w:ascii="MS PGothic" w:cs="MS PGothic" w:eastAsia="MS PGothic" w:hAnsi="MS PGothic"/>
          <w:sz w:val="16"/>
          <w:szCs w:val="16"/>
          <w:color w:val="auto"/>
        </w:rPr>
        <w:t>‑</w:t>
      </w:r>
      <w:r>
        <w:rPr>
          <w:rFonts w:ascii="Arial" w:cs="Arial" w:eastAsia="Arial" w:hAnsi="Arial"/>
          <w:sz w:val="16"/>
          <w:szCs w:val="16"/>
          <w:color w:val="auto"/>
        </w:rPr>
        <w:t>approved drug, an FDA</w:t>
      </w:r>
      <w:r>
        <w:rPr>
          <w:rFonts w:ascii="MS PGothic" w:cs="MS PGothic" w:eastAsia="MS PGothic" w:hAnsi="MS PGothic"/>
          <w:sz w:val="16"/>
          <w:szCs w:val="16"/>
          <w:color w:val="auto"/>
        </w:rPr>
        <w:t>‑</w:t>
      </w:r>
      <w:r>
        <w:rPr>
          <w:rFonts w:ascii="Arial" w:cs="Arial" w:eastAsia="Arial" w:hAnsi="Arial"/>
          <w:sz w:val="16"/>
          <w:szCs w:val="16"/>
          <w:color w:val="auto"/>
        </w:rPr>
        <w:t>approved method of treatment using the drug, and/or a method of manufacturing the FDA</w:t>
      </w:r>
      <w:r>
        <w:rPr>
          <w:rFonts w:ascii="MS PGothic" w:cs="MS PGothic" w:eastAsia="MS PGothic" w:hAnsi="MS PGothic"/>
          <w:sz w:val="16"/>
          <w:szCs w:val="16"/>
          <w:color w:val="auto"/>
        </w:rPr>
        <w:t>‑</w:t>
      </w:r>
      <w:r>
        <w:rPr>
          <w:rFonts w:ascii="Arial" w:cs="Arial" w:eastAsia="Arial" w:hAnsi="Arial"/>
          <w:sz w:val="16"/>
          <w:szCs w:val="16"/>
          <w:color w:val="auto"/>
        </w:rPr>
        <w:t>approved drug. The extended patent term cannot exceed the shorter of five years beyond the non</w:t>
      </w:r>
      <w:r>
        <w:rPr>
          <w:rFonts w:ascii="MS PGothic" w:cs="MS PGothic" w:eastAsia="MS PGothic" w:hAnsi="MS PGothic"/>
          <w:sz w:val="16"/>
          <w:szCs w:val="16"/>
          <w:color w:val="auto"/>
        </w:rPr>
        <w:t>‑</w:t>
      </w:r>
      <w:r>
        <w:rPr>
          <w:rFonts w:ascii="Arial" w:cs="Arial" w:eastAsia="Arial" w:hAnsi="Arial"/>
          <w:sz w:val="16"/>
          <w:szCs w:val="16"/>
          <w:color w:val="auto"/>
        </w:rPr>
        <w:t>extended expiration of the patent or</w:t>
      </w:r>
    </w:p>
    <w:p>
      <w:pPr>
        <w:spacing w:after="0" w:line="3" w:lineRule="exact"/>
        <w:rPr>
          <w:sz w:val="20"/>
          <w:szCs w:val="20"/>
          <w:color w:val="auto"/>
        </w:rPr>
      </w:pPr>
    </w:p>
    <w:p>
      <w:pPr>
        <w:ind w:left="160" w:right="399"/>
        <w:spacing w:after="0" w:line="252" w:lineRule="auto"/>
        <w:rPr>
          <w:sz w:val="20"/>
          <w:szCs w:val="20"/>
          <w:color w:val="auto"/>
        </w:rPr>
      </w:pPr>
      <w:r>
        <w:rPr>
          <w:rFonts w:ascii="Arial" w:cs="Arial" w:eastAsia="Arial" w:hAnsi="Arial"/>
          <w:sz w:val="18"/>
          <w:szCs w:val="18"/>
          <w:color w:val="auto"/>
        </w:rPr>
        <w:t>14 years from the date of the FDA approval of the drug. Some foreign jurisdictions, including Europe and Japan, have analogous patent term extension provisions, which allow for extension of the term of a patent that covers a drug approved by the applicable foreign regulatory agency. In the future, if and when our pharmaceutical products receive FDA approval, we expect to apply for patent term extension on patents covering those products, their methods of use, and/or methods of manufacture.</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LICENSES</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auto"/>
        </w:rPr>
        <w:t>Infinity Pharmaceuticals, Inc.</w:t>
      </w:r>
    </w:p>
    <w:p>
      <w:pPr>
        <w:spacing w:after="0" w:line="228" w:lineRule="exact"/>
        <w:rPr>
          <w:sz w:val="20"/>
          <w:szCs w:val="20"/>
          <w:color w:val="auto"/>
        </w:rPr>
      </w:pPr>
    </w:p>
    <w:p>
      <w:pPr>
        <w:ind w:left="160" w:right="179" w:firstLine="646"/>
        <w:spacing w:after="0" w:line="289" w:lineRule="auto"/>
        <w:rPr>
          <w:sz w:val="20"/>
          <w:szCs w:val="20"/>
          <w:color w:val="auto"/>
        </w:rPr>
      </w:pPr>
      <w:r>
        <w:rPr>
          <w:rFonts w:ascii="Arial" w:cs="Arial" w:eastAsia="Arial" w:hAnsi="Arial"/>
          <w:sz w:val="16"/>
          <w:szCs w:val="16"/>
          <w:color w:val="auto"/>
        </w:rPr>
        <w:t>In November 2016, we entered into an amended and restated license agreement with Infinity, under which we acquired an exclusive worldwide license for the research, development, commercialization, and manufacture of products in oncology indications containing duvelisib. In connection with the license agreement, we assumed operational and financial responsibility for certain activities that were part of Infinity’s duvelisib program, including the DUO study for patients with relapsed/refractory CLL, and Infinity assumed financial responsibility for the shutdown of certain other clinical studies up to a maximum of $4.5 million. We are obligated to use diligent efforts to develop and commercialize a product in an oncology indication containing duvelisib. During the term of the license agreement, Infinity has agreed not to research, develop, manufacture or commercialize duvelisib in any other indication in humans or animals.</w:t>
      </w:r>
    </w:p>
    <w:p>
      <w:pPr>
        <w:spacing w:after="0" w:line="166" w:lineRule="exact"/>
        <w:rPr>
          <w:sz w:val="20"/>
          <w:szCs w:val="20"/>
          <w:color w:val="auto"/>
        </w:rPr>
      </w:pPr>
    </w:p>
    <w:p>
      <w:pPr>
        <w:ind w:left="160" w:right="179" w:firstLine="646"/>
        <w:spacing w:after="0" w:line="285" w:lineRule="auto"/>
        <w:rPr>
          <w:sz w:val="20"/>
          <w:szCs w:val="20"/>
          <w:color w:val="auto"/>
        </w:rPr>
      </w:pPr>
      <w:r>
        <w:rPr>
          <w:rFonts w:ascii="Arial" w:cs="Arial" w:eastAsia="Arial" w:hAnsi="Arial"/>
          <w:sz w:val="16"/>
          <w:szCs w:val="16"/>
          <w:color w:val="auto"/>
        </w:rPr>
        <w:t>Pursuant to the terms of the license agreement, we are required to make the following payments to Infinity in cash or, at our election, in whole or in part, in shares of our common stock: (i) $6.0 million upon the completion of the DUO study if the results of the study meet certain pre-specified criteria and (ii) $22.0 million upon the approval of a new drug application in the United States or an application for marketing authorization with a regulatory authority outside of the United States for a product in an oncology indication containing duvelisib. For any portion of any of the foregoing payments that we elect to issue in shares of our common stock in lieu of cash, the number of shares of common stock to be issued will be determined by multiplying (1) 1.025 by (2) the number of shares of common stock equal to (a) the amount of the payment to be paid in shares of common stock divided by (b) the average closing price of a share of common stock as quoted on NASDAQ for a twenty-day period following the public announcement of the applicable milestone event. The shares of common stock will be issued as unregistered securities, and we will have an obligation to promptly file a registration statement with the SEC to register such shares for resale. Any issuance of shares will be subject to the satisfaction of closing conditions, including that all material authorizations, consents, approvals and the like necessary for such issuance shall have been obtained.</w:t>
      </w:r>
    </w:p>
    <w:p>
      <w:pPr>
        <w:spacing w:after="0" w:line="174" w:lineRule="exact"/>
        <w:rPr>
          <w:sz w:val="20"/>
          <w:szCs w:val="20"/>
          <w:color w:val="auto"/>
        </w:rPr>
      </w:pPr>
    </w:p>
    <w:p>
      <w:pPr>
        <w:ind w:left="160" w:right="179"/>
        <w:spacing w:after="0" w:line="272" w:lineRule="auto"/>
        <w:rPr>
          <w:sz w:val="20"/>
          <w:szCs w:val="20"/>
          <w:color w:val="auto"/>
        </w:rPr>
      </w:pPr>
      <w:r>
        <w:rPr>
          <w:rFonts w:ascii="Arial" w:cs="Arial" w:eastAsia="Arial" w:hAnsi="Arial"/>
          <w:sz w:val="17"/>
          <w:szCs w:val="17"/>
          <w:color w:val="auto"/>
        </w:rPr>
        <w:t>We are also obligated to pay Infinity royalties on worldwide net sales of any products in an oncology indication containing duvelisib ranging from the mid-single digits to the high single digits. The royalties will expire on a product-by-product and country-by-country basis until the latest to occur of (i) the last-to-expire patent right covering the applicable product in the applicable country, (ii) the last-to-expire patent right covering the manufacture of the applicable product in the country of manufacture of such product, (iii) the expiration of non-patent regulatory exclusivity in such country and (iv) ten years following the first commercial sale of a product in 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59"/>
        <w:spacing w:after="0" w:line="295" w:lineRule="auto"/>
        <w:rPr>
          <w:sz w:val="20"/>
          <w:szCs w:val="20"/>
          <w:color w:val="auto"/>
        </w:rPr>
      </w:pPr>
      <w:r>
        <w:rPr>
          <w:rFonts w:ascii="Arial" w:cs="Arial" w:eastAsia="Arial" w:hAnsi="Arial"/>
          <w:sz w:val="16"/>
          <w:szCs w:val="16"/>
          <w:color w:val="auto"/>
        </w:rPr>
        <w:t>country, provided that if royalties on net sales for a product in the United States are payable solely on the basis of non-patent regulatory exclusivity, the applicable royalty on net sales for such product in the United States will be reduced by 50%. The royalties are also subject to reduction by 50% of certain third-party royalty payments or patent litigation damages or settlements which might be required to be paid by us if litigation were to arise, with any such reductions capped at 50% of the amounts otherwise payable during the applicable royalty payment period.</w:t>
      </w:r>
    </w:p>
    <w:p>
      <w:pPr>
        <w:spacing w:after="0" w:line="161" w:lineRule="exact"/>
        <w:rPr>
          <w:sz w:val="20"/>
          <w:szCs w:val="20"/>
          <w:color w:val="auto"/>
        </w:rPr>
      </w:pPr>
    </w:p>
    <w:p>
      <w:pPr>
        <w:ind w:left="160" w:right="199" w:firstLine="646"/>
        <w:spacing w:after="0" w:line="268" w:lineRule="auto"/>
        <w:rPr>
          <w:sz w:val="20"/>
          <w:szCs w:val="20"/>
          <w:color w:val="auto"/>
        </w:rPr>
      </w:pPr>
      <w:r>
        <w:rPr>
          <w:rFonts w:ascii="Arial" w:cs="Arial" w:eastAsia="Arial" w:hAnsi="Arial"/>
          <w:sz w:val="17"/>
          <w:szCs w:val="17"/>
          <w:color w:val="auto"/>
        </w:rPr>
        <w:t>In addition to the foregoing, we are obligated to pay Infinity an additional royalty of 4% on worldwide net sales of any products in an oncology indication containing duvelisib to cover the reimbursement of research and development costs owed by Infinity to Mundipharma International Corporation Limited (MICL) and Purdue Pharmaceutical Products L.P. (Purdue). Once Infinity has fully reimbursed MICL and Purdue, the royalty obligations will be reduced to 1% of net sales in the United States. These trailing MICL royalties are payable until the later to occur of the last-to-expire of specified patent rights and the expiration of non-patent regulatory exclusivities in a country. Each of the above royalty rates is reduced by 50% on a product-by-product and country-by-country basis if the applicable royalty is payable solely on the basis of non-patent regulatory exclusivity. In addition, the trailing MICL royalties are subject to reduction by 50% of certain third-party royalty payments or patent litigation damages or settlements which might be required to be paid by us if litigation were to arise, with any such reductions capped at 50% of the amounts otherwise payable during the applicable royalty payment period.</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Scripps Research Institute</w:t>
      </w:r>
    </w:p>
    <w:p>
      <w:pPr>
        <w:spacing w:after="0" w:line="228"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7"/>
          <w:szCs w:val="17"/>
          <w:color w:val="auto"/>
        </w:rPr>
        <w:t>In November 2011, we entered into a license agreement with Poniard Pharmaceuticals, Inc. (Poniard), under which we acquired an exclusive, worldwide license under patent rights and know</w:t>
      </w:r>
      <w:r>
        <w:rPr>
          <w:rFonts w:ascii="MS PGothic" w:cs="MS PGothic" w:eastAsia="MS PGothic" w:hAnsi="MS PGothic"/>
          <w:sz w:val="17"/>
          <w:szCs w:val="17"/>
          <w:color w:val="auto"/>
        </w:rPr>
        <w:t>‑</w:t>
      </w:r>
      <w:r>
        <w:rPr>
          <w:rFonts w:ascii="Arial" w:cs="Arial" w:eastAsia="Arial" w:hAnsi="Arial"/>
          <w:sz w:val="17"/>
          <w:szCs w:val="17"/>
          <w:color w:val="auto"/>
        </w:rPr>
        <w:t>how owned or controlled by Poniard to develop, make, use and sell compounds and products covered by the licensed patent rights for the diagnosis, treatment, prevention or control of all human diseases and conditions. These licensed patent rights include patent rights owned by The Scripps Research Institute (Scripps), and licensed to Poniard. Under the agreement, we paid Poniard an upfront license fee and agreed to pay Poniard milestone payments upon the achievement of specified development and regulatory milestones.</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August 2, 2013, patents and other rights which were the subject of our license agreement with Poniard were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sold to Encarta, Inc. (Encarta). We purchased these assets from Encarta in an asset purchase agreement dated</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February 21, 2014 and also entered into a securities issuance agreement. Under the terms of these agreements, we issued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97,500 shares of common stock, issued a warrant to purchase 142,857 shares of common stock with an exercise price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equal to $17.16 per share and paid Encarta $25,000. All existing obligations under the license agreement, including an</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achieved development milestone and an obligation to issue a warrant, were settled as part of this transaction.</w:t>
      </w:r>
    </w:p>
    <w:p>
      <w:pPr>
        <w:spacing w:after="0" w:line="209" w:lineRule="exact"/>
        <w:rPr>
          <w:sz w:val="20"/>
          <w:szCs w:val="20"/>
          <w:color w:val="auto"/>
        </w:rPr>
      </w:pPr>
    </w:p>
    <w:p>
      <w:pPr>
        <w:ind w:left="160" w:right="219" w:firstLine="646"/>
        <w:spacing w:after="0" w:line="217" w:lineRule="exact"/>
        <w:rPr>
          <w:sz w:val="20"/>
          <w:szCs w:val="20"/>
          <w:color w:val="auto"/>
        </w:rPr>
      </w:pPr>
      <w:r>
        <w:rPr>
          <w:rFonts w:ascii="Arial" w:cs="Arial" w:eastAsia="Arial" w:hAnsi="Arial"/>
          <w:sz w:val="16"/>
          <w:szCs w:val="16"/>
          <w:color w:val="auto"/>
        </w:rPr>
        <w:t>In connection with the asset purchase agreement, we also assumed the rights and obligations under the license agreement by and between Scripps and Poniard, dated May 5, 2008 (the Scripps License Agreement). Pursuant to the Scripps License Agreement, we acquired an exclusive, worldwide license under patent rights owned or controlled by Scripps to make and have made, to use and have used, to offer to sell, to sell and have sold, and import products covered by the licensed patent rights for the diagnosis, treatment or prevention of human diseases or conditions. The licensed patent rights include patents covering our product candidate VS</w:t>
      </w:r>
      <w:r>
        <w:rPr>
          <w:rFonts w:ascii="MS PGothic" w:cs="MS PGothic" w:eastAsia="MS PGothic" w:hAnsi="MS PGothic"/>
          <w:sz w:val="16"/>
          <w:szCs w:val="16"/>
          <w:color w:val="auto"/>
        </w:rPr>
        <w:t>‑</w:t>
      </w:r>
      <w:r>
        <w:rPr>
          <w:rFonts w:ascii="Arial" w:cs="Arial" w:eastAsia="Arial" w:hAnsi="Arial"/>
          <w:sz w:val="16"/>
          <w:szCs w:val="16"/>
          <w:color w:val="auto"/>
        </w:rPr>
        <w:t>4718. Under the Scripps License Agreement, Scripps retains the right to grant non</w:t>
      </w:r>
      <w:r>
        <w:rPr>
          <w:rFonts w:ascii="MS PGothic" w:cs="MS PGothic" w:eastAsia="MS PGothic" w:hAnsi="MS PGothic"/>
          <w:sz w:val="16"/>
          <w:szCs w:val="16"/>
          <w:color w:val="auto"/>
        </w:rPr>
        <w:t>‑</w:t>
      </w:r>
      <w:r>
        <w:rPr>
          <w:rFonts w:ascii="Arial" w:cs="Arial" w:eastAsia="Arial" w:hAnsi="Arial"/>
          <w:sz w:val="16"/>
          <w:szCs w:val="16"/>
          <w:color w:val="auto"/>
        </w:rPr>
        <w:t>exclusive licenses to nonprofit or academic institutions, without the right to sublicense and to use any of the licensed patent rights for any noncommercial research or education purposes.</w:t>
      </w:r>
    </w:p>
    <w:p>
      <w:pPr>
        <w:spacing w:after="0" w:line="202" w:lineRule="exact"/>
        <w:rPr>
          <w:sz w:val="20"/>
          <w:szCs w:val="20"/>
          <w:color w:val="auto"/>
        </w:rPr>
      </w:pPr>
    </w:p>
    <w:p>
      <w:pPr>
        <w:ind w:left="160" w:right="179" w:firstLine="646"/>
        <w:spacing w:after="0" w:line="217" w:lineRule="exact"/>
        <w:rPr>
          <w:sz w:val="20"/>
          <w:szCs w:val="20"/>
          <w:color w:val="auto"/>
        </w:rPr>
      </w:pPr>
      <w:r>
        <w:rPr>
          <w:rFonts w:ascii="Arial" w:cs="Arial" w:eastAsia="Arial" w:hAnsi="Arial"/>
          <w:sz w:val="16"/>
          <w:szCs w:val="16"/>
          <w:color w:val="auto"/>
        </w:rPr>
        <w:t>Pursuant to the Scripps License Agreement, we are obligated to pay Scripps potential product development milestone payments of up to an aggregate of $3.0 million upon the achievement of specified development and regulatory milestones. In addition, we are obligated to pay Scripps low single</w:t>
      </w:r>
      <w:r>
        <w:rPr>
          <w:rFonts w:ascii="MS PGothic" w:cs="MS PGothic" w:eastAsia="MS PGothic" w:hAnsi="MS PGothic"/>
          <w:sz w:val="16"/>
          <w:szCs w:val="16"/>
          <w:color w:val="auto"/>
        </w:rPr>
        <w:t>‑</w:t>
      </w:r>
      <w:r>
        <w:rPr>
          <w:rFonts w:ascii="Arial" w:cs="Arial" w:eastAsia="Arial" w:hAnsi="Arial"/>
          <w:sz w:val="16"/>
          <w:szCs w:val="16"/>
          <w:color w:val="auto"/>
        </w:rPr>
        <w:t>digit royalties as a percentage of net sales of licensed products. Our obligation to pay royalties on net sales is on a country-by-country basis. In the event that we challenge a patent or patent application covered by the Scripps License Agreement, our royalties will increase by fifty percent during the pendency of the challenge (and increase by one hundred percent in the event the challenge is not successful). We also forfeit the right to recoup any royalties, sublicense payments, milestone payments, patent costs or other payments during the period of any challenge to the patents covered under the Scripps License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19" w:firstLine="646"/>
        <w:spacing w:after="0" w:line="256" w:lineRule="auto"/>
        <w:rPr>
          <w:sz w:val="20"/>
          <w:szCs w:val="20"/>
          <w:color w:val="auto"/>
        </w:rPr>
      </w:pPr>
      <w:r>
        <w:rPr>
          <w:rFonts w:ascii="Arial" w:cs="Arial" w:eastAsia="Arial" w:hAnsi="Arial"/>
          <w:sz w:val="18"/>
          <w:szCs w:val="18"/>
          <w:color w:val="auto"/>
        </w:rPr>
        <w:t>If we license or acquire technology from a third party in order to commercialize a licensed product and to pay such third party royalties or other amounts, then we may deduct up to 50% of the amount paid to such third party from the payments owed to Scripps for such licensed product. This deduction is subject to specified limitations, including that in no event will any such deduction reduce a payment that we owe to Scripps to less than 50% of the otherwise applicable amount.</w:t>
      </w:r>
    </w:p>
    <w:p>
      <w:pPr>
        <w:spacing w:after="0" w:line="188" w:lineRule="exact"/>
        <w:rPr>
          <w:sz w:val="20"/>
          <w:szCs w:val="20"/>
          <w:color w:val="auto"/>
        </w:rPr>
      </w:pPr>
    </w:p>
    <w:p>
      <w:pPr>
        <w:ind w:left="160" w:right="659" w:firstLine="646"/>
        <w:spacing w:after="0" w:line="220" w:lineRule="exact"/>
        <w:rPr>
          <w:sz w:val="20"/>
          <w:szCs w:val="20"/>
          <w:color w:val="auto"/>
        </w:rPr>
      </w:pPr>
      <w:r>
        <w:rPr>
          <w:rFonts w:ascii="Arial" w:cs="Arial" w:eastAsia="Arial" w:hAnsi="Arial"/>
          <w:sz w:val="18"/>
          <w:szCs w:val="18"/>
          <w:color w:val="auto"/>
        </w:rPr>
        <w:t>We are required to use reasonable and diligent efforts to commercialize (directly or through sublicense arrangements) licensed products (including our product candidate VS</w:t>
      </w:r>
      <w:r>
        <w:rPr>
          <w:rFonts w:ascii="MS PGothic" w:cs="MS PGothic" w:eastAsia="MS PGothic" w:hAnsi="MS PGothic"/>
          <w:sz w:val="18"/>
          <w:szCs w:val="18"/>
          <w:color w:val="auto"/>
        </w:rPr>
        <w:t>‑</w:t>
      </w:r>
      <w:r>
        <w:rPr>
          <w:rFonts w:ascii="Arial" w:cs="Arial" w:eastAsia="Arial" w:hAnsi="Arial"/>
          <w:sz w:val="18"/>
          <w:szCs w:val="18"/>
          <w:color w:val="auto"/>
        </w:rPr>
        <w:t>4718) in either the United States, the United Kingdom, France, Germany or Japan.</w:t>
      </w:r>
    </w:p>
    <w:p>
      <w:pPr>
        <w:spacing w:after="0" w:line="202" w:lineRule="exact"/>
        <w:rPr>
          <w:sz w:val="20"/>
          <w:szCs w:val="20"/>
          <w:color w:val="auto"/>
        </w:rPr>
      </w:pPr>
    </w:p>
    <w:p>
      <w:pPr>
        <w:ind w:left="160" w:right="159" w:firstLine="646"/>
        <w:spacing w:after="0" w:line="218" w:lineRule="exact"/>
        <w:rPr>
          <w:sz w:val="20"/>
          <w:szCs w:val="20"/>
          <w:color w:val="auto"/>
        </w:rPr>
      </w:pPr>
      <w:r>
        <w:rPr>
          <w:rFonts w:ascii="Arial" w:cs="Arial" w:eastAsia="Arial" w:hAnsi="Arial"/>
          <w:sz w:val="18"/>
          <w:szCs w:val="18"/>
          <w:color w:val="auto"/>
        </w:rPr>
        <w:t>The Scripps License Agreement expires upon the last expiration of any of the licensed patent rights. We have the right to terminate the Scripps License Agreement or any portion of our licensed rights under the Scripps License Agreement for any reason upon at least 90 days prior written notice and payment of a low five</w:t>
      </w:r>
      <w:r>
        <w:rPr>
          <w:rFonts w:ascii="MS PGothic" w:cs="MS PGothic" w:eastAsia="MS PGothic" w:hAnsi="MS PGothic"/>
          <w:sz w:val="18"/>
          <w:szCs w:val="18"/>
          <w:color w:val="auto"/>
        </w:rPr>
        <w:t>‑</w:t>
      </w:r>
      <w:r>
        <w:rPr>
          <w:rFonts w:ascii="Arial" w:cs="Arial" w:eastAsia="Arial" w:hAnsi="Arial"/>
          <w:sz w:val="18"/>
          <w:szCs w:val="18"/>
          <w:color w:val="auto"/>
        </w:rPr>
        <w:t>figure termination fee. We are not responsible for the termination fee if Scripps defaults in the performance of its material obligations and fails to cure. Scripps can terminate the Scripps License Agreement for certain material breaches by us or defaults in our performance of material obligations.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Pfizer Inc.</w:t>
      </w:r>
    </w:p>
    <w:p>
      <w:pPr>
        <w:spacing w:after="0" w:line="228" w:lineRule="exact"/>
        <w:rPr>
          <w:sz w:val="20"/>
          <w:szCs w:val="20"/>
          <w:color w:val="auto"/>
        </w:rPr>
      </w:pPr>
    </w:p>
    <w:p>
      <w:pPr>
        <w:ind w:left="160" w:right="139" w:firstLine="646"/>
        <w:spacing w:after="0" w:line="217" w:lineRule="exact"/>
        <w:rPr>
          <w:sz w:val="20"/>
          <w:szCs w:val="20"/>
          <w:color w:val="auto"/>
        </w:rPr>
      </w:pPr>
      <w:r>
        <w:rPr>
          <w:rFonts w:ascii="Arial" w:cs="Arial" w:eastAsia="Arial" w:hAnsi="Arial"/>
          <w:sz w:val="16"/>
          <w:szCs w:val="16"/>
          <w:color w:val="auto"/>
        </w:rPr>
        <w:t>On July 11, 2012, we entered into a license agreement with Pfizer under which Pfizer granted us worldwide, exclusive rights to research, develop, manufacture and commercialize products containing certain of Pfizer’s inhibitors of FAK, including defactinib, for all therapeutic, diagnostic and prophylactic uses in humans. We have the right to grant sublicenses under the foregoing licensed rights, subject to certain restrictions. We are solely responsible, at our own expense, for the clinical development of these products, which is to be conducted in accordance with an agreed</w:t>
      </w:r>
      <w:r>
        <w:rPr>
          <w:rFonts w:ascii="MS PGothic" w:cs="MS PGothic" w:eastAsia="MS PGothic" w:hAnsi="MS PGothic"/>
          <w:sz w:val="16"/>
          <w:szCs w:val="16"/>
          <w:color w:val="auto"/>
        </w:rPr>
        <w:t>‑</w:t>
      </w:r>
      <w:r>
        <w:rPr>
          <w:rFonts w:ascii="Arial" w:cs="Arial" w:eastAsia="Arial" w:hAnsi="Arial"/>
          <w:sz w:val="16"/>
          <w:szCs w:val="16"/>
          <w:color w:val="auto"/>
        </w:rPr>
        <w:t>upon development plan. We are also responsible for all manufacturing and commercialization activities at our own expense. Pfizer provided us with an initial quantity of clinical supplies of one of the products for an agreed upon price.</w:t>
      </w:r>
    </w:p>
    <w:p>
      <w:pPr>
        <w:spacing w:after="0" w:line="204" w:lineRule="exact"/>
        <w:rPr>
          <w:sz w:val="20"/>
          <w:szCs w:val="20"/>
          <w:color w:val="auto"/>
        </w:rPr>
      </w:pPr>
    </w:p>
    <w:p>
      <w:pPr>
        <w:ind w:left="160" w:right="179" w:firstLine="646"/>
        <w:spacing w:after="0" w:line="217" w:lineRule="exact"/>
        <w:rPr>
          <w:sz w:val="20"/>
          <w:szCs w:val="20"/>
          <w:color w:val="auto"/>
        </w:rPr>
      </w:pPr>
      <w:r>
        <w:rPr>
          <w:rFonts w:ascii="Arial" w:cs="Arial" w:eastAsia="Arial" w:hAnsi="Arial"/>
          <w:sz w:val="17"/>
          <w:szCs w:val="17"/>
          <w:color w:val="auto"/>
        </w:rPr>
        <w:t>Upon entering into the license agreement, we made a one</w:t>
      </w:r>
      <w:r>
        <w:rPr>
          <w:rFonts w:ascii="MS PGothic" w:cs="MS PGothic" w:eastAsia="MS PGothic" w:hAnsi="MS PGothic"/>
          <w:sz w:val="17"/>
          <w:szCs w:val="17"/>
          <w:color w:val="auto"/>
        </w:rPr>
        <w:t>‑</w:t>
      </w:r>
      <w:r>
        <w:rPr>
          <w:rFonts w:ascii="Arial" w:cs="Arial" w:eastAsia="Arial" w:hAnsi="Arial"/>
          <w:sz w:val="17"/>
          <w:szCs w:val="17"/>
          <w:color w:val="auto"/>
        </w:rPr>
        <w:t>time cash payment to Pfizer in the amount of $1.5 million and issued 192,012 shares of our common stock. Pfizer is also eligible to receive up to $2.0 million in developmental milestones and up to an additional $125.0 million based on the successful attainment of regulatory and commercial sales milestones. Pfizer is also eligible to receive high single to mid-double digit royalties on future net sales of the products. Our royalty obligations with respect to each product in each country begin on the date of first commercial sale of the product in that country, and end on the later of 10 years after the date of first commercial sale of the product in that country or the date of expiration or abandonment of the last claim contained in any issued patent or patent application licensed by Pfizer to us that covers the product in that country.</w:t>
      </w:r>
    </w:p>
    <w:p>
      <w:pPr>
        <w:spacing w:after="0" w:line="205" w:lineRule="exact"/>
        <w:rPr>
          <w:sz w:val="20"/>
          <w:szCs w:val="20"/>
          <w:color w:val="auto"/>
        </w:rPr>
      </w:pPr>
    </w:p>
    <w:p>
      <w:pPr>
        <w:ind w:left="160" w:right="179" w:firstLine="646"/>
        <w:spacing w:after="0" w:line="217" w:lineRule="exact"/>
        <w:rPr>
          <w:sz w:val="20"/>
          <w:szCs w:val="20"/>
          <w:color w:val="auto"/>
        </w:rPr>
      </w:pPr>
      <w:r>
        <w:rPr>
          <w:rFonts w:ascii="Arial" w:cs="Arial" w:eastAsia="Arial" w:hAnsi="Arial"/>
          <w:sz w:val="18"/>
          <w:szCs w:val="18"/>
          <w:color w:val="auto"/>
        </w:rPr>
        <w:t>The license agreement will remain in effect until the expiration of all of our royalty obligations to Pfizer, determined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So long as we are not in breach of the license agreement, we have the right to terminate the license agreement at will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or in its entirety, upon 90 days written notice to Pfizer. Either party has the right to terminate the license agreement in connection with an insolvency event involving the other party or a material breach of the license agreement by the other party that remains uncured for a specified period of time. If the license agreement is terminated by either party for any reason, worldwide rights to the research, development, manufacture and commercialization of the products revert back to Pfizer.</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228" w:lineRule="exact"/>
        <w:rPr>
          <w:sz w:val="20"/>
          <w:szCs w:val="20"/>
          <w:color w:val="auto"/>
        </w:rPr>
      </w:pPr>
    </w:p>
    <w:p>
      <w:pPr>
        <w:ind w:left="160" w:right="299" w:firstLine="646"/>
        <w:spacing w:after="0" w:line="254"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99" w:firstLine="646"/>
        <w:spacing w:after="0" w:line="289" w:lineRule="auto"/>
        <w:rPr>
          <w:sz w:val="20"/>
          <w:szCs w:val="20"/>
          <w:color w:val="auto"/>
        </w:rPr>
      </w:pPr>
      <w:r>
        <w:rPr>
          <w:rFonts w:ascii="Arial" w:cs="Arial" w:eastAsia="Arial" w:hAnsi="Arial"/>
          <w:sz w:val="16"/>
          <w:szCs w:val="16"/>
          <w:color w:val="auto"/>
        </w:rPr>
        <w:t>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166" w:lineRule="exact"/>
        <w:rPr>
          <w:sz w:val="20"/>
          <w:szCs w:val="20"/>
          <w:color w:val="auto"/>
        </w:rPr>
      </w:pPr>
    </w:p>
    <w:p>
      <w:pPr>
        <w:ind w:left="160" w:right="319" w:firstLine="646"/>
        <w:spacing w:after="0" w:line="220" w:lineRule="exact"/>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price, the level of generic competition and the availability of reimbursement from government and other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02" w:lineRule="exact"/>
        <w:rPr>
          <w:sz w:val="20"/>
          <w:szCs w:val="20"/>
          <w:color w:val="auto"/>
        </w:rPr>
      </w:pPr>
    </w:p>
    <w:p>
      <w:pPr>
        <w:ind w:left="160" w:right="139" w:firstLine="646"/>
        <w:spacing w:after="0" w:line="217" w:lineRule="exact"/>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6"/>
          <w:szCs w:val="16"/>
          <w:color w:val="auto"/>
        </w:rPr>
        <w:t>‑</w:t>
      </w:r>
      <w:r>
        <w:rPr>
          <w:rFonts w:ascii="Arial" w:cs="Arial" w:eastAsia="Arial" w:hAnsi="Arial"/>
          <w:sz w:val="16"/>
          <w:szCs w:val="16"/>
          <w:color w:val="auto"/>
        </w:rPr>
        <w:t>party payors seeking to encourage the use of generic products. There are many generic products currently on the market for the indications that we are pursuing, and additional products are expected to become available on a generic basis over the coming years. If our therapeutic product candidates are approved, we expect that they will be priced at a significant premium over competitive generic products.</w:t>
      </w:r>
    </w:p>
    <w:p>
      <w:pPr>
        <w:spacing w:after="0" w:line="208" w:lineRule="exact"/>
        <w:rPr>
          <w:sz w:val="20"/>
          <w:szCs w:val="20"/>
          <w:color w:val="auto"/>
        </w:rPr>
      </w:pPr>
    </w:p>
    <w:p>
      <w:pPr>
        <w:ind w:left="160" w:right="279" w:firstLine="646"/>
        <w:spacing w:after="0" w:line="217" w:lineRule="exact"/>
        <w:rPr>
          <w:sz w:val="20"/>
          <w:szCs w:val="20"/>
          <w:color w:val="auto"/>
        </w:rPr>
      </w:pPr>
      <w:r>
        <w:rPr>
          <w:rFonts w:ascii="Arial" w:cs="Arial" w:eastAsia="Arial" w:hAnsi="Arial"/>
          <w:sz w:val="16"/>
          <w:szCs w:val="16"/>
          <w:color w:val="auto"/>
        </w:rPr>
        <w:t>The most common methods of treating patients with cancer are surgery, radiation and drug therapy, including chemotherapy, hormone therapy and targeted drug therapy. There are a variety of available drug therapies marketed for cancer. In many cases, these drugs are administered in combination to enhance efficacy. While our product candidates may compete with many existing drug and other therapies, to the extent they are ultimately used in combination with or as an adjunct to these therapies, our product candidates will not be competitive with them. Some of the currently approved drug therapies are branded and subject to patent protection, and others are available on a generic basis. Many of these approved drugs are well established therapies and are widely accepted by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spacing w:after="0" w:line="206" w:lineRule="exact"/>
        <w:rPr>
          <w:sz w:val="20"/>
          <w:szCs w:val="20"/>
          <w:color w:val="auto"/>
        </w:rPr>
      </w:pPr>
    </w:p>
    <w:p>
      <w:pPr>
        <w:ind w:left="160" w:right="179" w:firstLine="646"/>
        <w:spacing w:after="0" w:line="258" w:lineRule="auto"/>
        <w:rPr>
          <w:sz w:val="20"/>
          <w:szCs w:val="20"/>
          <w:color w:val="auto"/>
        </w:rPr>
      </w:pPr>
      <w:r>
        <w:rPr>
          <w:rFonts w:ascii="Arial" w:cs="Arial" w:eastAsia="Arial" w:hAnsi="Arial"/>
          <w:sz w:val="18"/>
          <w:szCs w:val="18"/>
          <w:color w:val="auto"/>
        </w:rPr>
        <w:t>In addition to currently marketed therapies, there are also a number of products in late stage clinical development to treat cancer. These products in development may provide efficacy, safety, convenience and other benefits that are not provided by currently marketed therapies. As a result, they may provide significant competition for any of our product candidates for which we obtain market approval.</w:t>
      </w:r>
    </w:p>
    <w:p>
      <w:pPr>
        <w:spacing w:after="0" w:line="187" w:lineRule="exact"/>
        <w:rPr>
          <w:sz w:val="20"/>
          <w:szCs w:val="20"/>
          <w:color w:val="auto"/>
        </w:rPr>
      </w:pPr>
    </w:p>
    <w:p>
      <w:pPr>
        <w:ind w:left="160" w:right="199" w:firstLine="646"/>
        <w:spacing w:after="0" w:line="254" w:lineRule="auto"/>
        <w:rPr>
          <w:sz w:val="20"/>
          <w:szCs w:val="20"/>
          <w:color w:val="auto"/>
        </w:rPr>
      </w:pPr>
      <w:r>
        <w:rPr>
          <w:rFonts w:ascii="Arial" w:cs="Arial" w:eastAsia="Arial" w:hAnsi="Arial"/>
          <w:sz w:val="18"/>
          <w:szCs w:val="18"/>
          <w:color w:val="auto"/>
        </w:rPr>
        <w:t>Our competitors may commence and complete clinical testing of their product candidates, obtain regulatory approvals and begin commercialization of their products sooner than we may for our own product candidates. These competitive products may have superior safety or efficacy, or be manufactured less expensively, than our product candidates. If we are unable to compete effectively against these companies on the basis of safety, efficacy or cost, then we may not be able to commercialize our product candidates or achieve a competitive position in the market. This would adversely affect our business.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PI3K inhibition program</w:t>
      </w:r>
    </w:p>
    <w:p>
      <w:pPr>
        <w:spacing w:after="0" w:line="228" w:lineRule="exact"/>
        <w:rPr>
          <w:sz w:val="20"/>
          <w:szCs w:val="20"/>
          <w:color w:val="auto"/>
        </w:rPr>
      </w:pPr>
    </w:p>
    <w:p>
      <w:pPr>
        <w:ind w:left="160" w:right="939" w:firstLine="646"/>
        <w:spacing w:after="0" w:line="276" w:lineRule="auto"/>
        <w:rPr>
          <w:sz w:val="20"/>
          <w:szCs w:val="20"/>
          <w:color w:val="auto"/>
        </w:rPr>
      </w:pPr>
      <w:r>
        <w:rPr>
          <w:rFonts w:ascii="Arial" w:cs="Arial" w:eastAsia="Arial" w:hAnsi="Arial"/>
          <w:sz w:val="18"/>
          <w:szCs w:val="18"/>
          <w:color w:val="auto"/>
        </w:rPr>
        <w:t>We believe that the following companies, among others, have developed or are in the clinical stage of development of compounds targeting PI3K:</w:t>
      </w:r>
    </w:p>
    <w:p>
      <w:pPr>
        <w:spacing w:after="0" w:line="170" w:lineRule="exact"/>
        <w:rPr>
          <w:sz w:val="20"/>
          <w:szCs w:val="20"/>
          <w:color w:val="auto"/>
        </w:rPr>
      </w:pPr>
    </w:p>
    <w:p>
      <w:pPr>
        <w:ind w:left="560" w:right="219" w:hanging="87"/>
        <w:spacing w:after="0" w:line="276"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Gilead Sciences, Inc. has received approval from the FDA of idelalisib for the treatment of people with CLL, SLL, or FL, and which we believe is conducting a Phase 1b clinical trial of acalisib (GS-9820);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560" w:hanging="87"/>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Novartis, which we believe is conducting a Phase 2 clinical trial of buparlisib;</w:t>
      </w:r>
    </w:p>
    <w:p>
      <w:pPr>
        <w:spacing w:after="0" w:line="223" w:lineRule="exact"/>
        <w:rPr>
          <w:rFonts w:ascii="Arial" w:cs="Arial" w:eastAsia="Arial" w:hAnsi="Arial"/>
          <w:sz w:val="18"/>
          <w:szCs w:val="18"/>
          <w:color w:val="auto"/>
        </w:rPr>
      </w:pPr>
    </w:p>
    <w:p>
      <w:pPr>
        <w:ind w:left="560" w:hanging="87"/>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 Therapeutics, Inc., which we believe is conducting multiple clinical trials of TGR-1202;</w:t>
      </w:r>
    </w:p>
    <w:p>
      <w:pPr>
        <w:spacing w:after="0" w:line="223" w:lineRule="exact"/>
        <w:rPr>
          <w:rFonts w:ascii="Arial" w:cs="Arial" w:eastAsia="Arial" w:hAnsi="Arial"/>
          <w:sz w:val="18"/>
          <w:szCs w:val="18"/>
          <w:color w:val="auto"/>
        </w:rPr>
      </w:pPr>
    </w:p>
    <w:p>
      <w:pPr>
        <w:ind w:left="560" w:hanging="87"/>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AstraZeneca, which we believe is conducting Phase 2 clinical trials of ACP 319; and</w:t>
      </w:r>
    </w:p>
    <w:p>
      <w:pPr>
        <w:spacing w:after="0" w:line="223" w:lineRule="exact"/>
        <w:rPr>
          <w:rFonts w:ascii="Arial" w:cs="Arial" w:eastAsia="Arial" w:hAnsi="Arial"/>
          <w:sz w:val="18"/>
          <w:szCs w:val="18"/>
          <w:color w:val="auto"/>
        </w:rPr>
      </w:pPr>
    </w:p>
    <w:p>
      <w:pPr>
        <w:ind w:left="560" w:right="439" w:hanging="87"/>
        <w:spacing w:after="0" w:line="276"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Incyte Corporation, which we believe is conducting a Phase 2 clinical trial of INCB-050465, and which we also believe is conducting a Phase 2 clinical trial of INCB-040093.</w:t>
      </w:r>
    </w:p>
    <w:p>
      <w:pPr>
        <w:spacing w:after="0" w:line="170" w:lineRule="exact"/>
        <w:rPr>
          <w:sz w:val="20"/>
          <w:szCs w:val="20"/>
          <w:color w:val="auto"/>
        </w:rPr>
      </w:pPr>
    </w:p>
    <w:p>
      <w:pPr>
        <w:ind w:left="160" w:right="439" w:firstLine="646"/>
        <w:spacing w:after="0" w:line="254" w:lineRule="auto"/>
        <w:rPr>
          <w:sz w:val="20"/>
          <w:szCs w:val="20"/>
          <w:color w:val="auto"/>
        </w:rPr>
      </w:pPr>
      <w:r>
        <w:rPr>
          <w:rFonts w:ascii="Arial" w:cs="Arial" w:eastAsia="Arial" w:hAnsi="Arial"/>
          <w:sz w:val="18"/>
          <w:szCs w:val="18"/>
          <w:color w:val="auto"/>
        </w:rPr>
        <w:t>In addition, many companies are developing product candidates directed to disease targets such as Bruton’s Tyrosine Kinase (BTK), B-cell lymphoma 2 (BCL-2), Janus Kinase (JAK), B-lymphocyte antigen CD-19, and programmed death 1/ligand 1 (PD-1/PD-L1), Cluster of Differentiation 79B antibody-drug conjugate (CD79B ADC), and pleiotropic pathways in the fields of hematology-oncology, including in the specific diseases for which we are currently developing duvelisib, or for which we may develop duvelisib or other PI3K inhibitors in the future. Such companies include:</w:t>
      </w:r>
    </w:p>
    <w:p>
      <w:pPr>
        <w:spacing w:after="0" w:line="193" w:lineRule="exact"/>
        <w:rPr>
          <w:sz w:val="20"/>
          <w:szCs w:val="20"/>
          <w:color w:val="auto"/>
        </w:rPr>
      </w:pPr>
    </w:p>
    <w:p>
      <w:pPr>
        <w:ind w:left="560" w:right="259" w:hanging="87"/>
        <w:spacing w:after="0" w:line="258"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Pharmacyclics LLC, a wholly-owned subsidiary of AbbVie, through its collaboration with Janssen Biotech, which has received approval from the FDA of ibrutinib, a BTK inhibitor, for the treatment of people with mantle cell lymphoma (MCL), CLL, MZL, SLL, or Waldenström’s macroglobulinemia, and is conducting multiple late stage clinical studies of ibrutinib in additional hematologic malignancies;</w:t>
      </w:r>
    </w:p>
    <w:p>
      <w:pPr>
        <w:spacing w:after="0" w:line="186" w:lineRule="exact"/>
        <w:rPr>
          <w:rFonts w:ascii="Arial" w:cs="Arial" w:eastAsia="Arial" w:hAnsi="Arial"/>
          <w:sz w:val="18"/>
          <w:szCs w:val="18"/>
          <w:color w:val="auto"/>
        </w:rPr>
      </w:pPr>
    </w:p>
    <w:p>
      <w:pPr>
        <w:ind w:left="560" w:right="159" w:hanging="87"/>
        <w:spacing w:after="0" w:line="262"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AbbVie, through its collaboration with Roche, which has received approval from the FDA of venetoclax, a BCL-2 inhibitor, for the treatment of people with CLL, and is conducting multiple late stage clinical studies of ventoclax in additional hematologic malignancies;</w:t>
      </w:r>
    </w:p>
    <w:p>
      <w:pPr>
        <w:spacing w:after="0" w:line="183" w:lineRule="exact"/>
        <w:rPr>
          <w:rFonts w:ascii="Arial" w:cs="Arial" w:eastAsia="Arial" w:hAnsi="Arial"/>
          <w:sz w:val="18"/>
          <w:szCs w:val="18"/>
          <w:color w:val="auto"/>
        </w:rPr>
      </w:pPr>
    </w:p>
    <w:p>
      <w:pPr>
        <w:ind w:left="560" w:right="179" w:hanging="87"/>
        <w:spacing w:after="0" w:line="258"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Celgene Corporation, which has received FDA approval of lenalidomide, an immunomodulator, for the treatment of people with multiple myeloma, MCL, and myelodyplastic syndromes, and is conducting late stage clinical studies of lenalidomide in additional hematologic malignancies; we also believe that Celgene is conducting a Phase 1 clinical trial of CC-292, a BTK inhibitor, in patients with CLL;</w:t>
      </w:r>
    </w:p>
    <w:p>
      <w:pPr>
        <w:spacing w:after="0" w:line="186" w:lineRule="exact"/>
        <w:rPr>
          <w:rFonts w:ascii="Arial" w:cs="Arial" w:eastAsia="Arial" w:hAnsi="Arial"/>
          <w:sz w:val="18"/>
          <w:szCs w:val="18"/>
          <w:color w:val="auto"/>
        </w:rPr>
      </w:pPr>
    </w:p>
    <w:p>
      <w:pPr>
        <w:ind w:left="560" w:right="239" w:hanging="87"/>
        <w:spacing w:after="0" w:line="276"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AstraZeneca, which we believe is conducting a Phase 3 clinical trial of ACP-196, a BTK inhibitor, in patients with CLL; and</w:t>
      </w:r>
    </w:p>
    <w:p>
      <w:pPr>
        <w:spacing w:after="0" w:line="169" w:lineRule="exact"/>
        <w:rPr>
          <w:rFonts w:ascii="Arial" w:cs="Arial" w:eastAsia="Arial" w:hAnsi="Arial"/>
          <w:sz w:val="18"/>
          <w:szCs w:val="18"/>
          <w:color w:val="auto"/>
        </w:rPr>
      </w:pPr>
    </w:p>
    <w:p>
      <w:pPr>
        <w:ind w:left="560" w:right="239" w:hanging="87"/>
        <w:spacing w:after="0" w:line="306" w:lineRule="auto"/>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Incyte Corporation, which has received FDA approval of ruxolitinib, a JAK inhibitor, in patients with intermediate or high-risk myelofibrosis, and which we believe is conducting Phase 2 clinical trials in CLL.</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FAK inhibition program</w:t>
      </w:r>
    </w:p>
    <w:p>
      <w:pPr>
        <w:spacing w:after="0" w:line="228" w:lineRule="exact"/>
        <w:rPr>
          <w:sz w:val="20"/>
          <w:szCs w:val="20"/>
          <w:color w:val="auto"/>
        </w:rPr>
      </w:pPr>
    </w:p>
    <w:p>
      <w:pPr>
        <w:jc w:val="both"/>
        <w:ind w:left="160" w:right="459" w:firstLine="646"/>
        <w:spacing w:after="0" w:line="218" w:lineRule="exact"/>
        <w:rPr>
          <w:sz w:val="20"/>
          <w:szCs w:val="20"/>
          <w:color w:val="auto"/>
        </w:rPr>
      </w:pPr>
      <w:r>
        <w:rPr>
          <w:rFonts w:ascii="Arial" w:cs="Arial" w:eastAsia="Arial" w:hAnsi="Arial"/>
          <w:sz w:val="18"/>
          <w:szCs w:val="18"/>
          <w:color w:val="auto"/>
        </w:rPr>
        <w:t>There are other companies working to develop therapies to treat cancer including some who also target the tumor microenvironment or CSCs. These companies include divisions of large pharmaceutical companies including Astellas Pharma Inc., Celgene, Inc., Sanofi</w:t>
      </w:r>
      <w:r>
        <w:rPr>
          <w:rFonts w:ascii="MS PGothic" w:cs="MS PGothic" w:eastAsia="MS PGothic" w:hAnsi="MS PGothic"/>
          <w:sz w:val="18"/>
          <w:szCs w:val="18"/>
          <w:color w:val="auto"/>
        </w:rPr>
        <w:t>‑</w:t>
      </w:r>
      <w:r>
        <w:rPr>
          <w:rFonts w:ascii="Arial" w:cs="Arial" w:eastAsia="Arial" w:hAnsi="Arial"/>
          <w:sz w:val="18"/>
          <w:szCs w:val="18"/>
          <w:color w:val="auto"/>
        </w:rPr>
        <w:t>Aventis U.S. LLC, GlaxoSmithKline plc, Boehringer Ingelheim GmbH, Pfizer Inc. and others. There are also biotechnology companies of various sizes that are developing therapies against CSCs, including OncoMed Pharmaceuticals, Inc., Boston Biomedical Inc. (a division of Dainippon Sumitomo Corp), Stemline Therapeutics, Inc. and others.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MANUFACTURING</w:t>
      </w:r>
    </w:p>
    <w:p>
      <w:pPr>
        <w:spacing w:after="0" w:line="228" w:lineRule="exact"/>
        <w:rPr>
          <w:sz w:val="20"/>
          <w:szCs w:val="20"/>
          <w:color w:val="auto"/>
        </w:rPr>
      </w:pPr>
    </w:p>
    <w:p>
      <w:pPr>
        <w:ind w:left="160" w:right="299" w:firstLine="646"/>
        <w:spacing w:after="0" w:line="217" w:lineRule="exact"/>
        <w:rPr>
          <w:sz w:val="20"/>
          <w:szCs w:val="20"/>
          <w:color w:val="auto"/>
        </w:rPr>
      </w:pPr>
      <w:r>
        <w:rPr>
          <w:rFonts w:ascii="Arial" w:cs="Arial" w:eastAsia="Arial" w:hAnsi="Arial"/>
          <w:sz w:val="16"/>
          <w:szCs w:val="16"/>
          <w:color w:val="auto"/>
        </w:rPr>
        <w:t>We do not own or operate, and currently have no plans to establish, any manufacturing facilities. We currently rely, and expect to continue to rely, on third parties for the manufacture of our product candidates and any products that we may develop, other than small amounts of compounds that we may synthesize ourselves for preclinical testing. To date, we have obtained starting materials for our supply of the bulk drug substance and drug product for our product candidates from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We obtain our supplies from these manufacturers on a purchase order basis and do not have long</w:t>
      </w:r>
      <w:r>
        <w:rPr>
          <w:rFonts w:ascii="MS PGothic" w:cs="MS PGothic" w:eastAsia="MS PGothic" w:hAnsi="MS PGothic"/>
          <w:sz w:val="16"/>
          <w:szCs w:val="16"/>
          <w:color w:val="auto"/>
        </w:rPr>
        <w:t>‑</w:t>
      </w:r>
      <w:r>
        <w:rPr>
          <w:rFonts w:ascii="Arial" w:cs="Arial" w:eastAsia="Arial" w:hAnsi="Arial"/>
          <w:sz w:val="16"/>
          <w:szCs w:val="16"/>
          <w:color w:val="auto"/>
        </w:rPr>
        <w:t>term supply arrangements in place. We do not currently have arrangements in place for redundant supply or a second source for bulk drug substance and drug product. If our current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should become unavailable to us for any reason, we believe that there are several potential replacements, although we might incur some delay in identifying and qualifying such replacements.</w:t>
      </w:r>
    </w:p>
    <w:p>
      <w:pPr>
        <w:spacing w:after="0" w:line="208" w:lineRule="exact"/>
        <w:rPr>
          <w:sz w:val="20"/>
          <w:szCs w:val="20"/>
          <w:color w:val="auto"/>
        </w:rPr>
      </w:pPr>
    </w:p>
    <w:p>
      <w:pPr>
        <w:ind w:left="160" w:right="319" w:firstLine="646"/>
        <w:spacing w:after="0" w:line="219" w:lineRule="exact"/>
        <w:rPr>
          <w:sz w:val="20"/>
          <w:szCs w:val="20"/>
          <w:color w:val="auto"/>
        </w:rPr>
      </w:pPr>
      <w:r>
        <w:rPr>
          <w:rFonts w:ascii="Arial" w:cs="Arial" w:eastAsia="Arial" w:hAnsi="Arial"/>
          <w:sz w:val="18"/>
          <w:szCs w:val="18"/>
          <w:color w:val="auto"/>
        </w:rPr>
        <w:t>All of our drug candidates are organic compounds of low molecular weight, generally called small molecules. We select compounds not only on the basis of their potential efficacy and safety, but also for their ease of synthesis and reasonable cost of their starting materials. We expect to continue to develop drug candidates that can be produced cost</w:t>
      </w:r>
      <w:r>
        <w:rPr>
          <w:rFonts w:ascii="MS PGothic" w:cs="MS PGothic" w:eastAsia="MS PGothic" w:hAnsi="MS PGothic"/>
          <w:sz w:val="18"/>
          <w:szCs w:val="18"/>
          <w:color w:val="auto"/>
        </w:rPr>
        <w:t>‑</w:t>
      </w:r>
      <w:r>
        <w:rPr>
          <w:rFonts w:ascii="Arial" w:cs="Arial" w:eastAsia="Arial" w:hAnsi="Arial"/>
          <w:sz w:val="18"/>
          <w:szCs w:val="18"/>
          <w:color w:val="auto"/>
        </w:rPr>
        <w:t>effectively at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facilities.</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GOVERNMENT REGULATION</w:t>
      </w:r>
    </w:p>
    <w:p>
      <w:pPr>
        <w:spacing w:after="0" w:line="228" w:lineRule="exact"/>
        <w:rPr>
          <w:sz w:val="20"/>
          <w:szCs w:val="20"/>
          <w:color w:val="auto"/>
        </w:rPr>
      </w:pPr>
    </w:p>
    <w:p>
      <w:pPr>
        <w:ind w:left="160" w:right="279" w:firstLine="646"/>
        <w:spacing w:after="0" w:line="219" w:lineRule="exact"/>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manufacture, including any manufacturing changes, packaging, storage, recordkeeping, labeling, advertising, promotion, distribution, marketing, post</w:t>
      </w:r>
      <w:r>
        <w:rPr>
          <w:rFonts w:ascii="MS PGothic" w:cs="MS PGothic" w:eastAsia="MS PGothic" w:hAnsi="MS PGothic"/>
          <w:sz w:val="16"/>
          <w:szCs w:val="16"/>
          <w:color w:val="auto"/>
        </w:rPr>
        <w:t>‑</w:t>
      </w:r>
      <w:r>
        <w:rPr>
          <w:rFonts w:ascii="Arial" w:cs="Arial" w:eastAsia="Arial" w:hAnsi="Arial"/>
          <w:sz w:val="16"/>
          <w:szCs w:val="16"/>
          <w:color w:val="auto"/>
        </w:rPr>
        <w:t>approval monitoring and reporting, import and export of pharmaceutical products, such as those we are developing.</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United States drug approval process</w:t>
      </w:r>
    </w:p>
    <w:p>
      <w:pPr>
        <w:spacing w:after="0" w:line="228" w:lineRule="exact"/>
        <w:rPr>
          <w:sz w:val="20"/>
          <w:szCs w:val="20"/>
          <w:color w:val="auto"/>
        </w:rPr>
      </w:pPr>
    </w:p>
    <w:p>
      <w:pPr>
        <w:ind w:left="160" w:right="219" w:firstLine="646"/>
        <w:spacing w:after="0" w:line="252"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of profits or civil or criminal penalties.</w:t>
      </w:r>
    </w:p>
    <w:p>
      <w:pPr>
        <w:spacing w:after="0" w:line="197" w:lineRule="exact"/>
        <w:rPr>
          <w:sz w:val="20"/>
          <w:szCs w:val="20"/>
          <w:color w:val="auto"/>
        </w:rPr>
      </w:pPr>
    </w:p>
    <w:p>
      <w:pPr>
        <w:ind w:left="160" w:right="459" w:firstLine="646"/>
        <w:spacing w:after="0" w:line="276" w:lineRule="auto"/>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70" w:lineRule="exact"/>
        <w:rPr>
          <w:sz w:val="20"/>
          <w:szCs w:val="20"/>
          <w:color w:val="auto"/>
        </w:rPr>
      </w:pPr>
    </w:p>
    <w:p>
      <w:pPr>
        <w:ind w:left="1200" w:right="319" w:hanging="81"/>
        <w:spacing w:after="0" w:line="276"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(GLP) regulations;</w:t>
      </w:r>
    </w:p>
    <w:p>
      <w:pPr>
        <w:spacing w:after="0" w:line="169" w:lineRule="exact"/>
        <w:rPr>
          <w:rFonts w:ascii="Arial" w:cs="Arial" w:eastAsia="Arial" w:hAnsi="Arial"/>
          <w:sz w:val="18"/>
          <w:szCs w:val="18"/>
          <w:color w:val="auto"/>
        </w:rPr>
      </w:pPr>
    </w:p>
    <w:p>
      <w:pPr>
        <w:ind w:left="1200" w:right="419" w:hanging="81"/>
        <w:spacing w:after="0" w:line="276"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(IND) application, which must become effective before human clinical trials may begin;</w:t>
      </w:r>
    </w:p>
    <w:p>
      <w:pPr>
        <w:spacing w:after="0" w:line="169" w:lineRule="exact"/>
        <w:rPr>
          <w:rFonts w:ascii="Arial" w:cs="Arial" w:eastAsia="Arial" w:hAnsi="Arial"/>
          <w:sz w:val="18"/>
          <w:szCs w:val="18"/>
          <w:color w:val="auto"/>
        </w:rPr>
      </w:pPr>
    </w:p>
    <w:p>
      <w:pPr>
        <w:ind w:left="1200" w:right="279" w:hanging="81"/>
        <w:spacing w:after="0" w:line="276"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at each clinical site before each trial may be initiated;</w:t>
      </w:r>
    </w:p>
    <w:p>
      <w:pPr>
        <w:spacing w:after="0" w:line="169" w:lineRule="exact"/>
        <w:rPr>
          <w:rFonts w:ascii="Arial" w:cs="Arial" w:eastAsia="Arial" w:hAnsi="Arial"/>
          <w:sz w:val="18"/>
          <w:szCs w:val="18"/>
          <w:color w:val="auto"/>
        </w:rPr>
      </w:pPr>
    </w:p>
    <w:p>
      <w:pPr>
        <w:ind w:left="1200" w:right="699" w:hanging="81"/>
        <w:spacing w:after="0" w:line="223" w:lineRule="exact"/>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performance of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human clinical trials in accordance with good clinical practices (GCP) to establish the safety and efficacy of the proposed drug for each indication;</w:t>
      </w:r>
    </w:p>
    <w:p>
      <w:pPr>
        <w:spacing w:after="0" w:line="201" w:lineRule="exact"/>
        <w:rPr>
          <w:rFonts w:ascii="Arial" w:cs="Arial" w:eastAsia="Arial" w:hAnsi="Arial"/>
          <w:sz w:val="16"/>
          <w:szCs w:val="16"/>
          <w:color w:val="auto"/>
        </w:rPr>
      </w:pPr>
    </w:p>
    <w:p>
      <w:pPr>
        <w:ind w:left="1240" w:hanging="121"/>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220" w:hanging="101"/>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3" w:lineRule="exact"/>
        <w:rPr>
          <w:rFonts w:ascii="Arial" w:cs="Arial" w:eastAsia="Arial" w:hAnsi="Arial"/>
          <w:sz w:val="18"/>
          <w:szCs w:val="18"/>
          <w:color w:val="auto"/>
        </w:rPr>
      </w:pPr>
    </w:p>
    <w:p>
      <w:pPr>
        <w:ind w:left="1200" w:right="139" w:hanging="81"/>
        <w:spacing w:after="0" w:line="258"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practices (cGMP) requirements and to assure that the facilities, methods and controls are adequate to preserve the drug’s identity, strength, quality and purity; and</w:t>
      </w:r>
    </w:p>
    <w:p>
      <w:pPr>
        <w:spacing w:after="0" w:line="186" w:lineRule="exact"/>
        <w:rPr>
          <w:rFonts w:ascii="Arial" w:cs="Arial" w:eastAsia="Arial" w:hAnsi="Arial"/>
          <w:sz w:val="18"/>
          <w:szCs w:val="18"/>
          <w:color w:val="auto"/>
        </w:rPr>
      </w:pPr>
    </w:p>
    <w:p>
      <w:pPr>
        <w:ind w:left="1280" w:hanging="161"/>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Preclinical studies</w:t>
      </w:r>
    </w:p>
    <w:p>
      <w:pPr>
        <w:spacing w:after="0" w:line="224" w:lineRule="exact"/>
        <w:rPr>
          <w:sz w:val="20"/>
          <w:szCs w:val="20"/>
          <w:color w:val="auto"/>
        </w:rPr>
      </w:pPr>
    </w:p>
    <w:p>
      <w:pPr>
        <w:ind w:left="160" w:right="139" w:firstLine="646"/>
        <w:spacing w:after="0" w:line="217" w:lineRule="exact"/>
        <w:rPr>
          <w:sz w:val="20"/>
          <w:szCs w:val="20"/>
          <w:color w:val="auto"/>
        </w:rPr>
      </w:pPr>
      <w:r>
        <w:rPr>
          <w:rFonts w:ascii="Arial" w:cs="Arial" w:eastAsia="Arial" w:hAnsi="Arial"/>
          <w:sz w:val="16"/>
          <w:szCs w:val="16"/>
          <w:color w:val="auto"/>
        </w:rPr>
        <w:t xml:space="preserve">Preclinical studies include laboratory evaluation of product chemistry and formulation,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for adverse events and in some cases to establish a rationale for therapeutic use. The conduct of preclinical studies is subject to federal regulations and requirements, including GLP regulations. An IND sponsor must submit the results of the preclinical tests, together with manufacturing information, analytical data, any available clinical data or literature and plans for clinical studies, among other things, to the FDA as part of an IND. Some long</w:t>
      </w:r>
      <w:r>
        <w:rPr>
          <w:rFonts w:ascii="MS PGothic" w:cs="MS PGothic" w:eastAsia="MS PGothic" w:hAnsi="MS PGothic"/>
          <w:sz w:val="16"/>
          <w:szCs w:val="16"/>
          <w:color w:val="auto"/>
        </w:rPr>
        <w:t>‑</w:t>
      </w:r>
      <w:r>
        <w:rPr>
          <w:rFonts w:ascii="Arial" w:cs="Arial" w:eastAsia="Arial" w:hAnsi="Arial"/>
          <w:sz w:val="16"/>
          <w:szCs w:val="16"/>
          <w:color w:val="auto"/>
        </w:rPr>
        <w:t>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Clinical trials</w:t>
      </w:r>
    </w:p>
    <w:p>
      <w:pPr>
        <w:spacing w:after="0" w:line="224" w:lineRule="exact"/>
        <w:rPr>
          <w:sz w:val="20"/>
          <w:szCs w:val="20"/>
          <w:color w:val="auto"/>
        </w:rPr>
      </w:pPr>
    </w:p>
    <w:p>
      <w:pPr>
        <w:ind w:left="160" w:right="159" w:firstLine="646"/>
        <w:spacing w:after="0" w:line="286"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and the IRB must conduct continuing review.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National Institutes of Health for public dissemination on their ClinicalTrials.gov website.</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Human clinical trials are typically conducted in three sequential phases, which may overlap or be combined:</w:t>
      </w:r>
    </w:p>
    <w:p>
      <w:pPr>
        <w:spacing w:after="0" w:line="247" w:lineRule="exact"/>
        <w:rPr>
          <w:sz w:val="20"/>
          <w:szCs w:val="20"/>
          <w:color w:val="auto"/>
        </w:rPr>
      </w:pPr>
    </w:p>
    <w:p>
      <w:pPr>
        <w:ind w:left="1200" w:right="179" w:hanging="81"/>
        <w:spacing w:after="0" w:line="262"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or patients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and tested for safety, dosage tolerance, absorption, metabolism, distribution, excretion and, if possible, to gain an early indication of its effectiveness.</w:t>
      </w:r>
    </w:p>
    <w:p>
      <w:pPr>
        <w:spacing w:after="0" w:line="183" w:lineRule="exact"/>
        <w:rPr>
          <w:rFonts w:ascii="Arial" w:cs="Arial" w:eastAsia="Arial" w:hAnsi="Arial"/>
          <w:sz w:val="18"/>
          <w:szCs w:val="18"/>
          <w:color w:val="auto"/>
        </w:rPr>
      </w:pPr>
    </w:p>
    <w:p>
      <w:pPr>
        <w:ind w:left="1200" w:right="259" w:hanging="81"/>
        <w:spacing w:after="0" w:line="262"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is administered to a limited patient population to identify possible adverse effects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safety risks, to preliminarily evaluate the efficacy of the product for specific targeted diseases and to determine dosage tolerance and optimal dosage.</w:t>
      </w:r>
    </w:p>
    <w:p>
      <w:pPr>
        <w:spacing w:after="0" w:line="183" w:lineRule="exact"/>
        <w:rPr>
          <w:rFonts w:ascii="Arial" w:cs="Arial" w:eastAsia="Arial" w:hAnsi="Arial"/>
          <w:sz w:val="18"/>
          <w:szCs w:val="18"/>
          <w:color w:val="auto"/>
        </w:rPr>
      </w:pPr>
    </w:p>
    <w:p>
      <w:pPr>
        <w:ind w:left="1200" w:right="359" w:hanging="81"/>
        <w:spacing w:after="0" w:line="219" w:lineRule="exact"/>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is administered to an expanded patient population in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trials to generate sufficient data to statistically confirm the efficacy and safety of the product for approval, to establish the overall risk</w:t>
      </w:r>
      <w:r>
        <w:rPr>
          <w:rFonts w:ascii="MS PGothic" w:cs="MS PGothic" w:eastAsia="MS PGothic" w:hAnsi="MS PGothic"/>
          <w:sz w:val="18"/>
          <w:szCs w:val="18"/>
          <w:color w:val="auto"/>
        </w:rPr>
        <w:t>‑</w:t>
      </w:r>
      <w:r>
        <w:rPr>
          <w:rFonts w:ascii="Arial" w:cs="Arial" w:eastAsia="Arial" w:hAnsi="Arial"/>
          <w:sz w:val="18"/>
          <w:szCs w:val="18"/>
          <w:color w:val="auto"/>
        </w:rPr>
        <w:t>benefit profile of the product and to provide adequate information for the labeling of the product.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439" w:firstLine="646"/>
        <w:spacing w:after="0" w:line="271"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approval</w:t>
      </w:r>
    </w:p>
    <w:p>
      <w:pPr>
        <w:spacing w:after="0" w:line="224" w:lineRule="exact"/>
        <w:rPr>
          <w:sz w:val="20"/>
          <w:szCs w:val="20"/>
          <w:color w:val="auto"/>
        </w:rPr>
      </w:pPr>
    </w:p>
    <w:p>
      <w:pPr>
        <w:ind w:left="160" w:right="239" w:firstLine="646"/>
        <w:spacing w:after="0" w:line="269" w:lineRule="auto"/>
        <w:rPr>
          <w:sz w:val="20"/>
          <w:szCs w:val="20"/>
          <w:color w:val="auto"/>
        </w:rPr>
      </w:pPr>
      <w:r>
        <w:rPr>
          <w:rFonts w:ascii="Arial" w:cs="Arial" w:eastAsia="Arial" w:hAnsi="Arial"/>
          <w:sz w:val="17"/>
          <w:szCs w:val="17"/>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Under federal law, the submission of most NDAs is additionally subject to a substantial application user fee, currently scheduled to exceed $2.0 million, and the sponsor of an approved NDA is also subject to annual product and establishment user fees, currently exceeding $97,000 per product and $512,000 per establishment. These fees are typically adjusted annually. User fee statutory authority expires every five years. The current authority ends on September 30, 2017, so the United States Congress will have to enact new legislation by then to continue the program. We cannot predict if Congress will authorize a new user fee program or what, if any, changes will be made in the program.</w:t>
      </w:r>
    </w:p>
    <w:p>
      <w:pPr>
        <w:spacing w:after="0" w:line="178"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6"/>
          <w:szCs w:val="16"/>
          <w:color w:val="auto"/>
        </w:rPr>
        <w:t>‑</w:t>
      </w:r>
      <w:r>
        <w:rPr>
          <w:rFonts w:ascii="Arial" w:cs="Arial" w:eastAsia="Arial" w:hAnsi="Arial"/>
          <w:sz w:val="16"/>
          <w:szCs w:val="16"/>
          <w:color w:val="auto"/>
        </w:rPr>
        <w:t>depth substantive review. The FDA has agreed to specified performance goals in the review of NDAs. Under these goals, the FDA has committed to review most such applications for non</w:t>
      </w:r>
      <w:r>
        <w:rPr>
          <w:rFonts w:ascii="MS PGothic" w:cs="MS PGothic" w:eastAsia="MS PGothic" w:hAnsi="MS PGothic"/>
          <w:sz w:val="16"/>
          <w:szCs w:val="16"/>
          <w:color w:val="auto"/>
        </w:rPr>
        <w:t>‑</w:t>
      </w:r>
      <w:r>
        <w:rPr>
          <w:rFonts w:ascii="Arial" w:cs="Arial" w:eastAsia="Arial" w:hAnsi="Arial"/>
          <w:sz w:val="16"/>
          <w:szCs w:val="16"/>
          <w:color w:val="auto"/>
        </w:rPr>
        <w:t>priority products within 10 months after accepting the application for filing, and most applications for priority review products, that is, drugs that the FDA determines represent a significant improvement over existing therapy, within six months after accepting the application for filing. The review process may be extended by the FDA for three additional months to consider certain information or clarification regarding information already provided in the submission. The FDA may also refer applications for novel drugs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203" w:lineRule="exact"/>
        <w:rPr>
          <w:sz w:val="20"/>
          <w:szCs w:val="20"/>
          <w:color w:val="auto"/>
        </w:rPr>
      </w:pPr>
    </w:p>
    <w:p>
      <w:pPr>
        <w:ind w:left="160" w:right="279" w:firstLine="646"/>
        <w:spacing w:after="0" w:line="274"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the FDA will typically inspect one or more clinical sites to assure compliance with GCP and integrity of the clinical data submitted.</w:t>
      </w:r>
    </w:p>
    <w:p>
      <w:pPr>
        <w:spacing w:after="0" w:line="176" w:lineRule="exact"/>
        <w:rPr>
          <w:sz w:val="20"/>
          <w:szCs w:val="20"/>
          <w:color w:val="auto"/>
        </w:rPr>
      </w:pPr>
    </w:p>
    <w:p>
      <w:pPr>
        <w:ind w:left="160" w:right="159" w:firstLine="646"/>
        <w:spacing w:after="0" w:line="295" w:lineRule="auto"/>
        <w:rPr>
          <w:sz w:val="20"/>
          <w:szCs w:val="20"/>
          <w:color w:val="auto"/>
        </w:rPr>
      </w:pPr>
      <w:r>
        <w:rPr>
          <w:rFonts w:ascii="Arial" w:cs="Arial" w:eastAsia="Arial" w:hAnsi="Arial"/>
          <w:sz w:val="16"/>
          <w:szCs w:val="16"/>
          <w:color w:val="auto"/>
        </w:rPr>
        <w:t>The testing and approval process requires substantial time, effort and financial resources, and each may take many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develop our product candidates and secure necessary governmental approvals, which could delay or preclude us from marketing our products.</w:t>
      </w:r>
    </w:p>
    <w:p>
      <w:pPr>
        <w:spacing w:after="0" w:line="161" w:lineRule="exact"/>
        <w:rPr>
          <w:sz w:val="20"/>
          <w:szCs w:val="20"/>
          <w:color w:val="auto"/>
        </w:rPr>
      </w:pPr>
    </w:p>
    <w:p>
      <w:pPr>
        <w:ind w:left="160" w:right="199" w:firstLine="646"/>
        <w:spacing w:after="0" w:line="272" w:lineRule="auto"/>
        <w:rPr>
          <w:sz w:val="20"/>
          <w:szCs w:val="20"/>
          <w:color w:val="auto"/>
        </w:rPr>
      </w:pPr>
      <w:r>
        <w:rPr>
          <w:rFonts w:ascii="Arial" w:cs="Arial" w:eastAsia="Arial" w:hAnsi="Arial"/>
          <w:sz w:val="17"/>
          <w:szCs w:val="17"/>
          <w:color w:val="auto"/>
        </w:rPr>
        <w:t>After the FDA’s evaluation of the NDA and inspection of the manufacturing facilities, the FDA may issue an approval letter or a complete response letter. An approval letter authorizes commercial marketing of the drug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479"/>
        <w:spacing w:after="0" w:line="262" w:lineRule="auto"/>
        <w:rPr>
          <w:sz w:val="20"/>
          <w:szCs w:val="20"/>
          <w:color w:val="auto"/>
        </w:rPr>
      </w:pPr>
      <w:r>
        <w:rPr>
          <w:rFonts w:ascii="Arial" w:cs="Arial" w:eastAsia="Arial" w:hAnsi="Arial"/>
          <w:sz w:val="18"/>
          <w:szCs w:val="18"/>
          <w:color w:val="auto"/>
        </w:rPr>
        <w:t>resubmissions in two or six months depending on the type of information included. Even with submission of this additional information, the FDA ultimately may decide that the application does not satisfy the regulatory criteria for approval and refuse to approve the NDA.</w:t>
      </w:r>
    </w:p>
    <w:p>
      <w:pPr>
        <w:spacing w:after="0" w:line="183" w:lineRule="exact"/>
        <w:rPr>
          <w:sz w:val="20"/>
          <w:szCs w:val="20"/>
          <w:color w:val="auto"/>
        </w:rPr>
      </w:pPr>
    </w:p>
    <w:p>
      <w:pPr>
        <w:ind w:left="160" w:right="219" w:firstLine="646"/>
        <w:spacing w:after="0" w:line="217" w:lineRule="exact"/>
        <w:rPr>
          <w:sz w:val="20"/>
          <w:szCs w:val="20"/>
          <w:color w:val="auto"/>
        </w:rPr>
      </w:pPr>
      <w:r>
        <w:rPr>
          <w:rFonts w:ascii="Arial" w:cs="Arial" w:eastAsia="Arial" w:hAnsi="Arial"/>
          <w:sz w:val="18"/>
          <w:szCs w:val="18"/>
          <w:color w:val="auto"/>
        </w:rPr>
        <w:t>Even if the FDA approves a product, it may limit the approved indications for use for the product, require that contraindications, warnings or precautions be included in the product labeling, require that post</w:t>
      </w:r>
      <w:r>
        <w:rPr>
          <w:rFonts w:ascii="MS PGothic" w:cs="MS PGothic" w:eastAsia="MS PGothic" w:hAnsi="MS PGothic"/>
          <w:sz w:val="18"/>
          <w:szCs w:val="18"/>
          <w:color w:val="auto"/>
        </w:rPr>
        <w:t>‑</w:t>
      </w:r>
      <w:r>
        <w:rPr>
          <w:rFonts w:ascii="Arial" w:cs="Arial" w:eastAsia="Arial" w:hAnsi="Arial"/>
          <w:sz w:val="18"/>
          <w:szCs w:val="18"/>
          <w:color w:val="auto"/>
        </w:rPr>
        <w: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w:t>
      </w:r>
      <w:r>
        <w:rPr>
          <w:rFonts w:ascii="MS PGothic" w:cs="MS PGothic" w:eastAsia="MS PGothic" w:hAnsi="MS PGothic"/>
          <w:sz w:val="18"/>
          <w:szCs w:val="18"/>
          <w:color w:val="auto"/>
        </w:rPr>
        <w:t>‑</w:t>
      </w:r>
      <w:r>
        <w:rPr>
          <w:rFonts w:ascii="Arial" w:cs="Arial" w:eastAsia="Arial" w:hAnsi="Arial"/>
          <w:sz w:val="18"/>
          <w:szCs w:val="18"/>
          <w:color w:val="auto"/>
        </w:rPr>
        <w:t>market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Fast track designation</w:t>
      </w:r>
    </w:p>
    <w:p>
      <w:pPr>
        <w:spacing w:after="0" w:line="224" w:lineRule="exact"/>
        <w:rPr>
          <w:sz w:val="20"/>
          <w:szCs w:val="20"/>
          <w:color w:val="auto"/>
        </w:rPr>
      </w:pPr>
    </w:p>
    <w:p>
      <w:pPr>
        <w:ind w:left="160" w:right="299" w:firstLine="646"/>
        <w:spacing w:after="0" w:line="218" w:lineRule="exact"/>
        <w:rPr>
          <w:sz w:val="20"/>
          <w:szCs w:val="20"/>
          <w:color w:val="auto"/>
        </w:rPr>
      </w:pPr>
      <w:r>
        <w:rPr>
          <w:rFonts w:ascii="Arial" w:cs="Arial" w:eastAsia="Arial" w:hAnsi="Arial"/>
          <w:sz w:val="17"/>
          <w:szCs w:val="17"/>
          <w:color w:val="auto"/>
        </w:rPr>
        <w:t>The FDA is required to facilitate the development and expedite the review of drugs that are intended for the treatment of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 for which there is no effective treatment and which demonstrate the potential to address unmet medical needs for the condition. Under the fast track program, the sponsor of a new drug candidate may request the FDA to designate the product for a specific indication as a fast track product concurrent with or after the filing of the IND for the product candidate. The FDA must determine if the product candidate qualifies for fast track designation within 60 days after receipt of the sponsor’s request.</w:t>
      </w:r>
    </w:p>
    <w:p>
      <w:pPr>
        <w:spacing w:after="0" w:line="203" w:lineRule="exact"/>
        <w:rPr>
          <w:sz w:val="20"/>
          <w:szCs w:val="20"/>
          <w:color w:val="auto"/>
        </w:rPr>
      </w:pPr>
    </w:p>
    <w:p>
      <w:pPr>
        <w:ind w:left="160" w:right="159" w:firstLine="646"/>
        <w:spacing w:after="0" w:line="254" w:lineRule="auto"/>
        <w:rPr>
          <w:sz w:val="20"/>
          <w:szCs w:val="20"/>
          <w:color w:val="auto"/>
        </w:rPr>
      </w:pPr>
      <w:r>
        <w:rPr>
          <w:rFonts w:ascii="Arial" w:cs="Arial" w:eastAsia="Arial" w:hAnsi="Arial"/>
          <w:sz w:val="18"/>
          <w:szCs w:val="18"/>
          <w:color w:val="auto"/>
        </w:rPr>
        <w:t>In addition to other benefits, such as the ability to use surrogate endpoints and have greater interactions with the FDA, the FDA may initiate review of sections of a fast track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trial process.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Priority review</w:t>
      </w:r>
    </w:p>
    <w:p>
      <w:pPr>
        <w:spacing w:after="0" w:line="224" w:lineRule="exact"/>
        <w:rPr>
          <w:sz w:val="20"/>
          <w:szCs w:val="20"/>
          <w:color w:val="auto"/>
        </w:rPr>
      </w:pPr>
    </w:p>
    <w:p>
      <w:pPr>
        <w:ind w:left="160" w:right="159" w:firstLine="646"/>
        <w:spacing w:after="0" w:line="219" w:lineRule="exact"/>
        <w:rPr>
          <w:sz w:val="20"/>
          <w:szCs w:val="20"/>
          <w:color w:val="auto"/>
        </w:rPr>
      </w:pPr>
      <w:r>
        <w:rPr>
          <w:rFonts w:ascii="Arial" w:cs="Arial" w:eastAsia="Arial" w:hAnsi="Arial"/>
          <w:sz w:val="18"/>
          <w:szCs w:val="18"/>
          <w:color w:val="auto"/>
        </w:rPr>
        <w:t>Under FDA policies, a product candidate may be eligible for priority review, or review within a six</w:t>
      </w:r>
      <w:r>
        <w:rPr>
          <w:rFonts w:ascii="MS PGothic" w:cs="MS PGothic" w:eastAsia="MS PGothic" w:hAnsi="MS PGothic"/>
          <w:sz w:val="18"/>
          <w:szCs w:val="18"/>
          <w:color w:val="auto"/>
        </w:rPr>
        <w:t>‑</w:t>
      </w:r>
      <w:r>
        <w:rPr>
          <w:rFonts w:ascii="Arial" w:cs="Arial" w:eastAsia="Arial" w:hAnsi="Arial"/>
          <w:sz w:val="18"/>
          <w:szCs w:val="18"/>
          <w:color w:val="auto"/>
        </w:rPr>
        <w:t>month time frame from the time a complete application is accepted for filing. Products regulated by the FDA’s Center for Drug Evaluation and Research (CDER) are eligible for priority review if they provide a significant improvement compared to marketed products in the treatment, diagnosis or prevention of a disease. A fast track designated product candidate would ordinarily meet the FDA’s criteria for priority review.</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Accelerated approval</w:t>
      </w:r>
    </w:p>
    <w:p>
      <w:pPr>
        <w:spacing w:after="0" w:line="224" w:lineRule="exact"/>
        <w:rPr>
          <w:sz w:val="20"/>
          <w:szCs w:val="20"/>
          <w:color w:val="auto"/>
        </w:rPr>
      </w:pPr>
    </w:p>
    <w:p>
      <w:pPr>
        <w:ind w:left="160" w:right="179" w:firstLine="646"/>
        <w:spacing w:after="0" w:line="217" w:lineRule="exact"/>
        <w:rPr>
          <w:sz w:val="20"/>
          <w:szCs w:val="20"/>
          <w:color w:val="auto"/>
        </w:rPr>
      </w:pPr>
      <w:r>
        <w:rPr>
          <w:rFonts w:ascii="Arial" w:cs="Arial" w:eastAsia="Arial" w:hAnsi="Arial"/>
          <w:sz w:val="16"/>
          <w:szCs w:val="16"/>
          <w:color w:val="auto"/>
        </w:rPr>
        <w:t>Under the FDA’s accelerated approval regulations, the FDA may approve a drug for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illness that provides meaningful therapeutic benefit to patients over existing treatments based upon a surrogate endpoint that is reasonably likely to predict clinical benefit. 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product candidate approved on this basis is subject to rigorous post</w:t>
      </w:r>
      <w:r>
        <w:rPr>
          <w:rFonts w:ascii="MS PGothic" w:cs="MS PGothic" w:eastAsia="MS PGothic" w:hAnsi="MS PGothic"/>
          <w:sz w:val="16"/>
          <w:szCs w:val="16"/>
          <w:color w:val="auto"/>
        </w:rPr>
        <w:t>‑</w:t>
      </w:r>
      <w:r>
        <w:rPr>
          <w:rFonts w:ascii="Arial" w:cs="Arial" w:eastAsia="Arial" w:hAnsi="Arial"/>
          <w:sz w:val="16"/>
          <w:szCs w:val="16"/>
          <w:color w:val="auto"/>
        </w:rPr>
        <w:t>marketing compliance requirements, including the completion of Phase 4 or post</w:t>
      </w:r>
      <w:r>
        <w:rPr>
          <w:rFonts w:ascii="MS PGothic" w:cs="MS PGothic" w:eastAsia="MS PGothic" w:hAnsi="MS PGothic"/>
          <w:sz w:val="16"/>
          <w:szCs w:val="16"/>
          <w:color w:val="auto"/>
        </w:rPr>
        <w:t>‑</w:t>
      </w:r>
      <w:r>
        <w:rPr>
          <w:rFonts w:ascii="Arial" w:cs="Arial" w:eastAsia="Arial" w:hAnsi="Arial"/>
          <w:sz w:val="16"/>
          <w:szCs w:val="16"/>
          <w:color w:val="auto"/>
        </w:rPr>
        <w:t>approval clinical trials to confirm the effect on the clinical endpoint. Failure to conduct required post</w:t>
      </w:r>
      <w:r>
        <w:rPr>
          <w:rFonts w:ascii="MS PGothic" w:cs="MS PGothic" w:eastAsia="MS PGothic" w:hAnsi="MS PGothic"/>
          <w:sz w:val="16"/>
          <w:szCs w:val="16"/>
          <w:color w:val="auto"/>
        </w:rPr>
        <w:t>‑</w:t>
      </w:r>
      <w:r>
        <w:rPr>
          <w:rFonts w:ascii="Arial" w:cs="Arial" w:eastAsia="Arial" w:hAnsi="Arial"/>
          <w:sz w:val="16"/>
          <w:szCs w:val="16"/>
          <w:color w:val="auto"/>
        </w:rPr>
        <w:t>approval studies, or confirm a clinical benefit during post</w:t>
      </w:r>
      <w:r>
        <w:rPr>
          <w:rFonts w:ascii="MS PGothic" w:cs="MS PGothic" w:eastAsia="MS PGothic" w:hAnsi="MS PGothic"/>
          <w:sz w:val="16"/>
          <w:szCs w:val="16"/>
          <w:color w:val="auto"/>
        </w:rPr>
        <w:t>‑</w:t>
      </w:r>
      <w:r>
        <w:rPr>
          <w:rFonts w:ascii="Arial" w:cs="Arial" w:eastAsia="Arial" w:hAnsi="Arial"/>
          <w:sz w:val="16"/>
          <w:szCs w:val="16"/>
          <w:color w:val="auto"/>
        </w:rPr>
        <w:t>marketing studies, would allow the FDA to withdraw the drug from the market on an expedited basis. All promotional materials for drug candidates approved under accelerated regulations are subject to prior review by the FDA.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Orphan drugs</w:t>
      </w:r>
    </w:p>
    <w:p>
      <w:pPr>
        <w:spacing w:after="0" w:line="224"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Under the Orphan Drug Act, the FDA may grant orphan drug designation to drugs intended to treat a rare disease or condition, which is generally defined as a disease or condition that affects fewer than 200,000 individuals in the United States.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to receive FDA approval for a particular active ingredient to treat a particular disease with FDA orphan drug designation is entitled to a seven</w:t>
      </w:r>
      <w:r>
        <w:rPr>
          <w:rFonts w:ascii="MS PGothic" w:cs="MS PGothic" w:eastAsia="MS PGothic" w:hAnsi="MS PGothic"/>
          <w:sz w:val="16"/>
          <w:szCs w:val="16"/>
          <w:color w:val="auto"/>
        </w:rPr>
        <w:t>‑</w:t>
      </w:r>
      <w:r>
        <w:rPr>
          <w:rFonts w:ascii="Arial" w:cs="Arial" w:eastAsia="Arial" w:hAnsi="Arial"/>
          <w:sz w:val="16"/>
          <w:szCs w:val="16"/>
          <w:color w:val="auto"/>
        </w:rPr>
        <w:t>year exclusive marketing period in the United States for that product, for that indication. During the seven</w:t>
      </w:r>
      <w:r>
        <w:rPr>
          <w:rFonts w:ascii="MS PGothic" w:cs="MS PGothic" w:eastAsia="MS PGothic" w:hAnsi="MS PGothic"/>
          <w:sz w:val="16"/>
          <w:szCs w:val="16"/>
          <w:color w:val="auto"/>
        </w:rPr>
        <w:t>‑</w:t>
      </w:r>
      <w:r>
        <w:rPr>
          <w:rFonts w:ascii="Arial" w:cs="Arial" w:eastAsia="Arial" w:hAnsi="Arial"/>
          <w:sz w:val="16"/>
          <w:szCs w:val="16"/>
          <w:color w:val="auto"/>
        </w:rPr>
        <w:t>year exclusivity period, the FDA may not approve any other applications to market the same drug for the same orphan indication, except in limited circumstances, such as a showing of clinical superiority to the product with orphan drug exclusivity in that it is shown to be safer, more effective or makes a major contribution to patient care.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Pediatric information</w:t>
      </w:r>
    </w:p>
    <w:p>
      <w:pPr>
        <w:spacing w:after="0" w:line="224" w:lineRule="exact"/>
        <w:rPr>
          <w:sz w:val="20"/>
          <w:szCs w:val="20"/>
          <w:color w:val="auto"/>
        </w:rPr>
      </w:pPr>
    </w:p>
    <w:p>
      <w:pPr>
        <w:ind w:left="160" w:right="179" w:firstLine="646"/>
        <w:spacing w:after="0" w:line="253" w:lineRule="auto"/>
        <w:rPr>
          <w:sz w:val="20"/>
          <w:szCs w:val="20"/>
          <w:color w:val="auto"/>
        </w:rPr>
      </w:pPr>
      <w:r>
        <w:rPr>
          <w:rFonts w:ascii="Arial" w:cs="Arial" w:eastAsia="Arial" w:hAnsi="Arial"/>
          <w:sz w:val="18"/>
          <w:szCs w:val="18"/>
          <w:color w:val="auto"/>
        </w:rPr>
        <w:t>Under the Pediatric Research Equity Act of 2003, as amended and reauthorized by the Food and Drug Administration Amendments Act of 2007 (FDAAA), an NDA or supplement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Unless otherwise required by regulation, the pediatric data requirements do not apply to products with orphan drug designation.</w:t>
      </w:r>
    </w:p>
    <w:p>
      <w:pPr>
        <w:spacing w:after="0" w:line="188"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b w:val="1"/>
          <w:bCs w:val="1"/>
          <w:color w:val="auto"/>
        </w:rPr>
        <w:t>The Hatch</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Waxman act</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Abbreviated new drug applications</w:t>
      </w:r>
    </w:p>
    <w:p>
      <w:pPr>
        <w:spacing w:after="0" w:line="224" w:lineRule="exact"/>
        <w:rPr>
          <w:sz w:val="20"/>
          <w:szCs w:val="20"/>
          <w:color w:val="auto"/>
        </w:rPr>
      </w:pPr>
    </w:p>
    <w:p>
      <w:pPr>
        <w:ind w:left="160" w:right="199" w:firstLine="646"/>
        <w:spacing w:after="0" w:line="286" w:lineRule="auto"/>
        <w:rPr>
          <w:sz w:val="20"/>
          <w:szCs w:val="20"/>
          <w:color w:val="auto"/>
        </w:rPr>
      </w:pPr>
      <w:r>
        <w:rPr>
          <w:rFonts w:ascii="Arial" w:cs="Arial" w:eastAsia="Arial" w:hAnsi="Arial"/>
          <w:sz w:val="16"/>
          <w:szCs w:val="16"/>
          <w:color w:val="auto"/>
        </w:rPr>
        <w:t xml:space="preserve">In seeking approval for a drug through an NDA, applicants are required to list with the FDA each patent with claims that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abbreviated new drug application (ANDA). Generally, an ANDA provides for marketing of a drug product that has the same active ingredients in the same strengths, dosage form and route of administration as the listed drug and has been shown to be bioequivalent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testing or otherwise to the listed drug. ANDA applicants are not required to conduct or submit results of preclinical or clinical tests to prove the safety or effectiveness of their drug product, other than the requirement for bioequivalence testing. Drugs approved in this way are commonly referred to as “generic equivalents” to the listed drug, and can often be substituted by pharmacists under prescriptions written for the original listed drug.</w:t>
      </w:r>
    </w:p>
    <w:p>
      <w:pPr>
        <w:spacing w:after="0" w:line="172" w:lineRule="exact"/>
        <w:rPr>
          <w:sz w:val="20"/>
          <w:szCs w:val="20"/>
          <w:color w:val="auto"/>
        </w:rPr>
      </w:pPr>
    </w:p>
    <w:p>
      <w:pPr>
        <w:ind w:left="160" w:right="179" w:firstLine="646"/>
        <w:spacing w:after="0" w:line="262" w:lineRule="auto"/>
        <w:rPr>
          <w:sz w:val="20"/>
          <w:szCs w:val="20"/>
          <w:color w:val="auto"/>
        </w:rPr>
      </w:pPr>
      <w:r>
        <w:rPr>
          <w:rFonts w:ascii="Arial" w:cs="Arial" w:eastAsia="Arial" w:hAnsi="Arial"/>
          <w:sz w:val="18"/>
          <w:szCs w:val="18"/>
          <w:color w:val="auto"/>
        </w:rPr>
        <w:t>The ANDA applicant is required to certify to the FDA concerning any patents listed for the approved product in the FDA’s Orange Book, except for patents covering methods of use for which the ANDA applicant is not seeking approval. Specifically, the applicant must certify with respect to each patent that:</w:t>
      </w:r>
    </w:p>
    <w:p>
      <w:pPr>
        <w:spacing w:after="0" w:line="183" w:lineRule="exact"/>
        <w:rPr>
          <w:sz w:val="20"/>
          <w:szCs w:val="20"/>
          <w:color w:val="auto"/>
        </w:rPr>
      </w:pPr>
    </w:p>
    <w:p>
      <w:pPr>
        <w:ind w:left="1260" w:hanging="141"/>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223" w:lineRule="exact"/>
        <w:rPr>
          <w:rFonts w:ascii="Arial" w:cs="Arial" w:eastAsia="Arial" w:hAnsi="Arial"/>
          <w:sz w:val="18"/>
          <w:szCs w:val="18"/>
          <w:color w:val="auto"/>
        </w:rPr>
      </w:pPr>
    </w:p>
    <w:p>
      <w:pPr>
        <w:ind w:left="1340" w:hanging="221"/>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200" w:right="459" w:hanging="81"/>
        <w:spacing w:after="0" w:line="276"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69" w:lineRule="exact"/>
        <w:rPr>
          <w:rFonts w:ascii="Arial" w:cs="Arial" w:eastAsia="Arial" w:hAnsi="Arial"/>
          <w:sz w:val="18"/>
          <w:szCs w:val="18"/>
          <w:color w:val="auto"/>
        </w:rPr>
      </w:pPr>
    </w:p>
    <w:p>
      <w:pPr>
        <w:ind w:left="1200" w:hanging="81"/>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4" w:lineRule="exact"/>
        <w:rPr>
          <w:sz w:val="20"/>
          <w:szCs w:val="20"/>
          <w:color w:val="auto"/>
        </w:rPr>
      </w:pPr>
    </w:p>
    <w:p>
      <w:pPr>
        <w:ind w:left="160" w:right="319" w:firstLine="646"/>
        <w:spacing w:after="0" w:line="278"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w:t>
      </w:r>
    </w:p>
    <w:p>
      <w:pPr>
        <w:spacing w:after="0" w:line="171" w:lineRule="exact"/>
        <w:rPr>
          <w:sz w:val="20"/>
          <w:szCs w:val="20"/>
          <w:color w:val="auto"/>
        </w:rPr>
      </w:pPr>
    </w:p>
    <w:p>
      <w:pPr>
        <w:ind w:left="160" w:right="259" w:firstLine="646"/>
        <w:spacing w:after="0" w:line="271"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NDA or patent holder’s receipt of the Paragraph IV certification, expiration of the patent, settlement of the lawsuit or a decision in the infringement case that is favorable to the ANDA applicant.</w:t>
      </w:r>
    </w:p>
    <w:p>
      <w:pPr>
        <w:spacing w:after="0" w:line="178" w:lineRule="exact"/>
        <w:rPr>
          <w:sz w:val="20"/>
          <w:szCs w:val="20"/>
          <w:color w:val="auto"/>
        </w:rPr>
      </w:pPr>
    </w:p>
    <w:p>
      <w:pPr>
        <w:ind w:left="160" w:right="139" w:firstLine="646"/>
        <w:spacing w:after="0" w:line="217" w:lineRule="exact"/>
        <w:rPr>
          <w:sz w:val="20"/>
          <w:szCs w:val="20"/>
          <w:color w:val="auto"/>
        </w:rPr>
      </w:pPr>
      <w:r>
        <w:rPr>
          <w:rFonts w:ascii="Arial" w:cs="Arial" w:eastAsia="Arial" w:hAnsi="Arial"/>
          <w:sz w:val="16"/>
          <w:szCs w:val="16"/>
          <w:color w:val="auto"/>
        </w:rPr>
        <w:t>The ANDA also will not be approved until any applicable non</w:t>
      </w:r>
      <w:r>
        <w:rPr>
          <w:rFonts w:ascii="MS PGothic" w:cs="MS PGothic" w:eastAsia="MS PGothic" w:hAnsi="MS PGothic"/>
          <w:sz w:val="16"/>
          <w:szCs w:val="16"/>
          <w:color w:val="auto"/>
        </w:rPr>
        <w:t>‑</w:t>
      </w:r>
      <w:r>
        <w:rPr>
          <w:rFonts w:ascii="Arial" w:cs="Arial" w:eastAsia="Arial" w:hAnsi="Arial"/>
          <w:sz w:val="16"/>
          <w:szCs w:val="16"/>
          <w:color w:val="auto"/>
        </w:rPr>
        <w:t>patent exclusivity period, such as exclusivity for obtaining approval of a new chemical entity, for the referenced product has expired. Federal law provides a period of five years following approval of a drug containing no previously approved active moiety during which ANDAs for generic versions of those drugs cannot be submitted unless the submission contains a Paragraph IV challenge to a listed patent, in which case the submission may be made four years following the original product approval. Federal law provides for a period of three years of exclusivity during which the FDA cannot grant effective approval of an ANDA for the conditions of use covered by the exclusivity, but FDA requires as a condition of approval new clinical trials conducted by or for the sponsor. This three</w:t>
      </w:r>
      <w:r>
        <w:rPr>
          <w:rFonts w:ascii="MS PGothic" w:cs="MS PGothic" w:eastAsia="MS PGothic" w:hAnsi="MS PGothic"/>
          <w:sz w:val="16"/>
          <w:szCs w:val="16"/>
          <w:color w:val="auto"/>
        </w:rPr>
        <w:t>‑</w:t>
      </w:r>
      <w:r>
        <w:rPr>
          <w:rFonts w:ascii="Arial" w:cs="Arial" w:eastAsia="Arial" w:hAnsi="Arial"/>
          <w:sz w:val="16"/>
          <w:szCs w:val="16"/>
          <w:color w:val="auto"/>
        </w:rPr>
        <w:t>year exclusivity period often protects changes to a previously approved drug product, such as a new dosage form, route of administration, combination or indication. Under the Best Pharmaceuticals for Children Act, federal law also provides that periods of patent and non</w:t>
      </w:r>
      <w:r>
        <w:rPr>
          <w:rFonts w:ascii="MS PGothic" w:cs="MS PGothic" w:eastAsia="MS PGothic" w:hAnsi="MS PGothic"/>
          <w:sz w:val="16"/>
          <w:szCs w:val="16"/>
          <w:color w:val="auto"/>
        </w:rPr>
        <w:t>‑</w:t>
      </w:r>
      <w:r>
        <w:rPr>
          <w:rFonts w:ascii="Arial" w:cs="Arial" w:eastAsia="Arial" w:hAnsi="Arial"/>
          <w:sz w:val="16"/>
          <w:szCs w:val="16"/>
          <w:color w:val="auto"/>
        </w:rPr>
        <w:t>patent marketing exclusivity listed in the Orange Book for a drug may be extended by six months if the NDA sponsor conducts pediatric studies identified by the FDA in a written request. For written requests issued by the FDA after September 27, 2007, the date of enactment of the FDAAA, the FDA must grant pediatric exclusivity no later than nine months prior to the date of expiration of patent or non</w:t>
      </w:r>
      <w:r>
        <w:rPr>
          <w:rFonts w:ascii="MS PGothic" w:cs="MS PGothic" w:eastAsia="MS PGothic" w:hAnsi="MS PGothic"/>
          <w:sz w:val="16"/>
          <w:szCs w:val="16"/>
          <w:color w:val="auto"/>
        </w:rPr>
        <w:t>‑</w:t>
      </w:r>
      <w:r>
        <w:rPr>
          <w:rFonts w:ascii="Arial" w:cs="Arial" w:eastAsia="Arial" w:hAnsi="Arial"/>
          <w:sz w:val="16"/>
          <w:szCs w:val="16"/>
          <w:color w:val="auto"/>
        </w:rPr>
        <w:t>patent exclusivity in order for the six</w:t>
      </w:r>
      <w:r>
        <w:rPr>
          <w:rFonts w:ascii="MS PGothic" w:cs="MS PGothic" w:eastAsia="MS PGothic" w:hAnsi="MS PGothic"/>
          <w:sz w:val="16"/>
          <w:szCs w:val="16"/>
          <w:color w:val="auto"/>
        </w:rPr>
        <w:t>‑</w:t>
      </w:r>
      <w:r>
        <w:rPr>
          <w:rFonts w:ascii="Arial" w:cs="Arial" w:eastAsia="Arial" w:hAnsi="Arial"/>
          <w:sz w:val="16"/>
          <w:szCs w:val="16"/>
          <w:color w:val="auto"/>
        </w:rPr>
        <w:t>month pediatric extension to apply to that exclusivity period.</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505(b)(2) new drug applications</w:t>
      </w:r>
    </w:p>
    <w:p>
      <w:pPr>
        <w:spacing w:after="0" w:line="228" w:lineRule="exact"/>
        <w:rPr>
          <w:sz w:val="20"/>
          <w:szCs w:val="20"/>
          <w:color w:val="auto"/>
        </w:rPr>
      </w:pPr>
    </w:p>
    <w:p>
      <w:pPr>
        <w:jc w:val="both"/>
        <w:ind w:left="160" w:right="279" w:firstLine="646"/>
        <w:spacing w:after="0" w:line="285" w:lineRule="auto"/>
        <w:rPr>
          <w:sz w:val="20"/>
          <w:szCs w:val="20"/>
          <w:color w:val="auto"/>
        </w:rPr>
      </w:pPr>
      <w:r>
        <w:rPr>
          <w:rFonts w:ascii="Arial" w:cs="Arial" w:eastAsia="Arial" w:hAnsi="Arial"/>
          <w:sz w:val="17"/>
          <w:szCs w:val="17"/>
          <w:color w:val="auto"/>
        </w:rPr>
        <w:t>Most drug products obtain FDA marketing approval pursuant to an NDA or an ANDA. A third alternative is a special type of NDA, commonly referred to as a Section 505(b)(2) NDA, which enables the applicant to rely, in part, on the FDA’s previous approval of a similar product, or published literature, in support of its application.</w:t>
      </w:r>
    </w:p>
    <w:p>
      <w:pPr>
        <w:spacing w:after="0" w:line="165" w:lineRule="exact"/>
        <w:rPr>
          <w:sz w:val="20"/>
          <w:szCs w:val="20"/>
          <w:color w:val="auto"/>
        </w:rPr>
      </w:pPr>
    </w:p>
    <w:p>
      <w:pPr>
        <w:ind w:left="160" w:right="159" w:firstLine="646"/>
        <w:spacing w:after="0" w:line="252" w:lineRule="auto"/>
        <w:rPr>
          <w:sz w:val="20"/>
          <w:szCs w:val="20"/>
          <w:color w:val="auto"/>
        </w:rPr>
      </w:pPr>
      <w:r>
        <w:rPr>
          <w:rFonts w:ascii="Arial" w:cs="Arial" w:eastAsia="Arial" w:hAnsi="Arial"/>
          <w:sz w:val="18"/>
          <w:szCs w:val="18"/>
          <w:color w:val="auto"/>
        </w:rPr>
        <w:t>505(b)(2) NDAs often provide an alternate path to FDA approval for new or improved formulations or new uses of previously approved products. Section 505(b)(2)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approval is scientifically appropriate, it may eliminate the need to conduct certain preclinical or clinical studies of the new product. The FDA may also require companies to perform additional studies or measurements to support the change from the approved product. The FDA may then approve the new product candidate for all or some of the labeled indications for which the referenced product has been approved, as well as for any new indication sought by the Section 505(b)(2) applicant.</w:t>
      </w:r>
    </w:p>
    <w:p>
      <w:pPr>
        <w:spacing w:after="0" w:line="197" w:lineRule="exact"/>
        <w:rPr>
          <w:sz w:val="20"/>
          <w:szCs w:val="20"/>
          <w:color w:val="auto"/>
        </w:rPr>
      </w:pPr>
    </w:p>
    <w:p>
      <w:pPr>
        <w:ind w:left="160" w:right="199" w:firstLine="646"/>
        <w:spacing w:after="0" w:line="218" w:lineRule="exact"/>
        <w:rPr>
          <w:sz w:val="20"/>
          <w:szCs w:val="20"/>
          <w:color w:val="auto"/>
        </w:rPr>
      </w:pPr>
      <w:r>
        <w:rPr>
          <w:rFonts w:ascii="Arial" w:cs="Arial" w:eastAsia="Arial" w:hAnsi="Arial"/>
          <w:sz w:val="17"/>
          <w:szCs w:val="17"/>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w:t>
      </w:r>
      <w:r>
        <w:rPr>
          <w:rFonts w:ascii="MS PGothic" w:cs="MS PGothic" w:eastAsia="MS PGothic" w:hAnsi="MS PGothic"/>
          <w:sz w:val="17"/>
          <w:szCs w:val="17"/>
          <w:color w:val="auto"/>
        </w:rPr>
        <w:t>‑</w:t>
      </w:r>
      <w:r>
        <w:rPr>
          <w:rFonts w:ascii="Arial" w:cs="Arial" w:eastAsia="Arial" w:hAnsi="Arial"/>
          <w:sz w:val="17"/>
          <w:szCs w:val="17"/>
          <w:color w:val="auto"/>
        </w:rPr>
        <w:t>patent exclusivity, such as exclusivity for obtaining approval of a new chemical entity, listed in the Orange Book for the referenced</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439"/>
        <w:spacing w:after="0" w:line="262" w:lineRule="auto"/>
        <w:rPr>
          <w:sz w:val="20"/>
          <w:szCs w:val="20"/>
          <w:color w:val="auto"/>
        </w:rPr>
      </w:pPr>
      <w:r>
        <w:rPr>
          <w:rFonts w:ascii="Arial" w:cs="Arial" w:eastAsia="Arial" w:hAnsi="Arial"/>
          <w:sz w:val="18"/>
          <w:szCs w:val="18"/>
          <w:color w:val="auto"/>
        </w:rPr>
        <w:t>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Combination products</w:t>
      </w:r>
    </w:p>
    <w:p>
      <w:pPr>
        <w:spacing w:after="0" w:line="228" w:lineRule="exact"/>
        <w:rPr>
          <w:sz w:val="20"/>
          <w:szCs w:val="20"/>
          <w:color w:val="auto"/>
        </w:rPr>
      </w:pPr>
    </w:p>
    <w:p>
      <w:pPr>
        <w:ind w:left="160" w:right="319" w:firstLine="646"/>
        <w:spacing w:after="0" w:line="278" w:lineRule="auto"/>
        <w:rPr>
          <w:sz w:val="20"/>
          <w:szCs w:val="20"/>
          <w:color w:val="auto"/>
        </w:rPr>
      </w:pPr>
      <w:r>
        <w:rPr>
          <w:rFonts w:ascii="Arial" w:cs="Arial" w:eastAsia="Arial" w:hAnsi="Arial"/>
          <w:sz w:val="17"/>
          <w:szCs w:val="17"/>
          <w:color w:val="auto"/>
        </w:rPr>
        <w:t>The FDA regulates combinations of products that cross FDA centers, such as drug, biologic or medical device components that are physically, chemically or otherwise combined into a single entity, as a combination product. The FDA center with primary jurisdiction for the combination product will take the lead in the premarket review of the product, with the other center consulting or collaborating with the lead center.</w:t>
      </w:r>
    </w:p>
    <w:p>
      <w:pPr>
        <w:spacing w:after="0" w:line="171" w:lineRule="exact"/>
        <w:rPr>
          <w:sz w:val="20"/>
          <w:szCs w:val="20"/>
          <w:color w:val="auto"/>
        </w:rPr>
      </w:pPr>
    </w:p>
    <w:p>
      <w:pPr>
        <w:jc w:val="both"/>
        <w:ind w:left="160" w:right="299" w:firstLine="646"/>
        <w:spacing w:after="0" w:line="295" w:lineRule="auto"/>
        <w:rPr>
          <w:sz w:val="20"/>
          <w:szCs w:val="20"/>
          <w:color w:val="auto"/>
        </w:rPr>
      </w:pPr>
      <w:r>
        <w:rPr>
          <w:rFonts w:ascii="Arial" w:cs="Arial" w:eastAsia="Arial" w:hAnsi="Arial"/>
          <w:sz w:val="16"/>
          <w:szCs w:val="16"/>
          <w:color w:val="auto"/>
        </w:rPr>
        <w:t>The FDA’s Office of Combination Products (OCP) determines which center will have primary jurisdiction for the combination product based on the combination product’s “primary mode of action.” A mode of action is the means by which a product achieves an intended therapeutic effect or action. The primary mode of action is the mode of action that provides the most important therapeutic action of the combination product, or the mode of action expected to make the greatest contribution to the overall intended therapeutic effects of the combination product.</w:t>
      </w:r>
    </w:p>
    <w:p>
      <w:pPr>
        <w:spacing w:after="0" w:line="161" w:lineRule="exact"/>
        <w:rPr>
          <w:sz w:val="20"/>
          <w:szCs w:val="20"/>
          <w:color w:val="auto"/>
        </w:rPr>
      </w:pPr>
    </w:p>
    <w:p>
      <w:pPr>
        <w:ind w:left="160" w:right="259" w:firstLine="646"/>
        <w:spacing w:after="0" w:line="278" w:lineRule="auto"/>
        <w:rPr>
          <w:sz w:val="20"/>
          <w:szCs w:val="20"/>
          <w:color w:val="auto"/>
        </w:rPr>
      </w:pPr>
      <w:r>
        <w:rPr>
          <w:rFonts w:ascii="Arial" w:cs="Arial" w:eastAsia="Arial" w:hAnsi="Arial"/>
          <w:sz w:val="17"/>
          <w:szCs w:val="17"/>
          <w:color w:val="auto"/>
        </w:rPr>
        <w:t>Often it is difficult for the OCP to determine with reasonable certainty the most important therapeutic action of the combination product. In those difficult cases, the OCP will consider consistency with other combination products raising similar types of safety and effectiveness questions, or which center has the most expertise to evaluate the most significant safety and effectiveness questions raised by the combination product.</w:t>
      </w:r>
    </w:p>
    <w:p>
      <w:pPr>
        <w:spacing w:after="0" w:line="171" w:lineRule="exact"/>
        <w:rPr>
          <w:sz w:val="20"/>
          <w:szCs w:val="20"/>
          <w:color w:val="auto"/>
        </w:rPr>
      </w:pPr>
    </w:p>
    <w:p>
      <w:pPr>
        <w:ind w:left="160" w:right="659" w:firstLine="646"/>
        <w:spacing w:after="0" w:line="310" w:lineRule="auto"/>
        <w:rPr>
          <w:sz w:val="20"/>
          <w:szCs w:val="20"/>
          <w:color w:val="auto"/>
        </w:rPr>
      </w:pPr>
      <w:r>
        <w:rPr>
          <w:rFonts w:ascii="Arial" w:cs="Arial" w:eastAsia="Arial" w:hAnsi="Arial"/>
          <w:sz w:val="16"/>
          <w:szCs w:val="16"/>
          <w:color w:val="auto"/>
        </w:rPr>
        <w:t>A sponsor may use a voluntary formal process, known as a Request for Designation, when the product classification is unclear or in dispute, to obtain a binding decision as to which center will regulate the combination product. If the sponsor objects to that decision, it may request that the agency reconsider that decision.</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 of FDA regulation of companion diagnostics</w:t>
      </w:r>
    </w:p>
    <w:p>
      <w:pPr>
        <w:spacing w:after="0" w:line="228" w:lineRule="exact"/>
        <w:rPr>
          <w:sz w:val="20"/>
          <w:szCs w:val="20"/>
          <w:color w:val="auto"/>
        </w:rPr>
      </w:pPr>
    </w:p>
    <w:p>
      <w:pPr>
        <w:ind w:left="160" w:right="179" w:firstLine="646"/>
        <w:spacing w:after="0" w:line="254" w:lineRule="auto"/>
        <w:rPr>
          <w:sz w:val="20"/>
          <w:szCs w:val="20"/>
          <w:color w:val="auto"/>
        </w:rPr>
      </w:pPr>
      <w:r>
        <w:rPr>
          <w:rFonts w:ascii="Arial" w:cs="Arial" w:eastAsia="Arial" w:hAnsi="Arial"/>
          <w:sz w:val="18"/>
          <w:szCs w:val="18"/>
          <w:color w:val="auto"/>
        </w:rPr>
        <w:t xml:space="preserve">FDA officials have issued guidance that address issues critical to developing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such as biomarker qualification, establishing clinical validity, the use of retrospective data, the appropriate patient population and when the FDA will require that the device and the drug be approved simultaneously. The guidance issued in August 2014 states that if safe and effective use of a therapeutic product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then the FDA generally will require approval or clearance of the diagnostic at the same time that the FDA approves the therapeutic product.</w:t>
      </w:r>
    </w:p>
    <w:p>
      <w:pPr>
        <w:spacing w:after="0" w:line="193" w:lineRule="exact"/>
        <w:rPr>
          <w:sz w:val="20"/>
          <w:szCs w:val="20"/>
          <w:color w:val="auto"/>
        </w:rPr>
      </w:pPr>
    </w:p>
    <w:p>
      <w:pPr>
        <w:ind w:left="160" w:right="239" w:firstLine="646"/>
        <w:spacing w:after="0" w:line="217" w:lineRule="exact"/>
        <w:rPr>
          <w:sz w:val="20"/>
          <w:szCs w:val="20"/>
          <w:color w:val="auto"/>
        </w:rPr>
      </w:pPr>
      <w:r>
        <w:rPr>
          <w:rFonts w:ascii="Arial" w:cs="Arial" w:eastAsia="Arial" w:hAnsi="Arial"/>
          <w:sz w:val="18"/>
          <w:szCs w:val="18"/>
          <w:color w:val="auto"/>
        </w:rPr>
        <w:t xml:space="preserve">The FDA previously has required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intended to select the patients who will respond to the cancer treatment to obtain Pre</w:t>
      </w:r>
      <w:r>
        <w:rPr>
          <w:rFonts w:ascii="MS PGothic" w:cs="MS PGothic" w:eastAsia="MS PGothic" w:hAnsi="MS PGothic"/>
          <w:sz w:val="18"/>
          <w:szCs w:val="18"/>
          <w:color w:val="auto"/>
        </w:rPr>
        <w:t>‑</w:t>
      </w:r>
      <w:r>
        <w:rPr>
          <w:rFonts w:ascii="Arial" w:cs="Arial" w:eastAsia="Arial" w:hAnsi="Arial"/>
          <w:sz w:val="18"/>
          <w:szCs w:val="18"/>
          <w:color w:val="auto"/>
        </w:rPr>
        <w:t xml:space="preserve">Market Approval (PMA), simultaneously with approval of the drug. Based on the draft guidance, and the FDA’s past treatment of companion diagnostics, we believe that the FDA will require one or more of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to obtain PMA for our companion diagnostics to identify patient populations suitable for our cancer therapies, such as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for our product candidates. The review of 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our potential cancer treatments will involve coordination of review by CDER and by the FDA’s Center for Devices and Radiological Health Office of In Vitro Diagnostics Device Evaluation and Safety.</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PMA approval pathway</w:t>
      </w:r>
    </w:p>
    <w:p>
      <w:pPr>
        <w:spacing w:after="0" w:line="224" w:lineRule="exact"/>
        <w:rPr>
          <w:sz w:val="20"/>
          <w:szCs w:val="20"/>
          <w:color w:val="auto"/>
        </w:rPr>
      </w:pPr>
    </w:p>
    <w:p>
      <w:pPr>
        <w:ind w:left="160" w:right="199" w:firstLine="646"/>
        <w:spacing w:after="0" w:line="218" w:lineRule="exact"/>
        <w:rPr>
          <w:sz w:val="20"/>
          <w:szCs w:val="20"/>
          <w:color w:val="auto"/>
        </w:rPr>
      </w:pPr>
      <w:r>
        <w:rPr>
          <w:rFonts w:ascii="Arial" w:cs="Arial" w:eastAsia="Arial" w:hAnsi="Arial"/>
          <w:sz w:val="17"/>
          <w:szCs w:val="17"/>
          <w:color w:val="auto"/>
        </w:rPr>
        <w:t xml:space="preserve">A medical device, including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(IVD) to be commercially distributed in the United States must receive either 510(k) clearance or PMA approval from the FDA prior to marketing. Devices deemed by the FDA to pose the greatest risk, such as life</w:t>
      </w:r>
      <w:r>
        <w:rPr>
          <w:rFonts w:ascii="MS PGothic" w:cs="MS PGothic" w:eastAsia="MS PGothic" w:hAnsi="MS PGothic"/>
          <w:sz w:val="17"/>
          <w:szCs w:val="17"/>
          <w:color w:val="auto"/>
        </w:rPr>
        <w:t>‑</w:t>
      </w:r>
      <w:r>
        <w:rPr>
          <w:rFonts w:ascii="Arial" w:cs="Arial" w:eastAsia="Arial" w:hAnsi="Arial"/>
          <w:sz w:val="17"/>
          <w:szCs w:val="17"/>
          <w:color w:val="auto"/>
        </w:rPr>
        <w:t>sustaining, life supporting or implantable devices, or devices deemed not substantially equivalent to a previously 510(k) cleared device or a pre-amendment class III device for which PMA applications have not been called, are placed in Class III requiring PMA approval. The PMA approval pathway requires proof of the safety and effectiveness of the device to the FDA’s satisfaction.</w:t>
      </w:r>
    </w:p>
    <w:p>
      <w:pPr>
        <w:spacing w:after="0" w:line="203" w:lineRule="exact"/>
        <w:rPr>
          <w:sz w:val="20"/>
          <w:szCs w:val="20"/>
          <w:color w:val="auto"/>
        </w:rPr>
      </w:pPr>
    </w:p>
    <w:p>
      <w:pPr>
        <w:ind w:left="160" w:right="559" w:firstLine="646"/>
        <w:spacing w:after="0" w:line="276" w:lineRule="auto"/>
        <w:rPr>
          <w:sz w:val="20"/>
          <w:szCs w:val="20"/>
          <w:color w:val="auto"/>
        </w:rPr>
      </w:pPr>
      <w:r>
        <w:rPr>
          <w:rFonts w:ascii="Arial" w:cs="Arial" w:eastAsia="Arial" w:hAnsi="Arial"/>
          <w:sz w:val="18"/>
          <w:szCs w:val="18"/>
          <w:color w:val="auto"/>
        </w:rPr>
        <w:t>The PMA approval pathway generally takes from one to three years or even longer from submission of the application.</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59" w:firstLine="646"/>
        <w:spacing w:after="0" w:line="292" w:lineRule="auto"/>
        <w:rPr>
          <w:sz w:val="20"/>
          <w:szCs w:val="20"/>
          <w:color w:val="auto"/>
        </w:rPr>
      </w:pPr>
      <w:r>
        <w:rPr>
          <w:rFonts w:ascii="Arial" w:cs="Arial" w:eastAsia="Arial" w:hAnsi="Arial"/>
          <w:sz w:val="16"/>
          <w:szCs w:val="16"/>
          <w:color w:val="auto"/>
        </w:rPr>
        <w:t>A PMA application for an IVD must provide extensive preclinical and clinical trial data. Preclinical data for an IVD includes many different tests, including how reproducible the results are when the same sample is tested multiple times by multiple users at multiple laboratories. The clinical data need to establish that the test is sufficiently safe, effective and reliable in the intended use population. In addition, the FDA must be convinced that a device has clinical utility, meaning that an IVD provides information that is clinically meaningful. A biomarker’s clinical significance may be obvious, or the applicant may be able to rely upon published literature or submit data to show clinical utility.</w:t>
      </w:r>
    </w:p>
    <w:p>
      <w:pPr>
        <w:spacing w:after="0" w:line="164" w:lineRule="exact"/>
        <w:rPr>
          <w:sz w:val="20"/>
          <w:szCs w:val="20"/>
          <w:color w:val="auto"/>
        </w:rPr>
      </w:pPr>
    </w:p>
    <w:p>
      <w:pPr>
        <w:ind w:left="160" w:right="239" w:firstLine="646"/>
        <w:spacing w:after="0" w:line="276" w:lineRule="auto"/>
        <w:rPr>
          <w:sz w:val="20"/>
          <w:szCs w:val="20"/>
          <w:color w:val="auto"/>
        </w:rPr>
      </w:pPr>
      <w:r>
        <w:rPr>
          <w:rFonts w:ascii="Arial" w:cs="Arial" w:eastAsia="Arial" w:hAnsi="Arial"/>
          <w:sz w:val="18"/>
          <w:szCs w:val="18"/>
          <w:color w:val="auto"/>
        </w:rPr>
        <w:t>A PMA application also must provide information about the device and its components regarding, among other things, device design, manufacturing and labeling. The sponsor must pay an application fee.</w:t>
      </w:r>
    </w:p>
    <w:p>
      <w:pPr>
        <w:spacing w:after="0" w:line="170" w:lineRule="exact"/>
        <w:rPr>
          <w:sz w:val="20"/>
          <w:szCs w:val="20"/>
          <w:color w:val="auto"/>
        </w:rPr>
      </w:pPr>
    </w:p>
    <w:p>
      <w:pPr>
        <w:ind w:left="160" w:right="479" w:firstLine="646"/>
        <w:spacing w:after="0" w:line="262" w:lineRule="auto"/>
        <w:rPr>
          <w:sz w:val="20"/>
          <w:szCs w:val="20"/>
          <w:color w:val="auto"/>
        </w:rPr>
      </w:pPr>
      <w:r>
        <w:rPr>
          <w:rFonts w:ascii="Arial" w:cs="Arial" w:eastAsia="Arial" w:hAnsi="Arial"/>
          <w:sz w:val="18"/>
          <w:szCs w:val="18"/>
          <w:color w:val="auto"/>
        </w:rPr>
        <w:t>As part of the PMA review, the FDA will typically inspect the manufacturer’s facilities for compliance with Quality System Regulation (QSR) requirements, which impose elaborate testing, control, documentation and other quality assurance procedures.</w:t>
      </w:r>
    </w:p>
    <w:p>
      <w:pPr>
        <w:spacing w:after="0" w:line="183" w:lineRule="exact"/>
        <w:rPr>
          <w:sz w:val="20"/>
          <w:szCs w:val="20"/>
          <w:color w:val="auto"/>
        </w:rPr>
      </w:pPr>
    </w:p>
    <w:p>
      <w:pPr>
        <w:ind w:left="160" w:right="259" w:firstLine="646"/>
        <w:spacing w:after="0" w:line="218" w:lineRule="exact"/>
        <w:rPr>
          <w:sz w:val="20"/>
          <w:szCs w:val="20"/>
          <w:color w:val="auto"/>
        </w:rPr>
      </w:pPr>
      <w:r>
        <w:rPr>
          <w:rFonts w:ascii="Arial" w:cs="Arial" w:eastAsia="Arial" w:hAnsi="Arial"/>
          <w:sz w:val="16"/>
          <w:szCs w:val="16"/>
          <w:color w:val="auto"/>
        </w:rPr>
        <w:t>Upon submission, the FDA determines if the PMA application is sufficiently complete to permit a substantive review, and, if so, the FDA accepts the application for filing. The FDA then commences an in</w:t>
      </w:r>
      <w:r>
        <w:rPr>
          <w:rFonts w:ascii="MS PGothic" w:cs="MS PGothic" w:eastAsia="MS PGothic" w:hAnsi="MS PGothic"/>
          <w:sz w:val="16"/>
          <w:szCs w:val="16"/>
          <w:color w:val="auto"/>
        </w:rPr>
        <w:t>‑</w:t>
      </w:r>
      <w:r>
        <w:rPr>
          <w:rFonts w:ascii="Arial" w:cs="Arial" w:eastAsia="Arial" w:hAnsi="Arial"/>
          <w:sz w:val="16"/>
          <w:szCs w:val="16"/>
          <w:color w:val="auto"/>
        </w:rPr>
        <w:t>depth review of the PMA application. The entire process typically takes one to three years, but may take longer. The review time is often significantly extended as a result of the FDA asking for more information or clarification of information already provided. The FDA also may respond with a not approvable determination based on deficiencies in the application and require additional clinical trials that are often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can substantially delay approval.</w:t>
      </w:r>
    </w:p>
    <w:p>
      <w:pPr>
        <w:spacing w:after="0" w:line="201" w:lineRule="exact"/>
        <w:rPr>
          <w:sz w:val="20"/>
          <w:szCs w:val="20"/>
          <w:color w:val="auto"/>
        </w:rPr>
      </w:pPr>
    </w:p>
    <w:p>
      <w:pPr>
        <w:jc w:val="both"/>
        <w:ind w:left="160" w:right="399" w:firstLine="646"/>
        <w:spacing w:after="0" w:line="258" w:lineRule="auto"/>
        <w:rPr>
          <w:sz w:val="20"/>
          <w:szCs w:val="20"/>
          <w:color w:val="auto"/>
        </w:rPr>
      </w:pPr>
      <w:r>
        <w:rPr>
          <w:rFonts w:ascii="Arial" w:cs="Arial" w:eastAsia="Arial" w:hAnsi="Arial"/>
          <w:sz w:val="18"/>
          <w:szCs w:val="18"/>
          <w:color w:val="auto"/>
        </w:rPr>
        <w:t>During the review period, an FDA advisory committee, typically a panel of clinicians, may be convened to review the application and recommend to the FDA whether, or upon what conditions, the device should be approved. Although the FDA is not bound by the advisory panel decision, the panel’s recommendation is important to the FDA’s overall decision making process.</w:t>
      </w:r>
    </w:p>
    <w:p>
      <w:pPr>
        <w:spacing w:after="0" w:line="187" w:lineRule="exact"/>
        <w:rPr>
          <w:sz w:val="20"/>
          <w:szCs w:val="20"/>
          <w:color w:val="auto"/>
        </w:rPr>
      </w:pPr>
    </w:p>
    <w:p>
      <w:pPr>
        <w:ind w:left="160" w:right="179" w:firstLine="646"/>
        <w:spacing w:after="0" w:line="217" w:lineRule="exact"/>
        <w:rPr>
          <w:sz w:val="20"/>
          <w:szCs w:val="20"/>
          <w:color w:val="auto"/>
        </w:rPr>
      </w:pPr>
      <w:r>
        <w:rPr>
          <w:rFonts w:ascii="Arial" w:cs="Arial" w:eastAsia="Arial" w:hAnsi="Arial"/>
          <w:sz w:val="17"/>
          <w:szCs w:val="17"/>
          <w:color w:val="auto"/>
        </w:rPr>
        <w:t>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an approval order, which may be for more limited indications than those originally sought by the manufacturer. The approval order can include post</w:t>
      </w:r>
      <w:r>
        <w:rPr>
          <w:rFonts w:ascii="MS PGothic" w:cs="MS PGothic" w:eastAsia="MS PGothic" w:hAnsi="MS PGothic"/>
          <w:sz w:val="17"/>
          <w:szCs w:val="17"/>
          <w:color w:val="auto"/>
        </w:rPr>
        <w:t>‑</w:t>
      </w:r>
      <w:r>
        <w:rPr>
          <w:rFonts w:ascii="Arial" w:cs="Arial" w:eastAsia="Arial" w:hAnsi="Arial"/>
          <w:sz w:val="17"/>
          <w:szCs w:val="17"/>
          <w:color w:val="auto"/>
        </w:rPr>
        <w:t>approval conditions that the FDA believes necessary to ensure the safety and effectiveness of the device, including, among other things, restrictions on labeling, promotion, sale and distribution. Failure to comply with the conditions of approval can result in material adverse enforcement action, including the loss or withdrawal of the approval.</w:t>
      </w:r>
    </w:p>
    <w:p>
      <w:pPr>
        <w:spacing w:after="0" w:line="205" w:lineRule="exact"/>
        <w:rPr>
          <w:sz w:val="20"/>
          <w:szCs w:val="20"/>
          <w:color w:val="auto"/>
        </w:rPr>
      </w:pPr>
    </w:p>
    <w:p>
      <w:pPr>
        <w:ind w:left="160" w:right="239" w:firstLine="646"/>
        <w:spacing w:after="0" w:line="278" w:lineRule="auto"/>
        <w:rPr>
          <w:sz w:val="20"/>
          <w:szCs w:val="20"/>
          <w:color w:val="auto"/>
        </w:rPr>
      </w:pPr>
      <w:r>
        <w:rPr>
          <w:rFonts w:ascii="Arial" w:cs="Arial" w:eastAsia="Arial" w:hAnsi="Arial"/>
          <w:sz w:val="17"/>
          <w:szCs w:val="17"/>
          <w:color w:val="auto"/>
        </w:rPr>
        <w:t>Even after approval of a PMA, a new PMA or PMA supplement may be required in the event of a modification to the device, its labeling or its manufacturing process. Supplements to a PMA often require the submission of the same type of information required for an original PMA, except that the supplement is generally limited to the information needed to support the proposed change from the product covered by the original PMA.</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Clinical trials</w:t>
      </w:r>
    </w:p>
    <w:p>
      <w:pPr>
        <w:spacing w:after="0" w:line="224" w:lineRule="exact"/>
        <w:rPr>
          <w:sz w:val="20"/>
          <w:szCs w:val="20"/>
          <w:color w:val="auto"/>
        </w:rPr>
      </w:pPr>
    </w:p>
    <w:p>
      <w:pPr>
        <w:ind w:left="160" w:right="379" w:firstLine="646"/>
        <w:spacing w:after="0" w:line="262" w:lineRule="auto"/>
        <w:rPr>
          <w:sz w:val="20"/>
          <w:szCs w:val="20"/>
          <w:color w:val="auto"/>
        </w:rPr>
      </w:pPr>
      <w:r>
        <w:rPr>
          <w:rFonts w:ascii="Arial" w:cs="Arial" w:eastAsia="Arial" w:hAnsi="Arial"/>
          <w:sz w:val="18"/>
          <w:szCs w:val="18"/>
          <w:color w:val="auto"/>
        </w:rPr>
        <w:t>A clinical trial is almost always required to support a PMA application. In some cases, one or more smaller Investigational Device Exemption (IDE) studies may precede a pivotal clinical trial intended to demonstrate the safety and efficacy of the investigational device.</w:t>
      </w:r>
    </w:p>
    <w:p>
      <w:pPr>
        <w:spacing w:after="0" w:line="183" w:lineRule="exact"/>
        <w:rPr>
          <w:sz w:val="20"/>
          <w:szCs w:val="20"/>
          <w:color w:val="auto"/>
        </w:rPr>
      </w:pPr>
    </w:p>
    <w:p>
      <w:pPr>
        <w:ind w:left="160" w:right="199" w:firstLine="646"/>
        <w:spacing w:after="0" w:line="271" w:lineRule="auto"/>
        <w:rPr>
          <w:sz w:val="20"/>
          <w:szCs w:val="20"/>
          <w:color w:val="auto"/>
        </w:rPr>
      </w:pPr>
      <w:r>
        <w:rPr>
          <w:rFonts w:ascii="Arial" w:cs="Arial" w:eastAsia="Arial" w:hAnsi="Arial"/>
          <w:sz w:val="17"/>
          <w:szCs w:val="17"/>
          <w:color w:val="auto"/>
        </w:rPr>
        <w:t>All clinical studies of investigational devices must be conducted in compliance with the FDA’s requirements. If an investigational device could pose a significant risk to patients pursuant to FDA regulations, the FDA must approve an IDE application prior to initiation of investigational use. IVD trials usually do not require an IDE, as the FDA does not judge them to be a significant risk because the results do not affect the patient’s safety in the study. The FDA has confirmed that one of our IVDs does not need an IDE application as it does not pose significant risk at this time. Should interim clinical trial data detect a safety signal between patients who test positive or negative for the specific biomarker, then a IDE would be required.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79" w:firstLine="646"/>
        <w:spacing w:after="0" w:line="256" w:lineRule="auto"/>
        <w:rPr>
          <w:sz w:val="20"/>
          <w:szCs w:val="20"/>
          <w:color w:val="auto"/>
        </w:rPr>
      </w:pPr>
      <w:r>
        <w:rPr>
          <w:rFonts w:ascii="Arial" w:cs="Arial" w:eastAsia="Arial" w:hAnsi="Arial"/>
          <w:sz w:val="18"/>
          <w:szCs w:val="18"/>
          <w:color w:val="auto"/>
        </w:rPr>
        <w:t>An IDE application must be supported by appropriate data, such as laboratory test results, showing that it is safe to test the device in humans and that the testing protocol is scientifically sound. The FDA typically grants IDE approval for a specified number of patients. A nonsignificant risk device does not require FDA approval of an IDE. Both significant risk and nonsignificant risk investigational devices require approval from IRBs at the study centers where the device will be used.</w:t>
      </w:r>
    </w:p>
    <w:p>
      <w:pPr>
        <w:spacing w:after="0" w:line="188" w:lineRule="exact"/>
        <w:rPr>
          <w:sz w:val="20"/>
          <w:szCs w:val="20"/>
          <w:color w:val="auto"/>
        </w:rPr>
      </w:pPr>
    </w:p>
    <w:p>
      <w:pPr>
        <w:ind w:left="160" w:right="239" w:firstLine="646"/>
        <w:spacing w:after="0" w:line="295" w:lineRule="auto"/>
        <w:rPr>
          <w:sz w:val="20"/>
          <w:szCs w:val="20"/>
          <w:color w:val="auto"/>
        </w:rPr>
      </w:pPr>
      <w:r>
        <w:rPr>
          <w:rFonts w:ascii="Arial" w:cs="Arial" w:eastAsia="Arial" w:hAnsi="Arial"/>
          <w:sz w:val="16"/>
          <w:szCs w:val="16"/>
          <w:color w:val="auto"/>
        </w:rPr>
        <w:t>During the trial, the sponsor must comply with the FDA’s IDE requirements for investigator selection, trial monitoring, reporting and record keeping. The investigators must obtain patient informed consent, rigorously follow the investigational plan and study protocol, control the disposition of investigational devices and comply with all reporting and record keeping requirements. Prior to granting PMA approval, the FDA typically inspects the records relating to the conduct of the study and the clinical data supporting the PMA application for compliance with applicable requirements.</w:t>
      </w:r>
    </w:p>
    <w:p>
      <w:pPr>
        <w:spacing w:after="0" w:line="161" w:lineRule="exact"/>
        <w:rPr>
          <w:sz w:val="20"/>
          <w:szCs w:val="20"/>
          <w:color w:val="auto"/>
        </w:rPr>
      </w:pPr>
    </w:p>
    <w:p>
      <w:pPr>
        <w:ind w:left="160" w:right="319" w:firstLine="646"/>
        <w:spacing w:after="0" w:line="258" w:lineRule="auto"/>
        <w:rPr>
          <w:sz w:val="20"/>
          <w:szCs w:val="20"/>
          <w:color w:val="auto"/>
        </w:rPr>
      </w:pPr>
      <w:r>
        <w:rPr>
          <w:rFonts w:ascii="Arial" w:cs="Arial" w:eastAsia="Arial" w:hAnsi="Arial"/>
          <w:sz w:val="18"/>
          <w:szCs w:val="18"/>
          <w:color w:val="auto"/>
        </w:rPr>
        <w:t>Although the QSR does not fully apply to investigational devices, the requirement for controls on design and development does apply. The sponsor also must manufacture the investigational device in conformity with the quality controls described in the IDE application and any conditions of IDE approval that the FDA may impose with respect to manufacturing.</w:t>
      </w:r>
    </w:p>
    <w:p>
      <w:pPr>
        <w:spacing w:after="0" w:line="187"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market</w:t>
      </w:r>
    </w:p>
    <w:p>
      <w:pPr>
        <w:spacing w:after="0" w:line="224" w:lineRule="exact"/>
        <w:rPr>
          <w:sz w:val="20"/>
          <w:szCs w:val="20"/>
          <w:color w:val="auto"/>
        </w:rPr>
      </w:pPr>
    </w:p>
    <w:p>
      <w:pPr>
        <w:ind w:left="160" w:right="159" w:firstLine="646"/>
        <w:spacing w:after="0" w:line="292" w:lineRule="auto"/>
        <w:rPr>
          <w:sz w:val="20"/>
          <w:szCs w:val="20"/>
          <w:color w:val="auto"/>
        </w:rPr>
      </w:pPr>
      <w:r>
        <w:rPr>
          <w:rFonts w:ascii="Arial" w:cs="Arial" w:eastAsia="Arial" w:hAnsi="Arial"/>
          <w:sz w:val="16"/>
          <w:szCs w:val="16"/>
          <w:color w:val="auto"/>
        </w:rPr>
        <w:t>After a device is on the market, numerous regulatory requirements apply. These requirements include: the QSR, labeling regulations, the FDA’s general prohibition against promoting products for unapproved or “off 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regulations requiring manufacturers to report recalls and field actions to the FDA if initiated to reduce a risk to health posed by the device or to remedy a violation of the FDCA.</w:t>
      </w:r>
    </w:p>
    <w:p>
      <w:pPr>
        <w:spacing w:after="0" w:line="164" w:lineRule="exact"/>
        <w:rPr>
          <w:sz w:val="20"/>
          <w:szCs w:val="20"/>
          <w:color w:val="auto"/>
        </w:rPr>
      </w:pPr>
    </w:p>
    <w:p>
      <w:pPr>
        <w:ind w:left="160" w:right="159" w:firstLine="646"/>
        <w:spacing w:after="0" w:line="256" w:lineRule="auto"/>
        <w:rPr>
          <w:sz w:val="20"/>
          <w:szCs w:val="20"/>
          <w:color w:val="auto"/>
        </w:rPr>
      </w:pPr>
      <w:r>
        <w:rPr>
          <w:rFonts w:ascii="Arial" w:cs="Arial" w:eastAsia="Arial" w:hAnsi="Arial"/>
          <w:sz w:val="18"/>
          <w:szCs w:val="18"/>
          <w:color w:val="auto"/>
        </w:rPr>
        <w:t>The FDA enforces these requirements by inspection and market surveillance. If the FDA finds a violation, it can institute a wide variety of enforcement actions, ranging from a public warning letter to more severe sanctions such as: fines, injunctions and civil penalties; recall or seizure of products; operating restrictions, partial suspension or total shutdown of production; refusing requests for PMA approval of new products; withdrawing PMA approvals already granted; and criminal prosecution.</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regulatory requirements</w:t>
      </w:r>
    </w:p>
    <w:p>
      <w:pPr>
        <w:spacing w:after="0" w:line="228" w:lineRule="exact"/>
        <w:rPr>
          <w:sz w:val="20"/>
          <w:szCs w:val="20"/>
          <w:color w:val="auto"/>
        </w:rPr>
      </w:pPr>
    </w:p>
    <w:p>
      <w:pPr>
        <w:ind w:left="160" w:right="299" w:firstLine="646"/>
        <w:spacing w:after="0" w:line="256" w:lineRule="auto"/>
        <w:rPr>
          <w:sz w:val="20"/>
          <w:szCs w:val="20"/>
          <w:color w:val="auto"/>
        </w:rPr>
      </w:pPr>
      <w:r>
        <w:rPr>
          <w:rFonts w:ascii="Arial" w:cs="Arial" w:eastAsia="Arial" w:hAnsi="Arial"/>
          <w:sz w:val="18"/>
          <w:szCs w:val="18"/>
          <w:color w:val="auto"/>
        </w:rPr>
        <w:t>Any drug manufactured or distributed by us pursuant to FDA approvals would be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88" w:lineRule="exact"/>
        <w:rPr>
          <w:sz w:val="20"/>
          <w:szCs w:val="20"/>
          <w:color w:val="auto"/>
        </w:rPr>
      </w:pPr>
    </w:p>
    <w:p>
      <w:pPr>
        <w:ind w:left="160" w:right="179" w:firstLine="646"/>
        <w:spacing w:after="0" w:line="219" w:lineRule="exact"/>
        <w:rPr>
          <w:sz w:val="20"/>
          <w:szCs w:val="20"/>
          <w:color w:val="auto"/>
        </w:rPr>
      </w:pPr>
      <w:r>
        <w:rPr>
          <w:rFonts w:ascii="Arial" w:cs="Arial" w:eastAsia="Arial" w:hAnsi="Arial"/>
          <w:sz w:val="18"/>
          <w:szCs w:val="18"/>
          <w:color w:val="auto"/>
        </w:rPr>
        <w:t>The FDA may impose a number of post</w:t>
      </w:r>
      <w:r>
        <w:rPr>
          <w:rFonts w:ascii="MS PGothic" w:cs="MS PGothic" w:eastAsia="MS PGothic" w:hAnsi="MS PGothic"/>
          <w:sz w:val="18"/>
          <w:szCs w:val="18"/>
          <w:color w:val="auto"/>
        </w:rPr>
        <w:t>‑</w:t>
      </w:r>
      <w:r>
        <w:rPr>
          <w:rFonts w:ascii="Arial" w:cs="Arial" w:eastAsia="Arial" w:hAnsi="Arial"/>
          <w:sz w:val="18"/>
          <w:szCs w:val="18"/>
          <w:color w:val="auto"/>
        </w:rPr>
        <w:t>approval requirements as a condition of approval of an NDA. For example, the FDA may require post</w:t>
      </w:r>
      <w:r>
        <w:rPr>
          <w:rFonts w:ascii="MS PGothic" w:cs="MS PGothic" w:eastAsia="MS PGothic" w:hAnsi="MS PGothic"/>
          <w:sz w:val="18"/>
          <w:szCs w:val="18"/>
          <w:color w:val="auto"/>
        </w:rPr>
        <w:t>‑</w:t>
      </w:r>
      <w:r>
        <w:rPr>
          <w:rFonts w:ascii="Arial" w:cs="Arial" w:eastAsia="Arial" w:hAnsi="Arial"/>
          <w:sz w:val="18"/>
          <w:szCs w:val="18"/>
          <w:color w:val="auto"/>
        </w:rPr>
        <w: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w:t>
      </w:r>
    </w:p>
    <w:p>
      <w:pPr>
        <w:spacing w:after="0" w:line="201" w:lineRule="exact"/>
        <w:rPr>
          <w:sz w:val="20"/>
          <w:szCs w:val="20"/>
          <w:color w:val="auto"/>
        </w:rPr>
      </w:pPr>
    </w:p>
    <w:p>
      <w:pPr>
        <w:ind w:left="160" w:right="279" w:firstLine="646"/>
        <w:spacing w:after="0" w:line="218" w:lineRule="exact"/>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that we may decide to use. Accordingly,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19"/>
        <w:spacing w:after="0" w:line="276" w:lineRule="auto"/>
        <w:rPr>
          <w:sz w:val="20"/>
          <w:szCs w:val="20"/>
          <w:color w:val="auto"/>
        </w:rPr>
      </w:pPr>
      <w:r>
        <w:rPr>
          <w:rFonts w:ascii="Arial" w:cs="Arial" w:eastAsia="Arial" w:hAnsi="Arial"/>
          <w:sz w:val="18"/>
          <w:szCs w:val="18"/>
          <w:color w:val="auto"/>
        </w:rPr>
        <w:t>manufacturers must continue to expend time, money and effort in the areas of production and quality control to maintain cGMP compliance.</w:t>
      </w:r>
    </w:p>
    <w:p>
      <w:pPr>
        <w:spacing w:after="0" w:line="170" w:lineRule="exact"/>
        <w:rPr>
          <w:sz w:val="20"/>
          <w:szCs w:val="20"/>
          <w:color w:val="auto"/>
        </w:rPr>
      </w:pPr>
    </w:p>
    <w:p>
      <w:pPr>
        <w:ind w:left="160" w:right="239" w:firstLine="646"/>
        <w:spacing w:after="0" w:line="217" w:lineRule="exact"/>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w:t>
      </w:r>
      <w:r>
        <w:rPr>
          <w:rFonts w:ascii="MS PGothic" w:cs="MS PGothic" w:eastAsia="MS PGothic" w:hAnsi="MS PGothic"/>
          <w:sz w:val="17"/>
          <w:szCs w:val="17"/>
          <w:color w:val="auto"/>
        </w:rPr>
        <w:t>‑</w:t>
      </w:r>
      <w:r>
        <w:rPr>
          <w:rFonts w:ascii="Arial" w:cs="Arial" w:eastAsia="Arial" w:hAnsi="Arial"/>
          <w:sz w:val="17"/>
          <w:szCs w:val="17"/>
          <w:color w:val="auto"/>
        </w:rPr>
        <w:t>market studies or clinical trials to assess new safety risks or imposition of distribution or other restrictions under a Risk Evaluation and Mitigation Strategy program. Other potential consequences include, among other things:</w:t>
      </w:r>
    </w:p>
    <w:p>
      <w:pPr>
        <w:spacing w:after="0" w:line="206" w:lineRule="exact"/>
        <w:rPr>
          <w:sz w:val="20"/>
          <w:szCs w:val="20"/>
          <w:color w:val="auto"/>
        </w:rPr>
      </w:pPr>
    </w:p>
    <w:p>
      <w:pPr>
        <w:ind w:left="1200" w:right="379" w:hanging="81"/>
        <w:spacing w:after="0" w:line="276"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69" w:lineRule="exact"/>
        <w:rPr>
          <w:rFonts w:ascii="Arial" w:cs="Arial" w:eastAsia="Arial" w:hAnsi="Arial"/>
          <w:sz w:val="18"/>
          <w:szCs w:val="18"/>
          <w:color w:val="auto"/>
        </w:rPr>
      </w:pPr>
    </w:p>
    <w:p>
      <w:pPr>
        <w:ind w:left="1220" w:hanging="101"/>
        <w:spacing w:after="0" w:line="207" w:lineRule="exact"/>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warning letters or holds on post</w:t>
      </w:r>
      <w:r>
        <w:rPr>
          <w:rFonts w:ascii="MS PGothic" w:cs="MS PGothic" w:eastAsia="MS PGothic" w:hAnsi="MS PGothic"/>
          <w:sz w:val="18"/>
          <w:szCs w:val="18"/>
          <w:color w:val="auto"/>
        </w:rPr>
        <w:t>‑</w:t>
      </w:r>
      <w:r>
        <w:rPr>
          <w:rFonts w:ascii="Arial" w:cs="Arial" w:eastAsia="Arial" w:hAnsi="Arial"/>
          <w:sz w:val="18"/>
          <w:szCs w:val="18"/>
          <w:color w:val="auto"/>
        </w:rPr>
        <w:t>approval clinical trials;</w:t>
      </w:r>
    </w:p>
    <w:p>
      <w:pPr>
        <w:spacing w:after="0" w:line="223" w:lineRule="exact"/>
        <w:rPr>
          <w:rFonts w:ascii="Arial" w:cs="Arial" w:eastAsia="Arial" w:hAnsi="Arial"/>
          <w:sz w:val="18"/>
          <w:szCs w:val="18"/>
          <w:color w:val="auto"/>
        </w:rPr>
      </w:pPr>
    </w:p>
    <w:p>
      <w:pPr>
        <w:ind w:left="1200" w:right="939" w:hanging="81"/>
        <w:spacing w:after="0" w:line="276"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69" w:lineRule="exact"/>
        <w:rPr>
          <w:rFonts w:ascii="Arial" w:cs="Arial" w:eastAsia="Arial" w:hAnsi="Arial"/>
          <w:sz w:val="18"/>
          <w:szCs w:val="18"/>
          <w:color w:val="auto"/>
        </w:rPr>
      </w:pPr>
    </w:p>
    <w:p>
      <w:pPr>
        <w:ind w:left="1220" w:hanging="10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3" w:lineRule="exact"/>
        <w:rPr>
          <w:rFonts w:ascii="Arial" w:cs="Arial" w:eastAsia="Arial" w:hAnsi="Arial"/>
          <w:sz w:val="18"/>
          <w:szCs w:val="18"/>
          <w:color w:val="auto"/>
        </w:rPr>
      </w:pPr>
    </w:p>
    <w:p>
      <w:pPr>
        <w:ind w:left="1220" w:hanging="10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224" w:lineRule="exact"/>
        <w:rPr>
          <w:sz w:val="20"/>
          <w:szCs w:val="20"/>
          <w:color w:val="auto"/>
        </w:rPr>
      </w:pPr>
    </w:p>
    <w:p>
      <w:pPr>
        <w:ind w:left="160" w:right="179" w:firstLine="646"/>
        <w:spacing w:after="0" w:line="300"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provisions</w:t>
      </w:r>
    </w:p>
    <w:p>
      <w:pPr>
        <w:spacing w:after="0" w:line="228"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i w:val="1"/>
          <w:iCs w:val="1"/>
          <w:color w:val="auto"/>
        </w:rPr>
        <w:t>Anti</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kickback and false claims laws</w:t>
      </w:r>
    </w:p>
    <w:p>
      <w:pPr>
        <w:spacing w:after="0" w:line="224"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In addition to FDA restrictions on marketing of pharmaceutical products, several other types of state and federal laws have been applied to restrict certain marketing practices in the pharmaceutical industry. These laws include anti</w:t>
      </w:r>
      <w:r>
        <w:rPr>
          <w:rFonts w:ascii="MS PGothic" w:cs="MS PGothic" w:eastAsia="MS PGothic" w:hAnsi="MS PGothic"/>
          <w:sz w:val="16"/>
          <w:szCs w:val="16"/>
          <w:color w:val="auto"/>
        </w:rPr>
        <w:t>‑</w:t>
      </w:r>
      <w:r>
        <w:rPr>
          <w:rFonts w:ascii="Arial" w:cs="Arial" w:eastAsia="Arial" w:hAnsi="Arial"/>
          <w:sz w:val="16"/>
          <w:szCs w:val="16"/>
          <w:color w:val="auto"/>
        </w:rPr>
        <w:t>kickback statutes and false claims statutes.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various third parties, including prescribers, purchasers and health plans (including formulary managers) on the other. Violations of the anti</w:t>
      </w:r>
      <w:r>
        <w:rPr>
          <w:rFonts w:ascii="MS PGothic" w:cs="MS PGothic" w:eastAsia="MS PGothic" w:hAnsi="MS PGothic"/>
          <w:sz w:val="16"/>
          <w:szCs w:val="16"/>
          <w:color w:val="auto"/>
        </w:rPr>
        <w:t>‑</w:t>
      </w:r>
      <w:r>
        <w:rPr>
          <w:rFonts w:ascii="Arial" w:cs="Arial" w:eastAsia="Arial" w:hAnsi="Arial"/>
          <w:sz w:val="16"/>
          <w:szCs w:val="16"/>
          <w:color w:val="auto"/>
        </w:rPr>
        <w:t>kickback statute are punishable by imprisonment, criminal fines, civil monetary penalties and exclusion from participation in federal healthcare programs. Although there are a number of statutory exemptions and regulatory safe harbors protecting certain common activities from prosecution or other regulatory sanctions, the exemptions and safe harbors are drawn narrowly, and practices that involve remuneration intended to induce prescribing, purchases or recommendations may be subject to scrutiny if they do not qualify for an exemption or safe harbor.</w:t>
      </w:r>
    </w:p>
    <w:p>
      <w:pPr>
        <w:spacing w:after="0" w:line="204"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7"/>
          <w:szCs w:val="17"/>
          <w:color w:val="auto"/>
        </w:rPr>
        <w:t>Federal false claims laws prohibit any person from knowingly presenting, or causing to be presented, a false claim for payment to the federal government, or knowingly making, or causing to be made, a false statement to have a false claim paid. A number of pharmaceutical and other healthcare companies have been prosecuted under these laws for various activities, including allegedly inflating drug prices that the manufacturers report to pricing services, which in turn were used by the government to set Medicare and Medicaid reimbursement rates or providing free samples to customers with the expectation that the customers would bill federal programs for the product. In addition, certain marketing practices, including off</w:t>
      </w:r>
      <w:r>
        <w:rPr>
          <w:rFonts w:ascii="MS PGothic" w:cs="MS PGothic" w:eastAsia="MS PGothic" w:hAnsi="MS PGothic"/>
          <w:sz w:val="17"/>
          <w:szCs w:val="17"/>
          <w:color w:val="auto"/>
        </w:rPr>
        <w:t>‑</w:t>
      </w:r>
      <w:r>
        <w:rPr>
          <w:rFonts w:ascii="Arial" w:cs="Arial" w:eastAsia="Arial" w:hAnsi="Arial"/>
          <w:sz w:val="17"/>
          <w:szCs w:val="17"/>
          <w:color w:val="auto"/>
        </w:rPr>
        <w:t>label promotion, may also violate false claims laws.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479"/>
        <w:spacing w:after="0" w:line="220" w:lineRule="exact"/>
        <w:rPr>
          <w:sz w:val="20"/>
          <w:szCs w:val="20"/>
          <w:color w:val="auto"/>
        </w:rPr>
      </w:pPr>
      <w:r>
        <w:rPr>
          <w:rFonts w:ascii="Arial" w:cs="Arial" w:eastAsia="Arial" w:hAnsi="Arial"/>
          <w:sz w:val="18"/>
          <w:szCs w:val="18"/>
          <w:color w:val="auto"/>
        </w:rPr>
        <w:t>The majority of states also have statutes or regulations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law and false claims laws, which apply to items and services reimbursed under Medicaid and other state programs, or, in several states, apply regardless of the payor.</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Physician drug samples</w:t>
      </w:r>
    </w:p>
    <w:p>
      <w:pPr>
        <w:spacing w:after="0" w:line="224" w:lineRule="exact"/>
        <w:rPr>
          <w:sz w:val="20"/>
          <w:szCs w:val="20"/>
          <w:color w:val="auto"/>
        </w:rPr>
      </w:pPr>
    </w:p>
    <w:p>
      <w:pPr>
        <w:ind w:left="160" w:right="239" w:firstLine="646"/>
        <w:spacing w:after="0" w:line="295" w:lineRule="auto"/>
        <w:rPr>
          <w:sz w:val="20"/>
          <w:szCs w:val="20"/>
          <w:color w:val="auto"/>
        </w:rPr>
      </w:pPr>
      <w:r>
        <w:rPr>
          <w:rFonts w:ascii="Arial" w:cs="Arial" w:eastAsia="Arial" w:hAnsi="Arial"/>
          <w:sz w:val="16"/>
          <w:szCs w:val="16"/>
          <w:color w:val="auto"/>
        </w:rPr>
        <w:t>As part of the sales and marketing process, pharmaceutical companies frequently provide samples of approved drugs to physicians. The Prescription Drug Marketing Act (PDMA) imposes requirements and limitations upon the provision of drug samples to physicians, as well as prohibits states from licensing distributors of prescription drugs unless the state licensing program meets certain federal guidelines that include minimum standards for storage, handling and record keeping. In addition, the PDMA sets forth civil and criminal penalties for violations.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Foreign regulation</w:t>
      </w:r>
    </w:p>
    <w:p>
      <w:pPr>
        <w:spacing w:after="0" w:line="228" w:lineRule="exact"/>
        <w:rPr>
          <w:sz w:val="20"/>
          <w:szCs w:val="20"/>
          <w:color w:val="auto"/>
        </w:rPr>
      </w:pPr>
    </w:p>
    <w:p>
      <w:pPr>
        <w:ind w:left="160" w:right="159" w:firstLine="646"/>
        <w:spacing w:after="0" w:line="288" w:lineRule="auto"/>
        <w:rPr>
          <w:sz w:val="20"/>
          <w:szCs w:val="20"/>
          <w:color w:val="auto"/>
        </w:rPr>
      </w:pPr>
      <w:r>
        <w:rPr>
          <w:rFonts w:ascii="Arial" w:cs="Arial" w:eastAsia="Arial" w:hAnsi="Arial"/>
          <w:sz w:val="16"/>
          <w:szCs w:val="16"/>
          <w:color w:val="auto"/>
        </w:rPr>
        <w:t>In order 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8" w:lineRule="exact"/>
        <w:rPr>
          <w:sz w:val="20"/>
          <w:szCs w:val="20"/>
          <w:color w:val="auto"/>
        </w:rPr>
      </w:pPr>
    </w:p>
    <w:p>
      <w:pPr>
        <w:ind w:left="160" w:right="199" w:firstLine="646"/>
        <w:spacing w:after="0" w:line="217" w:lineRule="exact"/>
        <w:rPr>
          <w:sz w:val="20"/>
          <w:szCs w:val="20"/>
          <w:color w:val="auto"/>
        </w:rPr>
      </w:pPr>
      <w:r>
        <w:rPr>
          <w:rFonts w:ascii="Arial" w:cs="Arial" w:eastAsia="Arial" w:hAnsi="Arial"/>
          <w:sz w:val="18"/>
          <w:szCs w:val="18"/>
          <w:color w:val="auto"/>
        </w:rPr>
        <w:t>Significant uncertainty exists as to the coverage and reimbursement status of any drug products for which we obtain regulatory approval. Sales of any of our product candidates, if approved, will depend, in part, on the extent to which the costs of the products will be covered by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government health programs such as Medicare and Medicaid, commercial health insurers and managed care organizations. The process for determining whether a payor will provide coverage for a drug product may be separate from the process for setting the price or reimbursement rate that the payor will pay for the drug product once coverage is approved. Third</w:t>
      </w:r>
      <w:r>
        <w:rPr>
          <w:rFonts w:ascii="MS PGothic" w:cs="MS PGothic" w:eastAsia="MS PGothic" w:hAnsi="MS PGothic"/>
          <w:sz w:val="18"/>
          <w:szCs w:val="18"/>
          <w:color w:val="auto"/>
        </w:rPr>
        <w:t>‑</w:t>
      </w:r>
      <w:r>
        <w:rPr>
          <w:rFonts w:ascii="Arial" w:cs="Arial" w:eastAsia="Arial" w:hAnsi="Arial"/>
          <w:sz w:val="18"/>
          <w:szCs w:val="18"/>
          <w:color w:val="auto"/>
        </w:rPr>
        <w:t>party payors may limit coverage to specific drug products on an approved list, or formulary, which might not include all of the approved drugs for a particular indication.</w:t>
      </w:r>
    </w:p>
    <w:p>
      <w:pPr>
        <w:spacing w:after="0" w:line="206" w:lineRule="exact"/>
        <w:rPr>
          <w:sz w:val="20"/>
          <w:szCs w:val="20"/>
          <w:color w:val="auto"/>
        </w:rPr>
      </w:pPr>
    </w:p>
    <w:p>
      <w:pPr>
        <w:ind w:left="160" w:right="139" w:firstLine="646"/>
        <w:spacing w:after="0" w:line="217" w:lineRule="exact"/>
        <w:rPr>
          <w:sz w:val="20"/>
          <w:szCs w:val="20"/>
          <w:color w:val="auto"/>
        </w:rPr>
      </w:pPr>
      <w:r>
        <w:rPr>
          <w:rFonts w:ascii="Arial" w:cs="Arial" w:eastAsia="Arial" w:hAnsi="Arial"/>
          <w:sz w:val="16"/>
          <w:szCs w:val="16"/>
          <w:color w:val="auto"/>
        </w:rPr>
        <w:t>In order to secure coverage and reimbursement for any product that might be approved for sale, we may need to conduct expensive pharmacoeconomic studies in order to demonstrate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the product, in addition to the costs required to obtain FDA or other comparable regulatory approvals. We may also need to provide discounts to purchasers, private health plans or government healthcare programs. Our product candidates may not be considered medically necessary or cost</w:t>
      </w:r>
      <w:r>
        <w:rPr>
          <w:rFonts w:ascii="MS PGothic" w:cs="MS PGothic" w:eastAsia="MS PGothic" w:hAnsi="MS PGothic"/>
          <w:sz w:val="16"/>
          <w:szCs w:val="16"/>
          <w:color w:val="auto"/>
        </w:rPr>
        <w:t>‑</w:t>
      </w:r>
      <w:r>
        <w:rPr>
          <w:rFonts w:ascii="Arial" w:cs="Arial" w:eastAsia="Arial" w:hAnsi="Arial"/>
          <w:sz w:val="16"/>
          <w:szCs w:val="16"/>
          <w:color w:val="auto"/>
        </w:rPr>
        <w:t>effective. A payor’s decision to provide coverage for a drug product does not imply that an adequate reimbursement rate will be approved.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may not be sufficient to enable us to maintain price levels high enough to realize an appropriate return on our investment in product development.</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containment of healthcare costs has become a priority of federal, state and foreign governments, and the</w:t>
      </w:r>
    </w:p>
    <w:p>
      <w:pPr>
        <w:spacing w:after="0" w:line="46"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prices of drugs have been a focus in this effort.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prices charged for</w:t>
      </w:r>
    </w:p>
    <w:p>
      <w:pPr>
        <w:spacing w:after="0" w:line="31" w:lineRule="exact"/>
        <w:rPr>
          <w:sz w:val="20"/>
          <w:szCs w:val="20"/>
          <w:color w:val="auto"/>
        </w:rPr>
      </w:pPr>
    </w:p>
    <w:p>
      <w:pPr>
        <w:ind w:left="160"/>
        <w:spacing w:after="0" w:line="196" w:lineRule="exact"/>
        <w:rPr>
          <w:sz w:val="20"/>
          <w:szCs w:val="20"/>
          <w:color w:val="auto"/>
        </w:rPr>
      </w:pPr>
      <w:r>
        <w:rPr>
          <w:rFonts w:ascii="Arial" w:cs="Arial" w:eastAsia="Arial" w:hAnsi="Arial"/>
          <w:sz w:val="17"/>
          <w:szCs w:val="17"/>
          <w:color w:val="auto"/>
        </w:rPr>
        <w:t>medical products and services and examining the medical necessity and cost</w:t>
      </w:r>
      <w:r>
        <w:rPr>
          <w:rFonts w:ascii="MS PGothic" w:cs="MS PGothic" w:eastAsia="MS PGothic" w:hAnsi="MS PGothic"/>
          <w:sz w:val="17"/>
          <w:szCs w:val="17"/>
          <w:color w:val="auto"/>
        </w:rPr>
        <w:t>‑</w:t>
      </w:r>
      <w:r>
        <w:rPr>
          <w:rFonts w:ascii="Arial" w:cs="Arial" w:eastAsia="Arial" w:hAnsi="Arial"/>
          <w:sz w:val="17"/>
          <w:szCs w:val="17"/>
          <w:color w:val="auto"/>
        </w:rPr>
        <w:t>effectiveness of medical products and</w:t>
      </w:r>
    </w:p>
    <w:p>
      <w:pPr>
        <w:spacing w:after="0" w:line="20"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color w:val="auto"/>
        </w:rPr>
        <w:t>services, in addition to their safety and efficacy. If these third</w:t>
      </w:r>
      <w:r>
        <w:rPr>
          <w:rFonts w:ascii="MS PGothic" w:cs="MS PGothic" w:eastAsia="MS PGothic" w:hAnsi="MS PGothic"/>
          <w:sz w:val="18"/>
          <w:szCs w:val="18"/>
          <w:color w:val="auto"/>
        </w:rPr>
        <w:t>‑</w:t>
      </w:r>
      <w:r>
        <w:rPr>
          <w:rFonts w:ascii="Arial" w:cs="Arial" w:eastAsia="Arial" w:hAnsi="Arial"/>
          <w:sz w:val="18"/>
          <w:szCs w:val="18"/>
          <w:color w:val="auto"/>
        </w:rPr>
        <w:t>party payors do not consider our products to be</w:t>
      </w:r>
    </w:p>
    <w:p>
      <w:pPr>
        <w:spacing w:after="0" w:line="8"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compared to other available therapies, they may not cover our products after approval as a benefit under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their plans or, if they do, the level of payment may not be sufficient to allow us to sell our products at a profit. The U.S.</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government, state legislatures and foreign governments have shown significant interest in implementing cost</w:t>
      </w:r>
    </w:p>
    <w:p>
      <w:pPr>
        <w:spacing w:after="0" w:line="8"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containment programs to limit the growth of government</w:t>
      </w:r>
      <w:r>
        <w:rPr>
          <w:rFonts w:ascii="MS PGothic" w:cs="MS PGothic" w:eastAsia="MS PGothic" w:hAnsi="MS PGothic"/>
          <w:sz w:val="16"/>
          <w:szCs w:val="16"/>
          <w:color w:val="auto"/>
        </w:rPr>
        <w:t>‑</w:t>
      </w:r>
      <w:r>
        <w:rPr>
          <w:rFonts w:ascii="Arial" w:cs="Arial" w:eastAsia="Arial" w:hAnsi="Arial"/>
          <w:sz w:val="16"/>
          <w:szCs w:val="16"/>
          <w:color w:val="auto"/>
        </w:rPr>
        <w:t>paid health care costs, including price controls, restrictions on</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reimbursement and requirements for substitution of generic products for branded prescription drugs. Adoption of such</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controls and measures, and tightening of restrictive policies in jurisdictions</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399"/>
        <w:spacing w:after="0" w:line="276" w:lineRule="auto"/>
        <w:rPr>
          <w:sz w:val="20"/>
          <w:szCs w:val="20"/>
          <w:color w:val="auto"/>
        </w:rPr>
      </w:pPr>
      <w:r>
        <w:rPr>
          <w:rFonts w:ascii="Arial" w:cs="Arial" w:eastAsia="Arial" w:hAnsi="Arial"/>
          <w:sz w:val="18"/>
          <w:szCs w:val="18"/>
          <w:color w:val="auto"/>
        </w:rPr>
        <w:t>with existing controls and measures, could limit payments for pharmaceuticals such as the drug candidates that we are developing and could adversely affect our net revenue and results.</w:t>
      </w:r>
    </w:p>
    <w:p>
      <w:pPr>
        <w:spacing w:after="0" w:line="170"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w:t>
      </w:r>
      <w:r>
        <w:rPr>
          <w:rFonts w:ascii="MS PGothic" w:cs="MS PGothic" w:eastAsia="MS PGothic" w:hAnsi="MS PGothic"/>
          <w:sz w:val="16"/>
          <w:szCs w:val="16"/>
          <w:color w:val="auto"/>
        </w:rPr>
        <w:t>‑</w:t>
      </w:r>
      <w:r>
        <w:rPr>
          <w:rFonts w:ascii="Arial" w:cs="Arial" w:eastAsia="Arial" w:hAnsi="Arial"/>
          <w:sz w:val="16"/>
          <w:szCs w:val="16"/>
          <w:color w:val="auto"/>
        </w:rPr>
        <w:t>border imports from low</w:t>
      </w:r>
      <w:r>
        <w:rPr>
          <w:rFonts w:ascii="MS PGothic" w:cs="MS PGothic" w:eastAsia="MS PGothic" w:hAnsi="MS PGothic"/>
          <w:sz w:val="16"/>
          <w:szCs w:val="16"/>
          <w:color w:val="auto"/>
        </w:rPr>
        <w:t>‑</w:t>
      </w:r>
      <w:r>
        <w:rPr>
          <w:rFonts w:ascii="Arial" w:cs="Arial" w:eastAsia="Arial" w:hAnsi="Arial"/>
          <w:sz w:val="16"/>
          <w:szCs w:val="16"/>
          <w:color w:val="auto"/>
        </w:rPr>
        <w:t>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204" w:lineRule="exact"/>
        <w:rPr>
          <w:sz w:val="20"/>
          <w:szCs w:val="20"/>
          <w:color w:val="auto"/>
        </w:rPr>
      </w:pPr>
    </w:p>
    <w:p>
      <w:pPr>
        <w:ind w:left="160" w:right="339" w:firstLine="646"/>
        <w:spacing w:after="0" w:line="218" w:lineRule="exact"/>
        <w:rPr>
          <w:sz w:val="20"/>
          <w:szCs w:val="20"/>
          <w:color w:val="auto"/>
        </w:rPr>
      </w:pPr>
      <w:r>
        <w:rPr>
          <w:rFonts w:ascii="Arial" w:cs="Arial" w:eastAsia="Arial" w:hAnsi="Arial"/>
          <w:sz w:val="16"/>
          <w:szCs w:val="16"/>
          <w:color w:val="auto"/>
        </w:rPr>
        <w:t>The marketability of any products for which we receive regulatory approval for commercial sale may suffer if the government and third</w:t>
      </w:r>
      <w:r>
        <w:rPr>
          <w:rFonts w:ascii="MS PGothic" w:cs="MS PGothic" w:eastAsia="MS PGothic" w:hAnsi="MS PGothic"/>
          <w:sz w:val="16"/>
          <w:szCs w:val="16"/>
          <w:color w:val="auto"/>
        </w:rPr>
        <w:t>‑</w:t>
      </w:r>
      <w:r>
        <w:rPr>
          <w:rFonts w:ascii="Arial" w:cs="Arial" w:eastAsia="Arial" w:hAnsi="Arial"/>
          <w:sz w:val="16"/>
          <w:szCs w:val="16"/>
          <w:color w:val="auto"/>
        </w:rPr>
        <w:t>party payors fail to provide adequate coverage and reimbursement. In addition, an increasing emphasis on managed care in the United States has increased and we expect will continue to increase the pressure on drug pricing. Coverage policies,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New legislation and regulations</w:t>
      </w:r>
    </w:p>
    <w:p>
      <w:pPr>
        <w:spacing w:after="0" w:line="228" w:lineRule="exact"/>
        <w:rPr>
          <w:sz w:val="20"/>
          <w:szCs w:val="20"/>
          <w:color w:val="auto"/>
        </w:rPr>
      </w:pPr>
    </w:p>
    <w:p>
      <w:pPr>
        <w:jc w:val="both"/>
        <w:ind w:left="160" w:right="139" w:firstLine="646"/>
        <w:spacing w:after="0" w:line="253" w:lineRule="auto"/>
        <w:rPr>
          <w:sz w:val="20"/>
          <w:szCs w:val="20"/>
          <w:color w:val="auto"/>
        </w:rPr>
      </w:pPr>
      <w:r>
        <w:rPr>
          <w:rFonts w:ascii="Arial" w:cs="Arial" w:eastAsia="Arial" w:hAnsi="Arial"/>
          <w:sz w:val="18"/>
          <w:szCs w:val="18"/>
          <w:color w:val="auto"/>
        </w:rPr>
        <w:t>From time to time, legislation is drafted, introduced and passed in the United States Congress that could significantly change the statutory provisions governing the testing, approval, manufacturing and marketing of pharmaceutical products. For example, in December 2016, Congress enacted and President Obama signed into law the 21</w:t>
      </w:r>
      <w:r>
        <w:rPr>
          <w:rFonts w:ascii="Arial" w:cs="Arial" w:eastAsia="Arial" w:hAnsi="Arial"/>
          <w:sz w:val="8"/>
          <w:szCs w:val="8"/>
          <w:color w:val="auto"/>
        </w:rPr>
        <w:t>st</w:t>
      </w:r>
      <w:r>
        <w:rPr>
          <w:rFonts w:ascii="Arial" w:cs="Arial" w:eastAsia="Arial" w:hAnsi="Arial"/>
          <w:sz w:val="18"/>
          <w:szCs w:val="18"/>
          <w:color w:val="auto"/>
        </w:rPr>
        <w:t xml:space="preserve"> Century Cures Act, that amends a number of sections of the FDCA, including provisions related to medical device approval.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changed or what the effect of such changes, if any, may be.</w:t>
      </w:r>
    </w:p>
    <w:p>
      <w:pPr>
        <w:spacing w:after="0" w:line="192" w:lineRule="exact"/>
        <w:rPr>
          <w:sz w:val="20"/>
          <w:szCs w:val="20"/>
          <w:color w:val="auto"/>
        </w:rPr>
      </w:pPr>
    </w:p>
    <w:p>
      <w:pPr>
        <w:ind w:left="160" w:right="159"/>
        <w:spacing w:after="0" w:line="286" w:lineRule="auto"/>
        <w:rPr>
          <w:sz w:val="20"/>
          <w:szCs w:val="20"/>
          <w:color w:val="auto"/>
        </w:rPr>
      </w:pPr>
      <w:r>
        <w:rPr>
          <w:rFonts w:ascii="Arial" w:cs="Arial" w:eastAsia="Arial" w:hAnsi="Arial"/>
          <w:sz w:val="16"/>
          <w:szCs w:val="16"/>
          <w:color w:val="auto"/>
        </w:rPr>
        <w:t>The United States and state governments also continue to propose and pass legislation designed to reduce the cost of healthcare. For example, in March 2010, Congress enacted the Patient Protection and Affordable Care Act and the Health Care and Education Reconciliation Act (the Healthcare Reform Act) which includes changes to the coverage and reimbursement of drug products under government health care programs, including increased rebates for drugs dispensed to Medicaid beneficiaries, extension of such Medicaid rebates to Medicaid managed care plans, mandatory discounts for certain Medicare Part D beneficiaries and annual fees based on pharmaceutical companies’ share of sales to federal health care programs. Modifications to or repeal of all or certain provisions of the Healthcare Reform Act are expected as a result of the outcome of the recent presidential election and Republicans maintaining control of Congress, consistent with statements made by Donald Trump and members of Congress during the presidential campaign and following the election. We cannot predict the ultimate content, timing or effect of any changes to the Healthcare Reform Act or other federal and state reform efforts. There is no assurance that federal or state health care reform will not adversely affect our future business and financial results.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EMPLOYEES</w:t>
      </w:r>
    </w:p>
    <w:p>
      <w:pPr>
        <w:spacing w:after="0" w:line="228" w:lineRule="exact"/>
        <w:rPr>
          <w:sz w:val="20"/>
          <w:szCs w:val="20"/>
          <w:color w:val="auto"/>
        </w:rPr>
      </w:pPr>
    </w:p>
    <w:p>
      <w:pPr>
        <w:ind w:left="160" w:right="159" w:firstLine="646"/>
        <w:spacing w:after="0" w:line="219" w:lineRule="exact"/>
        <w:rPr>
          <w:sz w:val="20"/>
          <w:szCs w:val="20"/>
          <w:color w:val="auto"/>
        </w:rPr>
      </w:pPr>
      <w:r>
        <w:rPr>
          <w:rFonts w:ascii="Arial" w:cs="Arial" w:eastAsia="Arial" w:hAnsi="Arial"/>
          <w:sz w:val="18"/>
          <w:szCs w:val="18"/>
          <w:color w:val="auto"/>
        </w:rPr>
        <w:t>As of March 15, 2017, we had 32 full</w:t>
      </w:r>
      <w:r>
        <w:rPr>
          <w:rFonts w:ascii="MS PGothic" w:cs="MS PGothic" w:eastAsia="MS PGothic" w:hAnsi="MS PGothic"/>
          <w:sz w:val="18"/>
          <w:szCs w:val="18"/>
          <w:color w:val="auto"/>
        </w:rPr>
        <w:t>‑</w:t>
      </w:r>
      <w:r>
        <w:rPr>
          <w:rFonts w:ascii="Arial" w:cs="Arial" w:eastAsia="Arial" w:hAnsi="Arial"/>
          <w:sz w:val="18"/>
          <w:szCs w:val="18"/>
          <w:color w:val="auto"/>
        </w:rPr>
        <w:t>time equivalent employees, including a total of 6 employees with M.D. or Ph.D. degrees. Of these full</w:t>
      </w:r>
      <w:r>
        <w:rPr>
          <w:rFonts w:ascii="MS PGothic" w:cs="MS PGothic" w:eastAsia="MS PGothic" w:hAnsi="MS PGothic"/>
          <w:sz w:val="18"/>
          <w:szCs w:val="18"/>
          <w:color w:val="auto"/>
        </w:rPr>
        <w:t>‑</w:t>
      </w:r>
      <w:r>
        <w:rPr>
          <w:rFonts w:ascii="Arial" w:cs="Arial" w:eastAsia="Arial" w:hAnsi="Arial"/>
          <w:sz w:val="18"/>
          <w:szCs w:val="18"/>
          <w:color w:val="auto"/>
        </w:rPr>
        <w:t>time employees, 18 employees are engaged in research and development activities. None of our employees is represented by a labor union or covered by a collective bargaining agreement. We consider our relationship with our employees to be good.</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BUSINESS—EXECUTIVE OFFICERS OF THE REGISTRANT</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sets forth the name, age and position of each of our executive officers as of March 15, 2017.</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Age</w:t>
            </w:r>
          </w:p>
        </w:tc>
        <w:tc>
          <w:tcPr>
            <w:tcW w:w="140" w:type="dxa"/>
            <w:vAlign w:val="bottom"/>
          </w:tcPr>
          <w:p>
            <w:pPr>
              <w:spacing w:after="0"/>
              <w:rPr>
                <w:sz w:val="14"/>
                <w:szCs w:val="14"/>
                <w:color w:val="auto"/>
              </w:rPr>
            </w:pPr>
          </w:p>
        </w:tc>
        <w:tc>
          <w:tcPr>
            <w:tcW w:w="2940" w:type="dxa"/>
            <w:vAlign w:val="bottom"/>
            <w:gridSpan w:val="2"/>
          </w:tcPr>
          <w:p>
            <w:pPr>
              <w:ind w:left="11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Forrester</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Daniel Paterson</w:t>
            </w: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3080" w:type="dxa"/>
            <w:vAlign w:val="bottom"/>
            <w:gridSpan w:val="3"/>
          </w:tcPr>
          <w:p>
            <w:pPr>
              <w:ind w:left="140"/>
              <w:spacing w:after="0"/>
              <w:rPr>
                <w:sz w:val="20"/>
                <w:szCs w:val="20"/>
                <w:color w:val="auto"/>
              </w:rPr>
            </w:pPr>
            <w:r>
              <w:rPr>
                <w:rFonts w:ascii="Arial" w:cs="Arial" w:eastAsia="Arial" w:hAnsi="Arial"/>
                <w:sz w:val="18"/>
                <w:szCs w:val="18"/>
                <w:color w:val="auto"/>
              </w:rPr>
              <w:t>Chief Operating Officer</w:t>
            </w:r>
          </w:p>
        </w:tc>
      </w:tr>
    </w:tbl>
    <w:p>
      <w:pPr>
        <w:spacing w:after="0" w:line="375" w:lineRule="exact"/>
        <w:rPr>
          <w:sz w:val="20"/>
          <w:szCs w:val="20"/>
          <w:color w:val="auto"/>
        </w:rPr>
      </w:pPr>
    </w:p>
    <w:p>
      <w:pPr>
        <w:ind w:left="160" w:right="179" w:firstLine="646"/>
        <w:spacing w:after="0" w:line="290" w:lineRule="auto"/>
        <w:rPr>
          <w:sz w:val="20"/>
          <w:szCs w:val="20"/>
          <w:color w:val="auto"/>
        </w:rPr>
      </w:pPr>
      <w:r>
        <w:rPr>
          <w:rFonts w:ascii="Arial" w:cs="Arial" w:eastAsia="Arial" w:hAnsi="Arial"/>
          <w:sz w:val="16"/>
          <w:szCs w:val="16"/>
          <w:i w:val="1"/>
          <w:iCs w:val="1"/>
          <w:color w:val="auto"/>
        </w:rPr>
        <w:t xml:space="preserve">Robert Forrester </w:t>
      </w:r>
      <w:r>
        <w:rPr>
          <w:rFonts w:ascii="Arial" w:cs="Arial" w:eastAsia="Arial" w:hAnsi="Arial"/>
          <w:sz w:val="16"/>
          <w:szCs w:val="16"/>
          <w:color w:val="auto"/>
        </w:rPr>
        <w:t>has served has served as our Chief Executive Officer since July 2013, as our Chief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from March 2011 until July 2013 and our President since January 2013. Mr. Forrester has previously held executive level positions at both private and public life sciences companies. Prior to joining us, Mr. Forrester served as Chief Operating Officer of Forma Therapeutics, Inc. from 2010 until 2011. Previously he served as Interim President and Chief Executive Officer of CombinatoRx, Inc. from 2009 until 2010 and as its Executive Vice President and Chief Financial Officer from 2004 to 2009. Mr. Forrester served as Senior Vice President, Finance and Corporate Development at Coley Pharmaceuticals Group, Inc. from 2000 to 2003. He earned his LL.B. from Bristol University in England.</w:t>
      </w:r>
    </w:p>
    <w:p>
      <w:pPr>
        <w:spacing w:after="0" w:line="166" w:lineRule="exact"/>
        <w:rPr>
          <w:sz w:val="20"/>
          <w:szCs w:val="20"/>
          <w:color w:val="auto"/>
        </w:rPr>
      </w:pPr>
    </w:p>
    <w:p>
      <w:pPr>
        <w:ind w:left="160" w:right="339" w:firstLine="646"/>
        <w:spacing w:after="0" w:line="218" w:lineRule="exact"/>
        <w:rPr>
          <w:sz w:val="20"/>
          <w:szCs w:val="20"/>
          <w:color w:val="auto"/>
        </w:rPr>
      </w:pPr>
      <w:r>
        <w:rPr>
          <w:rFonts w:ascii="Arial" w:cs="Arial" w:eastAsia="Arial" w:hAnsi="Arial"/>
          <w:sz w:val="17"/>
          <w:szCs w:val="17"/>
          <w:i w:val="1"/>
          <w:iCs w:val="1"/>
          <w:color w:val="auto"/>
        </w:rPr>
        <w:t xml:space="preserve">Daniel Paterson </w:t>
      </w:r>
      <w:r>
        <w:rPr>
          <w:rFonts w:ascii="Arial" w:cs="Arial" w:eastAsia="Arial" w:hAnsi="Arial"/>
          <w:sz w:val="17"/>
          <w:szCs w:val="17"/>
          <w:color w:val="auto"/>
        </w:rPr>
        <w:t>has served as our Chief Operating Officer since December 2014, our Chief Business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2013 to December 2014 and as our Vice President, Head of Corporate Development and Diagnostics from March 2012 until July 2013. Prior to joining us, Mr. Paterson was a consultant in 2011 until joining us in 2012. From 2009 through 2010, Mr. Paterson was the COO of On</w:t>
      </w:r>
      <w:r>
        <w:rPr>
          <w:rFonts w:ascii="MS PGothic" w:cs="MS PGothic" w:eastAsia="MS PGothic" w:hAnsi="MS PGothic"/>
          <w:sz w:val="17"/>
          <w:szCs w:val="17"/>
          <w:color w:val="auto"/>
        </w:rPr>
        <w:t>‑</w:t>
      </w:r>
      <w:r>
        <w:rPr>
          <w:rFonts w:ascii="Arial" w:cs="Arial" w:eastAsia="Arial" w:hAnsi="Arial"/>
          <w:sz w:val="17"/>
          <w:szCs w:val="17"/>
          <w:color w:val="auto"/>
        </w:rPr>
        <w:t>Q</w:t>
      </w:r>
      <w:r>
        <w:rPr>
          <w:rFonts w:ascii="MS PGothic" w:cs="MS PGothic" w:eastAsia="MS PGothic" w:hAnsi="MS PGothic"/>
          <w:sz w:val="17"/>
          <w:szCs w:val="17"/>
          <w:color w:val="auto"/>
        </w:rPr>
        <w:t>‑</w:t>
      </w:r>
      <w:r>
        <w:rPr>
          <w:rFonts w:ascii="Arial" w:cs="Arial" w:eastAsia="Arial" w:hAnsi="Arial"/>
          <w:sz w:val="17"/>
          <w:szCs w:val="17"/>
          <w:color w:val="auto"/>
        </w:rPr>
        <w:t>ity. Mr. Paterson was the President and CEO of The DNA Repair Company from 2006 until 2009, when it was acquired by On</w:t>
      </w:r>
      <w:r>
        <w:rPr>
          <w:rFonts w:ascii="MS PGothic" w:cs="MS PGothic" w:eastAsia="MS PGothic" w:hAnsi="MS PGothic"/>
          <w:sz w:val="17"/>
          <w:szCs w:val="17"/>
          <w:color w:val="auto"/>
        </w:rPr>
        <w:t>‑</w:t>
      </w:r>
      <w:r>
        <w:rPr>
          <w:rFonts w:ascii="Arial" w:cs="Arial" w:eastAsia="Arial" w:hAnsi="Arial"/>
          <w:sz w:val="17"/>
          <w:szCs w:val="17"/>
          <w:color w:val="auto"/>
        </w:rPr>
        <w:t>Q</w:t>
      </w:r>
      <w:r>
        <w:rPr>
          <w:rFonts w:ascii="MS PGothic" w:cs="MS PGothic" w:eastAsia="MS PGothic" w:hAnsi="MS PGothic"/>
          <w:sz w:val="17"/>
          <w:szCs w:val="17"/>
          <w:color w:val="auto"/>
        </w:rPr>
        <w:t>‑</w:t>
      </w:r>
      <w:r>
        <w:rPr>
          <w:rFonts w:ascii="Arial" w:cs="Arial" w:eastAsia="Arial" w:hAnsi="Arial"/>
          <w:sz w:val="17"/>
          <w:szCs w:val="17"/>
          <w:color w:val="auto"/>
        </w:rPr>
        <w:t>ity. Previously, he held senior level positions at IMS Health, CareTools, OnCare and Axion.</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CORPORATE INFORMATION</w:t>
      </w:r>
    </w:p>
    <w:p>
      <w:pPr>
        <w:spacing w:after="0" w:line="228" w:lineRule="exact"/>
        <w:rPr>
          <w:sz w:val="20"/>
          <w:szCs w:val="20"/>
          <w:color w:val="auto"/>
        </w:rPr>
      </w:pPr>
    </w:p>
    <w:p>
      <w:pPr>
        <w:ind w:left="160" w:right="299" w:firstLine="646"/>
        <w:spacing w:after="0" w:line="220" w:lineRule="exact"/>
        <w:rPr>
          <w:sz w:val="20"/>
          <w:szCs w:val="20"/>
          <w:color w:val="auto"/>
        </w:rPr>
      </w:pPr>
      <w:r>
        <w:rPr>
          <w:rFonts w:ascii="Arial" w:cs="Arial" w:eastAsia="Arial" w:hAnsi="Arial"/>
          <w:sz w:val="18"/>
          <w:szCs w:val="18"/>
          <w:color w:val="auto"/>
        </w:rPr>
        <w:t>We were incorporated under the laws of the State of Delaware in August 2010. Our principal executive offices are located at 117 Kendrick Street, Suite 500, Needham, Massachusetts 02494 and our telephone number is (781) 292</w:t>
      </w:r>
      <w:r>
        <w:rPr>
          <w:rFonts w:ascii="MS PGothic" w:cs="MS PGothic" w:eastAsia="MS PGothic" w:hAnsi="MS PGothic"/>
          <w:sz w:val="18"/>
          <w:szCs w:val="18"/>
          <w:color w:val="auto"/>
        </w:rPr>
        <w:t>‑</w:t>
      </w:r>
      <w:r>
        <w:rPr>
          <w:rFonts w:ascii="Arial" w:cs="Arial" w:eastAsia="Arial" w:hAnsi="Arial"/>
          <w:sz w:val="18"/>
          <w:szCs w:val="18"/>
          <w:color w:val="auto"/>
        </w:rPr>
        <w:t>4200.</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INFORMATION</w:t>
      </w:r>
    </w:p>
    <w:p>
      <w:pPr>
        <w:spacing w:after="0" w:line="228" w:lineRule="exact"/>
        <w:rPr>
          <w:sz w:val="20"/>
          <w:szCs w:val="20"/>
          <w:color w:val="auto"/>
        </w:rPr>
      </w:pPr>
    </w:p>
    <w:p>
      <w:pPr>
        <w:ind w:left="160" w:right="139" w:firstLine="646"/>
        <w:spacing w:after="0" w:line="217" w:lineRule="exact"/>
        <w:rPr>
          <w:sz w:val="20"/>
          <w:szCs w:val="20"/>
          <w:color w:val="auto"/>
        </w:rPr>
      </w:pPr>
      <w:r>
        <w:rPr>
          <w:rFonts w:ascii="Arial" w:cs="Arial" w:eastAsia="Arial" w:hAnsi="Arial"/>
          <w:sz w:val="16"/>
          <w:szCs w:val="16"/>
          <w:color w:val="auto"/>
        </w:rPr>
        <w:t>We maintain a website at www.verastem.com. We make available, free of charge on our website,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all amendments to those reports filed or furnished pursuant to Section 13(a) or 15(d) of the Securities Exchange Act of 1934, as amended (the Exchange Act) as soon as reasonably practicable after we electronically file those reports with, or furnish them to, the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1A. Risk Factors.</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LICENSE AGREEMENT WITH INFINITY</w:t>
      </w:r>
    </w:p>
    <w:p>
      <w:pPr>
        <w:spacing w:after="0" w:line="228" w:lineRule="exact"/>
        <w:rPr>
          <w:sz w:val="20"/>
          <w:szCs w:val="20"/>
          <w:color w:val="auto"/>
        </w:rPr>
      </w:pPr>
    </w:p>
    <w:p>
      <w:pPr>
        <w:ind w:left="160" w:right="579"/>
        <w:spacing w:after="0" w:line="276" w:lineRule="auto"/>
        <w:rPr>
          <w:sz w:val="20"/>
          <w:szCs w:val="20"/>
          <w:color w:val="auto"/>
        </w:rPr>
      </w:pPr>
      <w:r>
        <w:rPr>
          <w:rFonts w:ascii="Arial" w:cs="Arial" w:eastAsia="Arial" w:hAnsi="Arial"/>
          <w:sz w:val="18"/>
          <w:szCs w:val="18"/>
          <w:b w:val="1"/>
          <w:bCs w:val="1"/>
          <w:i w:val="1"/>
          <w:iCs w:val="1"/>
          <w:color w:val="auto"/>
        </w:rPr>
        <w:t>If we do not realize the anticipated benefits of our license agreement with Infinity for the duvelisib program, our business could be adversely affected.</w:t>
      </w:r>
    </w:p>
    <w:p>
      <w:pPr>
        <w:spacing w:after="0" w:line="170" w:lineRule="exact"/>
        <w:rPr>
          <w:sz w:val="20"/>
          <w:szCs w:val="20"/>
          <w:color w:val="auto"/>
        </w:rPr>
      </w:pPr>
    </w:p>
    <w:p>
      <w:pPr>
        <w:ind w:left="160" w:right="159" w:firstLine="646"/>
        <w:spacing w:after="0" w:line="285" w:lineRule="auto"/>
        <w:rPr>
          <w:sz w:val="20"/>
          <w:szCs w:val="20"/>
          <w:color w:val="auto"/>
        </w:rPr>
      </w:pPr>
      <w:r>
        <w:rPr>
          <w:rFonts w:ascii="Arial" w:cs="Arial" w:eastAsia="Arial" w:hAnsi="Arial"/>
          <w:sz w:val="17"/>
          <w:szCs w:val="17"/>
          <w:color w:val="auto"/>
        </w:rPr>
        <w:t>Our license agreement with Infinity for the duvelisib program may fail to further our business strategy as anticipated or to achieve anticipated benefits and success. We may make or have made assumptions relating to the impact of the acquisition of the duvelisib program on our financial results relating to numerous matters, including:</w:t>
      </w:r>
    </w:p>
    <w:p>
      <w:pPr>
        <w:spacing w:after="0" w:line="57" w:lineRule="exact"/>
        <w:rPr>
          <w:sz w:val="20"/>
          <w:szCs w:val="20"/>
          <w:color w:val="auto"/>
        </w:rPr>
      </w:pPr>
    </w:p>
    <w:p>
      <w:pPr>
        <w:ind w:left="680" w:hanging="207"/>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transaction and integration costs;</w:t>
      </w:r>
    </w:p>
    <w:p>
      <w:pPr>
        <w:spacing w:after="0" w:line="116" w:lineRule="exact"/>
        <w:rPr>
          <w:rFonts w:ascii="Arial" w:cs="Arial" w:eastAsia="Arial" w:hAnsi="Arial"/>
          <w:sz w:val="18"/>
          <w:szCs w:val="18"/>
          <w:color w:val="auto"/>
        </w:rPr>
      </w:pPr>
    </w:p>
    <w:p>
      <w:pPr>
        <w:ind w:left="580" w:hanging="10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development and commercialization of duvelisib products; and</w:t>
      </w:r>
    </w:p>
    <w:p>
      <w:pPr>
        <w:spacing w:after="0" w:line="116" w:lineRule="exact"/>
        <w:rPr>
          <w:rFonts w:ascii="Arial" w:cs="Arial" w:eastAsia="Arial" w:hAnsi="Arial"/>
          <w:sz w:val="18"/>
          <w:szCs w:val="18"/>
          <w:color w:val="auto"/>
        </w:rPr>
      </w:pPr>
    </w:p>
    <w:p>
      <w:pPr>
        <w:ind w:left="560" w:hanging="87"/>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financial and strategic risks related to the license agreement with Infinity.</w:t>
      </w:r>
    </w:p>
    <w:p>
      <w:pPr>
        <w:spacing w:after="0" w:line="116" w:lineRule="exact"/>
        <w:rPr>
          <w:sz w:val="20"/>
          <w:szCs w:val="20"/>
          <w:color w:val="auto"/>
        </w:rPr>
      </w:pPr>
    </w:p>
    <w:p>
      <w:pPr>
        <w:ind w:left="160" w:right="239" w:firstLine="646"/>
        <w:spacing w:after="0" w:line="272" w:lineRule="auto"/>
        <w:rPr>
          <w:sz w:val="20"/>
          <w:szCs w:val="20"/>
          <w:color w:val="auto"/>
        </w:rPr>
      </w:pPr>
      <w:r>
        <w:rPr>
          <w:rFonts w:ascii="Arial" w:cs="Arial" w:eastAsia="Arial" w:hAnsi="Arial"/>
          <w:sz w:val="17"/>
          <w:szCs w:val="17"/>
          <w:color w:val="auto"/>
        </w:rPr>
        <w:t>Further, we may incur higher than expected operating, transaction and integration costs, and we may encounter general economic and business conditions that adversely affect us relating to our license agreement with Infinity. If one or more of these assumptions are incorrect, it could have an adverse effect on our business and operating results, and the benefits from our license agreement with Infinity for the duvelisib program may not be realized or be of the magnitude expected. For instance, if the results of the DUO study fail to meet certain pre-specified criteria we may not be able to receive regulatory approval of duvelisib.</w:t>
      </w:r>
    </w:p>
    <w:p>
      <w:pPr>
        <w:spacing w:after="0" w:line="174" w:lineRule="exact"/>
        <w:rPr>
          <w:sz w:val="20"/>
          <w:szCs w:val="20"/>
          <w:color w:val="auto"/>
        </w:rPr>
      </w:pPr>
    </w:p>
    <w:p>
      <w:pPr>
        <w:ind w:left="160" w:right="819"/>
        <w:spacing w:after="0" w:line="280" w:lineRule="auto"/>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67" w:lineRule="exact"/>
        <w:rPr>
          <w:sz w:val="20"/>
          <w:szCs w:val="20"/>
          <w:color w:val="auto"/>
        </w:rPr>
      </w:pPr>
    </w:p>
    <w:p>
      <w:pPr>
        <w:ind w:left="160" w:right="159"/>
        <w:spacing w:after="0" w:line="300" w:lineRule="auto"/>
        <w:rPr>
          <w:sz w:val="20"/>
          <w:szCs w:val="20"/>
          <w:color w:val="auto"/>
        </w:rPr>
      </w:pPr>
      <w:r>
        <w:rPr>
          <w:rFonts w:ascii="Arial" w:cs="Arial" w:eastAsia="Arial" w:hAnsi="Arial"/>
          <w:sz w:val="16"/>
          <w:szCs w:val="16"/>
          <w:b w:val="1"/>
          <w:bCs w:val="1"/>
          <w:i w:val="1"/>
          <w:iCs w:val="1"/>
          <w:color w:val="auto"/>
        </w:rPr>
        <w:t>Preclinical testing and clinical trials of our product candidates may not be successful. In the near term, we are dependent on the success of our PI3K inhibitor program. If we are unable to complete the clinical development of, obtain marketing approval for or successfully commercialize duvelisib, or any of our other product candidates or if we experience significant delays in doing so, our business will be materially harmed.</w:t>
      </w:r>
    </w:p>
    <w:p>
      <w:pPr>
        <w:spacing w:after="0" w:line="157" w:lineRule="exact"/>
        <w:rPr>
          <w:sz w:val="20"/>
          <w:szCs w:val="20"/>
          <w:color w:val="auto"/>
        </w:rPr>
      </w:pPr>
    </w:p>
    <w:p>
      <w:pPr>
        <w:ind w:left="160" w:right="219" w:firstLine="646"/>
        <w:spacing w:after="0" w:line="256" w:lineRule="auto"/>
        <w:rPr>
          <w:sz w:val="20"/>
          <w:szCs w:val="20"/>
          <w:color w:val="auto"/>
        </w:rPr>
      </w:pPr>
      <w:r>
        <w:rPr>
          <w:rFonts w:ascii="Arial" w:cs="Arial" w:eastAsia="Arial" w:hAnsi="Arial"/>
          <w:sz w:val="18"/>
          <w:szCs w:val="18"/>
          <w:color w:val="auto"/>
        </w:rPr>
        <w:t>We have invested a significant portion of our efforts and financial resources in the research and development of our product candidates, including duvelisib and defactinib, for which we are conducting clinical trials in multiple indications. Our ability to generate product revenues will depend heavily on the successful development and potential commercialization of our product candidates. The success of our product candidates will depend on several factors, including the following:</w:t>
      </w:r>
    </w:p>
    <w:p>
      <w:pPr>
        <w:spacing w:after="0" w:line="188" w:lineRule="exact"/>
        <w:rPr>
          <w:sz w:val="20"/>
          <w:szCs w:val="20"/>
          <w:color w:val="auto"/>
        </w:rPr>
      </w:pPr>
    </w:p>
    <w:p>
      <w:pPr>
        <w:ind w:left="580" w:hanging="107"/>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initiation and successful enrollment and completion of our clinical trials;</w:t>
      </w:r>
    </w:p>
    <w:p>
      <w:pPr>
        <w:spacing w:after="0" w:line="116" w:lineRule="exact"/>
        <w:rPr>
          <w:rFonts w:ascii="Arial" w:cs="Arial" w:eastAsia="Arial" w:hAnsi="Arial"/>
          <w:sz w:val="18"/>
          <w:szCs w:val="18"/>
          <w:color w:val="auto"/>
        </w:rPr>
      </w:pPr>
    </w:p>
    <w:p>
      <w:pPr>
        <w:ind w:left="560" w:right="159" w:hanging="87"/>
        <w:spacing w:after="0" w:line="276"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marketing approvals from the U.S. Food and Drug Administration (FDA) and other regulatory authorities for our product candidates, including pricing approvals where required;</w:t>
      </w:r>
    </w:p>
    <w:p>
      <w:pPr>
        <w:spacing w:after="0" w:line="62" w:lineRule="exact"/>
        <w:rPr>
          <w:rFonts w:ascii="Arial" w:cs="Arial" w:eastAsia="Arial" w:hAnsi="Arial"/>
          <w:sz w:val="18"/>
          <w:szCs w:val="18"/>
          <w:color w:val="auto"/>
        </w:rPr>
      </w:pPr>
    </w:p>
    <w:p>
      <w:pPr>
        <w:ind w:left="560" w:hanging="87"/>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127" w:lineRule="exact"/>
        <w:rPr>
          <w:rFonts w:ascii="Arial" w:cs="Arial" w:eastAsia="Arial" w:hAnsi="Arial"/>
          <w:sz w:val="17"/>
          <w:szCs w:val="17"/>
          <w:color w:val="auto"/>
        </w:rPr>
      </w:pPr>
    </w:p>
    <w:p>
      <w:pPr>
        <w:ind w:left="560" w:hanging="87"/>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and regulatory exclusivity for our product candidates;</w:t>
      </w:r>
    </w:p>
    <w:p>
      <w:pPr>
        <w:spacing w:after="0" w:line="139" w:lineRule="exact"/>
        <w:rPr>
          <w:rFonts w:ascii="Arial" w:cs="Arial" w:eastAsia="Arial" w:hAnsi="Arial"/>
          <w:sz w:val="16"/>
          <w:szCs w:val="16"/>
          <w:color w:val="auto"/>
        </w:rPr>
      </w:pPr>
    </w:p>
    <w:p>
      <w:pPr>
        <w:ind w:left="560" w:right="199" w:hanging="87"/>
        <w:spacing w:after="0" w:line="276"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capabilities, including hiring and training a sales force, and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560" w:hanging="87"/>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acceptance of the products, if and when approved, by patients, the medical community and third-party payors;</w:t>
      </w:r>
    </w:p>
    <w:p>
      <w:pPr>
        <w:spacing w:after="0" w:line="127" w:lineRule="exact"/>
        <w:rPr>
          <w:rFonts w:ascii="Arial" w:cs="Arial" w:eastAsia="Arial" w:hAnsi="Arial"/>
          <w:sz w:val="17"/>
          <w:szCs w:val="17"/>
          <w:color w:val="auto"/>
        </w:rPr>
      </w:pPr>
    </w:p>
    <w:p>
      <w:pPr>
        <w:ind w:left="620" w:hanging="14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6" w:lineRule="exact"/>
        <w:rPr>
          <w:rFonts w:ascii="Arial" w:cs="Arial" w:eastAsia="Arial" w:hAnsi="Arial"/>
          <w:sz w:val="18"/>
          <w:szCs w:val="18"/>
          <w:color w:val="auto"/>
        </w:rPr>
      </w:pPr>
    </w:p>
    <w:p>
      <w:pPr>
        <w:ind w:left="580" w:hanging="107"/>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continued acceptable safety profile of the products following approval.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79" w:firstLine="646"/>
        <w:spacing w:after="0" w:line="256" w:lineRule="auto"/>
        <w:rPr>
          <w:sz w:val="20"/>
          <w:szCs w:val="20"/>
          <w:color w:val="auto"/>
        </w:rPr>
      </w:pPr>
      <w:r>
        <w:rPr>
          <w:rFonts w:ascii="Arial" w:cs="Arial" w:eastAsia="Arial" w:hAnsi="Arial"/>
          <w:sz w:val="18"/>
          <w:szCs w:val="18"/>
          <w:color w:val="auto"/>
        </w:rPr>
        <w:t>Many of these factors are beyond our control, including clinical development, the regulatory submission process, potential threats to our intellectual property rights and the manufacturing, marketing and sales efforts of any collaborator. If we do not achieve one or more of these factors in a timely manner or at all, we could experience significant delays or an inability to successfully commercialize our product candidates, which would materially harm our business.</w:t>
      </w:r>
    </w:p>
    <w:p>
      <w:pPr>
        <w:spacing w:after="0" w:line="188" w:lineRule="exact"/>
        <w:rPr>
          <w:sz w:val="20"/>
          <w:szCs w:val="20"/>
          <w:color w:val="auto"/>
        </w:rPr>
      </w:pPr>
    </w:p>
    <w:p>
      <w:pPr>
        <w:ind w:left="160" w:right="359"/>
        <w:spacing w:after="0" w:line="339" w:lineRule="auto"/>
        <w:rPr>
          <w:sz w:val="20"/>
          <w:szCs w:val="20"/>
          <w:color w:val="auto"/>
        </w:rPr>
      </w:pPr>
      <w:r>
        <w:rPr>
          <w:rFonts w:ascii="Arial" w:cs="Arial" w:eastAsia="Arial" w:hAnsi="Arial"/>
          <w:sz w:val="15"/>
          <w:szCs w:val="15"/>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30" w:lineRule="exact"/>
        <w:rPr>
          <w:sz w:val="20"/>
          <w:szCs w:val="20"/>
          <w:color w:val="auto"/>
        </w:rPr>
      </w:pPr>
    </w:p>
    <w:p>
      <w:pPr>
        <w:ind w:left="160" w:right="179" w:firstLine="646"/>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a further review and analysis of this data may change the conclusions drawn from this unaudited data indicating less promising results than we currently anticipate.</w:t>
      </w:r>
    </w:p>
    <w:p>
      <w:pPr>
        <w:spacing w:after="0" w:line="166" w:lineRule="exact"/>
        <w:rPr>
          <w:sz w:val="20"/>
          <w:szCs w:val="20"/>
          <w:color w:val="auto"/>
        </w:rPr>
      </w:pPr>
    </w:p>
    <w:p>
      <w:pPr>
        <w:jc w:val="both"/>
        <w:ind w:left="160" w:right="219" w:firstLine="646"/>
        <w:spacing w:after="0" w:line="295" w:lineRule="auto"/>
        <w:rPr>
          <w:sz w:val="20"/>
          <w:szCs w:val="20"/>
          <w:color w:val="auto"/>
        </w:rPr>
      </w:pPr>
      <w:r>
        <w:rPr>
          <w:rFonts w:ascii="Arial" w:cs="Arial" w:eastAsia="Arial" w:hAnsi="Arial"/>
          <w:sz w:val="16"/>
          <w:szCs w:val="16"/>
          <w:color w:val="auto"/>
        </w:rPr>
        <w:t>In some instances,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and the rate of dropout among clinical trial participants. We do not know whether any Phase 2, Phase 3 or other clinical trial we may conduct will demonstrate consistent or adequate efficacy and safety sufficient to obtain regulatory approval to market our product candidates.</w:t>
      </w:r>
    </w:p>
    <w:p>
      <w:pPr>
        <w:spacing w:after="0" w:line="161" w:lineRule="exact"/>
        <w:rPr>
          <w:sz w:val="20"/>
          <w:szCs w:val="20"/>
          <w:color w:val="auto"/>
        </w:rPr>
      </w:pPr>
    </w:p>
    <w:p>
      <w:pPr>
        <w:ind w:left="160" w:right="199" w:firstLine="646"/>
        <w:spacing w:after="0" w:line="256" w:lineRule="auto"/>
        <w:rPr>
          <w:sz w:val="20"/>
          <w:szCs w:val="20"/>
          <w:color w:val="auto"/>
        </w:rPr>
      </w:pPr>
      <w:r>
        <w:rPr>
          <w:rFonts w:ascii="Arial" w:cs="Arial" w:eastAsia="Arial" w:hAnsi="Arial"/>
          <w:sz w:val="18"/>
          <w:szCs w:val="18"/>
          <w:color w:val="auto"/>
        </w:rPr>
        <w:t>In addition, the design of a clinical trial may determine whether its results will support approval of a product and flaws in the design of a clinical trial may not become apparent until the clinical trial is well advanced.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8" w:lineRule="exact"/>
        <w:rPr>
          <w:sz w:val="20"/>
          <w:szCs w:val="20"/>
          <w:color w:val="auto"/>
        </w:rPr>
      </w:pPr>
    </w:p>
    <w:p>
      <w:pPr>
        <w:ind w:left="160" w:right="319" w:firstLine="646"/>
        <w:spacing w:after="0" w:line="262" w:lineRule="auto"/>
        <w:rPr>
          <w:sz w:val="20"/>
          <w:szCs w:val="20"/>
          <w:color w:val="auto"/>
        </w:rPr>
      </w:pPr>
      <w:r>
        <w:rPr>
          <w:rFonts w:ascii="Arial" w:cs="Arial" w:eastAsia="Arial" w:hAnsi="Arial"/>
          <w:sz w:val="18"/>
          <w:szCs w:val="18"/>
          <w:color w:val="auto"/>
        </w:rPr>
        <w:t>A failure of one or more clinical trials could indicate a higher likelihood that subsequent clinical trials of the same product candidate in the same or other indications or subsequent clinical trials of other related product candidates will be unsuccessful for the same reasons as the unsuccessful clinical trials.</w:t>
      </w:r>
    </w:p>
    <w:p>
      <w:pPr>
        <w:spacing w:after="0" w:line="183" w:lineRule="exact"/>
        <w:rPr>
          <w:sz w:val="20"/>
          <w:szCs w:val="20"/>
          <w:color w:val="auto"/>
        </w:rPr>
      </w:pPr>
    </w:p>
    <w:p>
      <w:pPr>
        <w:ind w:left="160" w:right="619" w:firstLine="646"/>
        <w:spacing w:after="0" w:line="306"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our ability to receive marketing approval or commercialize our product candidates, including:</w:t>
      </w:r>
    </w:p>
    <w:p>
      <w:pPr>
        <w:spacing w:after="0" w:line="40" w:lineRule="exact"/>
        <w:rPr>
          <w:sz w:val="20"/>
          <w:szCs w:val="20"/>
          <w:color w:val="auto"/>
        </w:rPr>
      </w:pPr>
    </w:p>
    <w:p>
      <w:pPr>
        <w:ind w:left="560" w:right="379" w:hanging="87"/>
        <w:spacing w:after="0" w:line="276"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560" w:right="279" w:hanging="87"/>
        <w:spacing w:after="0" w:line="276"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delays in reaching or fail to reach agreement on clinical trial contracts or clinical trial protocols with prospective trial sites;</w:t>
      </w:r>
    </w:p>
    <w:p>
      <w:pPr>
        <w:spacing w:after="0" w:line="62" w:lineRule="exact"/>
        <w:rPr>
          <w:rFonts w:ascii="Arial" w:cs="Arial" w:eastAsia="Arial" w:hAnsi="Arial"/>
          <w:sz w:val="18"/>
          <w:szCs w:val="18"/>
          <w:color w:val="auto"/>
        </w:rPr>
      </w:pPr>
    </w:p>
    <w:p>
      <w:pPr>
        <w:ind w:left="560" w:right="659" w:hanging="87"/>
        <w:spacing w:after="0" w:line="340"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and we may decide, or regulators may require us, to conduct additional clinical trials or abandon product development programs;</w:t>
      </w:r>
    </w:p>
    <w:p>
      <w:pPr>
        <w:spacing w:after="0" w:line="17" w:lineRule="exact"/>
        <w:rPr>
          <w:rFonts w:ascii="Arial" w:cs="Arial" w:eastAsia="Arial" w:hAnsi="Arial"/>
          <w:sz w:val="16"/>
          <w:szCs w:val="16"/>
          <w:color w:val="auto"/>
        </w:rPr>
      </w:pPr>
    </w:p>
    <w:p>
      <w:pPr>
        <w:ind w:left="560" w:right="419" w:hanging="87"/>
        <w:spacing w:after="0" w:line="262"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75" w:lineRule="exact"/>
        <w:rPr>
          <w:rFonts w:ascii="Arial" w:cs="Arial" w:eastAsia="Arial" w:hAnsi="Arial"/>
          <w:sz w:val="18"/>
          <w:szCs w:val="18"/>
          <w:color w:val="auto"/>
        </w:rPr>
      </w:pPr>
    </w:p>
    <w:p>
      <w:pPr>
        <w:ind w:left="560" w:right="219" w:hanging="87"/>
        <w:spacing w:after="0" w:line="276"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560" w:right="159" w:hanging="87"/>
        <w:spacing w:after="0" w:line="262"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trials for various reasons, including noncompliance with regulatory requirements or a finding that the participants are being exposed to unacceptable health risks;</w:t>
      </w:r>
    </w:p>
    <w:p>
      <w:pPr>
        <w:spacing w:after="0" w:line="75" w:lineRule="exact"/>
        <w:rPr>
          <w:rFonts w:ascii="Arial" w:cs="Arial" w:eastAsia="Arial" w:hAnsi="Arial"/>
          <w:sz w:val="18"/>
          <w:szCs w:val="18"/>
          <w:color w:val="auto"/>
        </w:rPr>
      </w:pPr>
    </w:p>
    <w:p>
      <w:pPr>
        <w:ind w:left="560" w:hanging="87"/>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6" w:lineRule="exact"/>
        <w:rPr>
          <w:rFonts w:ascii="Arial" w:cs="Arial" w:eastAsia="Arial" w:hAnsi="Arial"/>
          <w:sz w:val="18"/>
          <w:szCs w:val="18"/>
          <w:color w:val="auto"/>
        </w:rPr>
      </w:pPr>
    </w:p>
    <w:p>
      <w:pPr>
        <w:ind w:left="560" w:right="219" w:hanging="87"/>
        <w:spacing w:after="0" w:line="276"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and</w:t>
      </w:r>
    </w:p>
    <w:p>
      <w:pPr>
        <w:spacing w:after="0" w:line="62" w:lineRule="exact"/>
        <w:rPr>
          <w:rFonts w:ascii="Arial" w:cs="Arial" w:eastAsia="Arial" w:hAnsi="Arial"/>
          <w:sz w:val="18"/>
          <w:szCs w:val="18"/>
          <w:color w:val="auto"/>
        </w:rPr>
      </w:pPr>
    </w:p>
    <w:p>
      <w:pPr>
        <w:ind w:left="560" w:right="519" w:hanging="87"/>
        <w:spacing w:after="0" w:line="306" w:lineRule="auto"/>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product candidates may have undesirable side effects or other unexpected characteristics, causing us or our investigators, regulators or institutional review boards to suspend or terminate the trials.</w:t>
      </w:r>
    </w:p>
    <w:p>
      <w:pPr>
        <w:spacing w:after="0" w:line="40" w:lineRule="exact"/>
        <w:rPr>
          <w:sz w:val="20"/>
          <w:szCs w:val="20"/>
          <w:color w:val="auto"/>
        </w:rPr>
      </w:pPr>
    </w:p>
    <w:p>
      <w:pPr>
        <w:ind w:left="160" w:right="219" w:firstLine="646"/>
        <w:spacing w:after="0" w:line="258"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9" w:lineRule="exact"/>
        <w:rPr>
          <w:sz w:val="20"/>
          <w:szCs w:val="20"/>
          <w:color w:val="auto"/>
        </w:rPr>
      </w:pPr>
    </w:p>
    <w:p>
      <w:pPr>
        <w:ind w:left="580" w:hanging="107"/>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6" w:lineRule="exact"/>
        <w:rPr>
          <w:rFonts w:ascii="Arial" w:cs="Arial" w:eastAsia="Arial" w:hAnsi="Arial"/>
          <w:sz w:val="18"/>
          <w:szCs w:val="18"/>
          <w:color w:val="auto"/>
        </w:rPr>
      </w:pPr>
    </w:p>
    <w:p>
      <w:pPr>
        <w:ind w:left="660" w:hanging="18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6" w:lineRule="exact"/>
        <w:rPr>
          <w:rFonts w:ascii="Arial" w:cs="Arial" w:eastAsia="Arial" w:hAnsi="Arial"/>
          <w:sz w:val="18"/>
          <w:szCs w:val="18"/>
          <w:color w:val="auto"/>
        </w:rPr>
      </w:pPr>
    </w:p>
    <w:p>
      <w:pPr>
        <w:ind w:left="560" w:hanging="8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Arial" w:cs="Arial" w:eastAsia="Arial" w:hAnsi="Arial"/>
          <w:sz w:val="18"/>
          <w:szCs w:val="18"/>
          <w:color w:val="auto"/>
        </w:rPr>
      </w:pPr>
    </w:p>
    <w:p>
      <w:pPr>
        <w:ind w:left="560" w:right="339" w:hanging="87"/>
        <w:spacing w:after="0" w:line="340"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including imposition and monitoring of a Risk Evaluation and Mitigation Strategy (REMS), or safety warnings, including boxed warnings;</w:t>
      </w:r>
    </w:p>
    <w:p>
      <w:pPr>
        <w:spacing w:after="0" w:line="17" w:lineRule="exact"/>
        <w:rPr>
          <w:rFonts w:ascii="Arial" w:cs="Arial" w:eastAsia="Arial" w:hAnsi="Arial"/>
          <w:sz w:val="16"/>
          <w:szCs w:val="16"/>
          <w:color w:val="auto"/>
        </w:rPr>
      </w:pPr>
    </w:p>
    <w:p>
      <w:pPr>
        <w:ind w:left="600" w:hanging="127"/>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 marketing testing requirements; or</w:t>
      </w:r>
    </w:p>
    <w:p>
      <w:pPr>
        <w:spacing w:after="0" w:line="116" w:lineRule="exact"/>
        <w:rPr>
          <w:rFonts w:ascii="Arial" w:cs="Arial" w:eastAsia="Arial" w:hAnsi="Arial"/>
          <w:sz w:val="18"/>
          <w:szCs w:val="18"/>
          <w:color w:val="auto"/>
        </w:rPr>
      </w:pPr>
    </w:p>
    <w:p>
      <w:pPr>
        <w:ind w:left="560" w:hanging="8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6" w:lineRule="exact"/>
        <w:rPr>
          <w:sz w:val="20"/>
          <w:szCs w:val="20"/>
          <w:color w:val="auto"/>
        </w:rPr>
      </w:pPr>
    </w:p>
    <w:p>
      <w:pPr>
        <w:ind w:left="160" w:right="159" w:firstLine="646"/>
        <w:spacing w:after="0" w:line="287" w:lineRule="auto"/>
        <w:rPr>
          <w:sz w:val="20"/>
          <w:szCs w:val="20"/>
          <w:color w:val="auto"/>
        </w:rPr>
      </w:pPr>
      <w:r>
        <w:rPr>
          <w:rFonts w:ascii="Arial" w:cs="Arial" w:eastAsia="Arial" w:hAnsi="Arial"/>
          <w:sz w:val="16"/>
          <w:szCs w:val="16"/>
          <w:color w:val="auto"/>
        </w:rPr>
        <w:t>The FDA and foreign regulatory authorities may determine that the results from our ongoing and future trials do not support regulatory approval and may require us to conduct an additional clinical trial or trials. If these agencies take such a position, the costs of development of our product candidates could increase materially and their potential market introduction could be delayed. The regulatory agencies could also require that we conduct additional clinical, nonclinical or manufacturing validation studies and submit that data before it will consider a New Drug Application. Our product development costs will also increase if we experience delays in clinical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69" w:lineRule="exact"/>
        <w:rPr>
          <w:sz w:val="20"/>
          <w:szCs w:val="20"/>
          <w:color w:val="auto"/>
        </w:rPr>
      </w:pPr>
    </w:p>
    <w:p>
      <w:pPr>
        <w:ind w:left="160" w:right="919"/>
        <w:spacing w:after="0" w:line="276"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left="160" w:right="159" w:firstLine="646"/>
        <w:spacing w:after="0" w:line="25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there are a number of ongoing clinical trials being conducted by other companies for product candidates treating cancer. Patients who would otherwise be eligible for our clinical trials may instead enroll in clinical trials of our competitors’ product candidates, particularly if they view such treatments to be more conventional and established.</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6" w:lineRule="exact"/>
        <w:rPr>
          <w:sz w:val="20"/>
          <w:szCs w:val="20"/>
          <w:color w:val="auto"/>
        </w:rPr>
      </w:pPr>
    </w:p>
    <w:p>
      <w:pPr>
        <w:ind w:left="640" w:hanging="16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6" w:lineRule="exact"/>
        <w:rPr>
          <w:rFonts w:ascii="Arial" w:cs="Arial" w:eastAsia="Arial" w:hAnsi="Arial"/>
          <w:sz w:val="18"/>
          <w:szCs w:val="18"/>
          <w:color w:val="auto"/>
        </w:rPr>
      </w:pPr>
    </w:p>
    <w:p>
      <w:pPr>
        <w:ind w:left="640" w:hanging="16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6" w:lineRule="exact"/>
        <w:rPr>
          <w:rFonts w:ascii="Arial" w:cs="Arial" w:eastAsia="Arial" w:hAnsi="Arial"/>
          <w:sz w:val="18"/>
          <w:szCs w:val="18"/>
          <w:color w:val="auto"/>
        </w:rPr>
      </w:pPr>
    </w:p>
    <w:p>
      <w:pPr>
        <w:ind w:left="640" w:hanging="16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16" w:lineRule="exact"/>
        <w:rPr>
          <w:rFonts w:ascii="Arial" w:cs="Arial" w:eastAsia="Arial" w:hAnsi="Arial"/>
          <w:sz w:val="18"/>
          <w:szCs w:val="18"/>
          <w:color w:val="auto"/>
        </w:rPr>
      </w:pPr>
    </w:p>
    <w:p>
      <w:pPr>
        <w:ind w:left="560" w:right="219" w:hanging="87"/>
        <w:spacing w:after="0" w:line="276"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 in relation to other available treatments including any new treatments that may be approved for the indications we are investigating;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600" w:hanging="127"/>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6" w:lineRule="exact"/>
        <w:rPr>
          <w:rFonts w:ascii="Arial" w:cs="Arial" w:eastAsia="Arial" w:hAnsi="Arial"/>
          <w:sz w:val="18"/>
          <w:szCs w:val="18"/>
          <w:color w:val="auto"/>
        </w:rPr>
      </w:pPr>
    </w:p>
    <w:p>
      <w:pPr>
        <w:ind w:left="640" w:hanging="16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6" w:lineRule="exact"/>
        <w:rPr>
          <w:rFonts w:ascii="Arial" w:cs="Arial" w:eastAsia="Arial" w:hAnsi="Arial"/>
          <w:sz w:val="18"/>
          <w:szCs w:val="18"/>
          <w:color w:val="auto"/>
        </w:rPr>
      </w:pPr>
    </w:p>
    <w:p>
      <w:pPr>
        <w:ind w:left="580" w:hanging="107"/>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6" w:lineRule="exact"/>
        <w:rPr>
          <w:rFonts w:ascii="Arial" w:cs="Arial" w:eastAsia="Arial" w:hAnsi="Arial"/>
          <w:sz w:val="18"/>
          <w:szCs w:val="18"/>
          <w:color w:val="auto"/>
        </w:rPr>
      </w:pPr>
    </w:p>
    <w:p>
      <w:pPr>
        <w:ind w:left="580" w:hanging="107"/>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6" w:lineRule="exact"/>
        <w:rPr>
          <w:sz w:val="20"/>
          <w:szCs w:val="20"/>
          <w:color w:val="auto"/>
        </w:rPr>
      </w:pPr>
    </w:p>
    <w:p>
      <w:pPr>
        <w:ind w:left="160" w:right="439" w:firstLine="646"/>
        <w:spacing w:after="0" w:line="262" w:lineRule="auto"/>
        <w:rPr>
          <w:sz w:val="20"/>
          <w:szCs w:val="20"/>
          <w:color w:val="auto"/>
        </w:rPr>
      </w:pPr>
      <w:r>
        <w:rPr>
          <w:rFonts w:ascii="Arial" w:cs="Arial" w:eastAsia="Arial" w:hAnsi="Arial"/>
          <w:sz w:val="18"/>
          <w:szCs w:val="18"/>
          <w:color w:val="auto"/>
        </w:rPr>
        <w:t>Furthermore, enrolled patients may drop out of a clinical trial, which could impair the validity or statistical significance of the clinical trial. A number of factors can influence the patient discontinuation rate, including, but not limited to:</w:t>
      </w:r>
    </w:p>
    <w:p>
      <w:pPr>
        <w:spacing w:after="0" w:line="76" w:lineRule="exact"/>
        <w:rPr>
          <w:sz w:val="20"/>
          <w:szCs w:val="20"/>
          <w:color w:val="auto"/>
        </w:rPr>
      </w:pPr>
    </w:p>
    <w:p>
      <w:pPr>
        <w:ind w:left="640" w:hanging="16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inclusion of a placebo arm in a trial;</w:t>
      </w:r>
    </w:p>
    <w:p>
      <w:pPr>
        <w:spacing w:after="0" w:line="116" w:lineRule="exact"/>
        <w:rPr>
          <w:rFonts w:ascii="Arial" w:cs="Arial" w:eastAsia="Arial" w:hAnsi="Arial"/>
          <w:sz w:val="18"/>
          <w:szCs w:val="18"/>
          <w:color w:val="auto"/>
        </w:rPr>
      </w:pPr>
    </w:p>
    <w:p>
      <w:pPr>
        <w:ind w:left="560" w:right="559" w:hanging="87"/>
        <w:spacing w:after="0" w:line="276"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inactivity or low activity of the product candidate being tested at one or more of the dose levels being tested;</w:t>
      </w:r>
    </w:p>
    <w:p>
      <w:pPr>
        <w:spacing w:after="0" w:line="62" w:lineRule="exact"/>
        <w:rPr>
          <w:rFonts w:ascii="Arial" w:cs="Arial" w:eastAsia="Arial" w:hAnsi="Arial"/>
          <w:sz w:val="18"/>
          <w:szCs w:val="18"/>
          <w:color w:val="auto"/>
        </w:rPr>
      </w:pPr>
    </w:p>
    <w:p>
      <w:pPr>
        <w:ind w:left="560" w:hanging="87"/>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adverse side effects, whether or not related to the product candidate; and</w:t>
      </w:r>
    </w:p>
    <w:p>
      <w:pPr>
        <w:spacing w:after="0" w:line="116" w:lineRule="exact"/>
        <w:rPr>
          <w:rFonts w:ascii="Arial" w:cs="Arial" w:eastAsia="Arial" w:hAnsi="Arial"/>
          <w:sz w:val="18"/>
          <w:szCs w:val="18"/>
          <w:color w:val="auto"/>
        </w:rPr>
      </w:pPr>
    </w:p>
    <w:p>
      <w:pPr>
        <w:ind w:left="560" w:right="419" w:hanging="87"/>
        <w:spacing w:after="0" w:line="276"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numerous alternative treatment options, including clinical trials evaluating competing product candidates, that may induce patients to discontinue their participation in the trial.</w:t>
      </w:r>
    </w:p>
    <w:p>
      <w:pPr>
        <w:spacing w:after="0" w:line="62" w:lineRule="exact"/>
        <w:rPr>
          <w:sz w:val="20"/>
          <w:szCs w:val="20"/>
          <w:color w:val="auto"/>
        </w:rPr>
      </w:pPr>
    </w:p>
    <w:p>
      <w:pPr>
        <w:ind w:left="160" w:right="279" w:firstLine="646"/>
        <w:spacing w:after="0" w:line="258"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spacing w:after="0" w:line="187" w:lineRule="exact"/>
        <w:rPr>
          <w:sz w:val="20"/>
          <w:szCs w:val="20"/>
          <w:color w:val="auto"/>
        </w:rPr>
      </w:pPr>
    </w:p>
    <w:p>
      <w:pPr>
        <w:ind w:left="160" w:right="219"/>
        <w:spacing w:after="0" w:line="276" w:lineRule="auto"/>
        <w:rPr>
          <w:sz w:val="20"/>
          <w:szCs w:val="20"/>
          <w:color w:val="auto"/>
        </w:rPr>
      </w:pPr>
      <w:r>
        <w:rPr>
          <w:rFonts w:ascii="Arial" w:cs="Arial" w:eastAsia="Arial" w:hAnsi="Arial"/>
          <w:sz w:val="18"/>
          <w:szCs w:val="18"/>
          <w:b w:val="1"/>
          <w:bCs w:val="1"/>
          <w:i w:val="1"/>
          <w:iCs w:val="1"/>
          <w:color w:val="auto"/>
        </w:rPr>
        <w:t>If serious adverse or unexpected side effects are identified during the development of our product candidates, we may need to abandon or limit our development of some of our product candidates.</w:t>
      </w:r>
    </w:p>
    <w:p>
      <w:pPr>
        <w:spacing w:after="0" w:line="170" w:lineRule="exact"/>
        <w:rPr>
          <w:sz w:val="20"/>
          <w:szCs w:val="20"/>
          <w:color w:val="auto"/>
        </w:rPr>
      </w:pPr>
    </w:p>
    <w:p>
      <w:pPr>
        <w:ind w:left="160" w:right="159" w:firstLine="646"/>
        <w:spacing w:after="0" w:line="269" w:lineRule="auto"/>
        <w:rPr>
          <w:sz w:val="20"/>
          <w:szCs w:val="20"/>
          <w:color w:val="auto"/>
        </w:rPr>
      </w:pPr>
      <w:r>
        <w:rPr>
          <w:rFonts w:ascii="Arial" w:cs="Arial" w:eastAsia="Arial" w:hAnsi="Arial"/>
          <w:sz w:val="17"/>
          <w:szCs w:val="17"/>
          <w:color w:val="auto"/>
        </w:rPr>
        <w:t>All of our product candidates are in various stages of clinical development and their risk of failure is high. It is impossible to predict when or if any of our product candidates will prove effective or safe in humans or will receive marketing approval. If our product candidates are associated with undesirable side effects or have characteristics that are unexpected, we may need to abandon their development or limit development to certain uses or subpopulations in which the undesirable side effects or other characteristics are less prevalent, less severe or more acceptable from a risk benefit perspective. A small percentage of patients in our clinical trials have experienced serious adverse events (SAEs) deemed by us and the clinical investigator to be related to our product candidates. SAEs generally refer to adverse events (AEs) that result in death, are life threatening, require hospitalization or prolonging of hospitalization, or cause a significant and permanent disruption of normal life functions, congenital anomalies or birth defects, or require intervention to prevent such outcomes.</w:t>
      </w:r>
    </w:p>
    <w:p>
      <w:pPr>
        <w:spacing w:after="0" w:line="178" w:lineRule="exact"/>
        <w:rPr>
          <w:sz w:val="20"/>
          <w:szCs w:val="20"/>
          <w:color w:val="auto"/>
        </w:rPr>
      </w:pPr>
    </w:p>
    <w:p>
      <w:pPr>
        <w:ind w:left="160" w:right="159" w:firstLine="646"/>
        <w:spacing w:after="0" w:line="262" w:lineRule="auto"/>
        <w:rPr>
          <w:sz w:val="20"/>
          <w:szCs w:val="20"/>
          <w:color w:val="auto"/>
        </w:rPr>
      </w:pPr>
      <w:r>
        <w:rPr>
          <w:rFonts w:ascii="Arial" w:cs="Arial" w:eastAsia="Arial" w:hAnsi="Arial"/>
          <w:sz w:val="18"/>
          <w:szCs w:val="18"/>
          <w:color w:val="auto"/>
        </w:rPr>
        <w:t>Duvelisib is in our Phase 3 DUO study and the development program continues to progress. Duvelisib has successfully completed the Phase 2 DYNAMO study, in which duvelisib was generally well tolerated, with a manageable safety profile with appropriate risk mitigation.</w:t>
      </w:r>
    </w:p>
    <w:p>
      <w:pPr>
        <w:spacing w:after="0" w:line="183" w:lineRule="exact"/>
        <w:rPr>
          <w:sz w:val="20"/>
          <w:szCs w:val="20"/>
          <w:color w:val="auto"/>
        </w:rPr>
      </w:pPr>
    </w:p>
    <w:p>
      <w:pPr>
        <w:ind w:left="160" w:right="219" w:firstLine="646"/>
        <w:spacing w:after="0" w:line="276" w:lineRule="auto"/>
        <w:rPr>
          <w:sz w:val="20"/>
          <w:szCs w:val="20"/>
          <w:color w:val="auto"/>
        </w:rPr>
      </w:pPr>
      <w:r>
        <w:rPr>
          <w:rFonts w:ascii="Arial" w:cs="Arial" w:eastAsia="Arial" w:hAnsi="Arial"/>
          <w:sz w:val="18"/>
          <w:szCs w:val="18"/>
          <w:color w:val="auto"/>
        </w:rPr>
        <w:t>Defactinib is in our Phase 1 and Phase 2 clinical trials and the development program continues to progress. The toxicities reported thus far are consistent with other drugs in this class.</w:t>
      </w:r>
    </w:p>
    <w:p>
      <w:pPr>
        <w:spacing w:after="0" w:line="170" w:lineRule="exact"/>
        <w:rPr>
          <w:sz w:val="20"/>
          <w:szCs w:val="20"/>
          <w:color w:val="auto"/>
        </w:rPr>
      </w:pPr>
    </w:p>
    <w:p>
      <w:pPr>
        <w:ind w:left="160" w:right="219" w:firstLine="646"/>
        <w:spacing w:after="0" w:line="272" w:lineRule="auto"/>
        <w:rPr>
          <w:sz w:val="20"/>
          <w:szCs w:val="20"/>
          <w:color w:val="auto"/>
        </w:rPr>
      </w:pPr>
      <w:r>
        <w:rPr>
          <w:rFonts w:ascii="Arial" w:cs="Arial" w:eastAsia="Arial" w:hAnsi="Arial"/>
          <w:sz w:val="17"/>
          <w:szCs w:val="17"/>
          <w:color w:val="auto"/>
        </w:rPr>
        <w:t>As a result of adverse events observed to date, or further safety or toxicity issues that we may experience in our clinical trials in the future, we may not receive approval to market any product candidates, which could prevent us from ever generating revenue from the sale of products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of or deny approval of our products candidates for any or all targeted indications.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99" w:firstLine="646"/>
        <w:spacing w:after="0" w:line="295" w:lineRule="auto"/>
        <w:rPr>
          <w:sz w:val="20"/>
          <w:szCs w:val="20"/>
          <w:color w:val="auto"/>
        </w:rPr>
      </w:pPr>
      <w:r>
        <w:rPr>
          <w:rFonts w:ascii="Arial" w:cs="Arial" w:eastAsia="Arial" w:hAnsi="Arial"/>
          <w:sz w:val="16"/>
          <w:szCs w:val="16"/>
          <w:color w:val="auto"/>
        </w:rPr>
        <w:t>Many compounds that initially showed promise in early stage testing for treating cancer have later been found to cause side effects that prevented further development of the compound. In addition, while we and our clinical trial investigators currently determine if serious adverse or unacceptable side effects are drug related, the FDA or other non-U.S. regulatory authorities may disagree with our or our clinical trial investigators’ interpretation of data from clinical trials and the conclusion that a serious adverse effect or unacceptable side effect was not drug related.</w:t>
      </w:r>
    </w:p>
    <w:p>
      <w:pPr>
        <w:spacing w:after="0" w:line="161" w:lineRule="exact"/>
        <w:rPr>
          <w:sz w:val="20"/>
          <w:szCs w:val="20"/>
          <w:color w:val="auto"/>
        </w:rPr>
      </w:pPr>
    </w:p>
    <w:p>
      <w:pPr>
        <w:jc w:val="both"/>
        <w:ind w:left="160" w:right="199"/>
        <w:spacing w:after="0" w:line="300" w:lineRule="auto"/>
        <w:rPr>
          <w:sz w:val="20"/>
          <w:szCs w:val="20"/>
          <w:color w:val="auto"/>
        </w:rPr>
      </w:pPr>
      <w:r>
        <w:rPr>
          <w:rFonts w:ascii="Arial" w:cs="Arial" w:eastAsia="Arial" w:hAnsi="Arial"/>
          <w:sz w:val="16"/>
          <w:szCs w:val="16"/>
          <w:b w:val="1"/>
          <w:bCs w:val="1"/>
          <w:i w:val="1"/>
          <w:iCs w:val="1"/>
          <w:color w:val="auto"/>
        </w:rPr>
        <w:t>Preclinical studies and preliminary and interim data from clinical trials of our product candidates are not necessarily predictive of the results or success of ongoing or later clinical trials of our product candidates. If we cannot replicate the results from our preclinical studies and clinical trials of our product candidates, we may be unable to successfully develop, obtain regulatory approval for and commercialize our product candidates.</w:t>
      </w:r>
    </w:p>
    <w:p>
      <w:pPr>
        <w:spacing w:after="0" w:line="157" w:lineRule="exact"/>
        <w:rPr>
          <w:sz w:val="20"/>
          <w:szCs w:val="20"/>
          <w:color w:val="auto"/>
        </w:rPr>
      </w:pPr>
    </w:p>
    <w:p>
      <w:pPr>
        <w:ind w:left="160" w:right="159" w:firstLine="646"/>
        <w:spacing w:after="0" w:line="268" w:lineRule="auto"/>
        <w:rPr>
          <w:sz w:val="20"/>
          <w:szCs w:val="20"/>
          <w:color w:val="auto"/>
        </w:rPr>
      </w:pPr>
      <w:r>
        <w:rPr>
          <w:rFonts w:ascii="Arial" w:cs="Arial" w:eastAsia="Arial" w:hAnsi="Arial"/>
          <w:sz w:val="17"/>
          <w:szCs w:val="17"/>
          <w:color w:val="auto"/>
        </w:rPr>
        <w:t>Preclinical studies and any positive preliminary and interim data from our clinical trials of our product candidates may not necessarily be predictive of the results of ongoing or later clinical trials. Even if we are able to complete our planned clinical trials of our product candidates according to our current development timeline, the positive results from clinical trials of our product candidates may not be replicated in subsequent clinical trial results. Also, our later stage clinical trials could differ in significant ways from earlier stage clinical trials, which could cause the outcome of the later stage trials to differ from our earlier stage clinical trials. For example, these differences may include changes to inclusion and exclusion criteria, efficacy endpoints and statistical design. Many companies in the pharmaceutical and biotechnology industries, including us, have suffered significant setbacks in late stage clinical trials after achieving positive results in an earlier stage of development.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adversely affected.</w:t>
      </w:r>
    </w:p>
    <w:p>
      <w:pPr>
        <w:spacing w:after="0" w:line="180" w:lineRule="exact"/>
        <w:rPr>
          <w:sz w:val="20"/>
          <w:szCs w:val="20"/>
          <w:color w:val="auto"/>
        </w:rPr>
      </w:pPr>
    </w:p>
    <w:p>
      <w:pPr>
        <w:ind w:left="160" w:right="299"/>
        <w:spacing w:after="0" w:line="379" w:lineRule="auto"/>
        <w:rPr>
          <w:sz w:val="20"/>
          <w:szCs w:val="20"/>
          <w:color w:val="auto"/>
        </w:rPr>
      </w:pPr>
      <w:r>
        <w:rPr>
          <w:rFonts w:ascii="Arial" w:cs="Arial" w:eastAsia="Arial" w:hAnsi="Arial"/>
          <w:sz w:val="15"/>
          <w:szCs w:val="15"/>
          <w:b w:val="1"/>
          <w:bCs w:val="1"/>
          <w:i w:val="1"/>
          <w:iCs w:val="1"/>
          <w:color w:val="auto"/>
        </w:rPr>
        <w:t>Our approach to the treatment of cancer through the killing of cancer cells and disruption of the tumor micro-environment is unproven, and we do not know whether we will be able to develop any products of commercial value.</w:t>
      </w:r>
    </w:p>
    <w:p>
      <w:pPr>
        <w:spacing w:after="0" w:line="101" w:lineRule="exact"/>
        <w:rPr>
          <w:sz w:val="20"/>
          <w:szCs w:val="20"/>
          <w:color w:val="auto"/>
        </w:rPr>
      </w:pPr>
    </w:p>
    <w:p>
      <w:pPr>
        <w:ind w:left="160" w:right="159" w:firstLine="646"/>
        <w:spacing w:after="0" w:line="269" w:lineRule="auto"/>
        <w:rPr>
          <w:sz w:val="20"/>
          <w:szCs w:val="20"/>
          <w:color w:val="auto"/>
        </w:rPr>
      </w:pPr>
      <w:r>
        <w:rPr>
          <w:rFonts w:ascii="Arial" w:cs="Arial" w:eastAsia="Arial" w:hAnsi="Arial"/>
          <w:sz w:val="17"/>
          <w:szCs w:val="17"/>
          <w:color w:val="auto"/>
        </w:rPr>
        <w:t>We are discovering and developing product candidates to treat cancer by using targeted agents to kill cancer cells or disrupt the tumor microenvironment and thereby thwart their growth and proliferation of cancer cells. Research on the use of small molecules to inhibit PI3K and FAK signaling pathways and disrupt the tumor microenvironment is an emerging field and, consequently, there is uncertainty about whether duvelisib and defactinib are effective in improving outcomes for patients with cancer. With respect to our FAK inhibition program, there is some debate in the scientific community regarding cancer stem cells (CSCs), the existence of these cells, the defining characteristics of these cells, as well as whether targeting such cells is an effective approach to treating cancer. Some believe that targeting CSCs as part of our multi-faceted approach should be sufficient for a positive clinical outcome, while others believe that, at times or always, the use of FAK inhibitors that reduce CSCs should be coupled with conventional chemotherapies for a positive clinical outcome.</w:t>
      </w:r>
    </w:p>
    <w:p>
      <w:pPr>
        <w:spacing w:after="0" w:line="178" w:lineRule="exact"/>
        <w:rPr>
          <w:sz w:val="20"/>
          <w:szCs w:val="20"/>
          <w:color w:val="auto"/>
        </w:rPr>
      </w:pPr>
    </w:p>
    <w:p>
      <w:pPr>
        <w:ind w:left="160" w:right="179" w:firstLine="646"/>
        <w:spacing w:after="0" w:line="256" w:lineRule="auto"/>
        <w:rPr>
          <w:sz w:val="20"/>
          <w:szCs w:val="20"/>
          <w:color w:val="auto"/>
        </w:rPr>
      </w:pPr>
      <w:r>
        <w:rPr>
          <w:rFonts w:ascii="Arial" w:cs="Arial" w:eastAsia="Arial" w:hAnsi="Arial"/>
          <w:sz w:val="18"/>
          <w:szCs w:val="18"/>
          <w:color w:val="auto"/>
        </w:rPr>
        <w:t>Any products that we develop may not effectively target cancer cells, enhance anti-tumor immunity, or modulate the local tumor microenvironment. While we are currently conducting clinical trials for product candidates that we believe will attack cancer cells through the inhibition of the PI3K or FAK signaling pathways and potentially disrupt the tumor microenvironment, we may not ultimately be successful in demonstrating their efficacy, alone or in combination with other treatments.</w:t>
      </w:r>
    </w:p>
    <w:p>
      <w:pPr>
        <w:spacing w:after="0" w:line="188" w:lineRule="exact"/>
        <w:rPr>
          <w:sz w:val="20"/>
          <w:szCs w:val="20"/>
          <w:color w:val="auto"/>
        </w:rPr>
      </w:pPr>
    </w:p>
    <w:p>
      <w:pPr>
        <w:jc w:val="both"/>
        <w:ind w:left="160" w:right="179"/>
        <w:spacing w:after="0" w:line="310" w:lineRule="auto"/>
        <w:rPr>
          <w:sz w:val="20"/>
          <w:szCs w:val="20"/>
          <w:color w:val="auto"/>
        </w:rPr>
      </w:pPr>
      <w:r>
        <w:rPr>
          <w:rFonts w:ascii="Arial" w:cs="Arial" w:eastAsia="Arial" w:hAnsi="Arial"/>
          <w:sz w:val="16"/>
          <w:szCs w:val="16"/>
          <w:b w:val="1"/>
          <w:bCs w:val="1"/>
          <w:i w:val="1"/>
          <w:iCs w:val="1"/>
          <w:color w:val="auto"/>
        </w:rPr>
        <w:t>The approval of our product candidates as part of a combination therapy for the treatment of certain cancers may be more costly than our prior clinical trials, may take longer to achieve regulatory approval, may be associated with new, more severe or serious and unanticipated adverse events, and may have a smaller market opportunity.</w:t>
      </w:r>
    </w:p>
    <w:p>
      <w:pPr>
        <w:spacing w:after="0" w:line="148" w:lineRule="exact"/>
        <w:rPr>
          <w:sz w:val="20"/>
          <w:szCs w:val="20"/>
          <w:color w:val="auto"/>
        </w:rPr>
      </w:pPr>
    </w:p>
    <w:p>
      <w:pPr>
        <w:ind w:left="160" w:right="279" w:firstLine="646"/>
        <w:spacing w:after="0" w:line="292" w:lineRule="auto"/>
        <w:rPr>
          <w:sz w:val="20"/>
          <w:szCs w:val="20"/>
          <w:color w:val="auto"/>
        </w:rPr>
      </w:pPr>
      <w:r>
        <w:rPr>
          <w:rFonts w:ascii="Arial" w:cs="Arial" w:eastAsia="Arial" w:hAnsi="Arial"/>
          <w:sz w:val="16"/>
          <w:szCs w:val="16"/>
          <w:color w:val="auto"/>
        </w:rPr>
        <w:t>Part of our current business model involves conducting clinical trials to study the effects of combining our product candidates with other approved and investigational targeted therapies, chemotherapies, and immunotherapies to treat patients with cancer. Regulatory approval for a combination treatment generally requires clinical trials to evaluate the activity of each component of the combination treatment. As a result, it may be more difficult and costly to obtain regulatory approval of our product candidate for use as part of a combination treatment than obtaining regulatory approval of our product candidates alone. In addition, we also risk losing the supply of any</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39"/>
        <w:spacing w:after="0" w:line="267" w:lineRule="auto"/>
        <w:rPr>
          <w:sz w:val="20"/>
          <w:szCs w:val="20"/>
          <w:color w:val="auto"/>
        </w:rPr>
      </w:pPr>
      <w:r>
        <w:rPr>
          <w:rFonts w:ascii="Arial" w:cs="Arial" w:eastAsia="Arial" w:hAnsi="Arial"/>
          <w:sz w:val="17"/>
          <w:szCs w:val="17"/>
          <w:color w:val="auto"/>
        </w:rPr>
        <w:t>approved or investigational product being combined with our product candidate in these clinical trials. Furthermore, the potential market opportunity for our product candidates is difficult to estimate precisely. For instance, if one of our product candidates receives regulatory approval from a combination study, it may be approved solely for use in combination with the approved or investigational product in a particular indication and the market opportunity our product candidate would be dependent upon the continued use and availability of the approved or investigational product. In addition, because physicians, patients and third-party payors may be sensitive to the addition of the cost of our product candidates to the cost of treatment with the other products, we may experience downward pressure on the price that we can charge for our product candidates if they receive regulatory approval. Further, we cannot be sure that physicians will view our product candidates, if approved as part of a combination treatment, as sufficiently superior to a treatment regimen consisting of only the approved or investigational product. Additionally, the adverse side effects of our product candidates may be enhanced when combined with other products. If such adverse side effects are experienced, we could be required to conduct additional pre-clinical and clinical studies and if such adverse side effects are severe, we may not be able to continue the clinical trials of the combination therapy because the risks may outweigh the therapeutic benefit of the combination.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potential product candidates.</w:t>
      </w:r>
    </w:p>
    <w:p>
      <w:pPr>
        <w:spacing w:after="0" w:line="235" w:lineRule="exact"/>
        <w:rPr>
          <w:sz w:val="20"/>
          <w:szCs w:val="20"/>
          <w:color w:val="auto"/>
        </w:rPr>
      </w:pPr>
    </w:p>
    <w:p>
      <w:pPr>
        <w:jc w:val="both"/>
        <w:ind w:left="160" w:right="159" w:firstLine="646"/>
        <w:spacing w:after="0" w:line="262" w:lineRule="auto"/>
        <w:rPr>
          <w:sz w:val="20"/>
          <w:szCs w:val="20"/>
          <w:color w:val="auto"/>
        </w:rPr>
      </w:pPr>
      <w:r>
        <w:rPr>
          <w:rFonts w:ascii="Arial" w:cs="Arial" w:eastAsia="Arial" w:hAnsi="Arial"/>
          <w:sz w:val="18"/>
          <w:szCs w:val="18"/>
          <w:color w:val="auto"/>
        </w:rPr>
        <w:t>Part of our strategy involves identifying or discovering product candidates. Our research programs may initially show promise in identifying potential product candidates, yet fail to yield product candidates for clinical development for a number of reasons, including:</w:t>
      </w:r>
    </w:p>
    <w:p>
      <w:pPr>
        <w:spacing w:after="0" w:line="76" w:lineRule="exact"/>
        <w:rPr>
          <w:sz w:val="20"/>
          <w:szCs w:val="20"/>
          <w:color w:val="auto"/>
        </w:rPr>
      </w:pPr>
    </w:p>
    <w:p>
      <w:pPr>
        <w:ind w:left="560" w:hanging="87"/>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16" w:lineRule="exact"/>
        <w:rPr>
          <w:rFonts w:ascii="Arial" w:cs="Arial" w:eastAsia="Arial" w:hAnsi="Arial"/>
          <w:sz w:val="18"/>
          <w:szCs w:val="18"/>
          <w:color w:val="auto"/>
        </w:rPr>
      </w:pPr>
    </w:p>
    <w:p>
      <w:pPr>
        <w:ind w:left="560" w:right="399" w:hanging="87"/>
        <w:spacing w:after="0" w:line="262"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products that will receive marketing approval and achieve market acceptance; or</w:t>
      </w:r>
    </w:p>
    <w:p>
      <w:pPr>
        <w:spacing w:after="0" w:line="75" w:lineRule="exact"/>
        <w:rPr>
          <w:rFonts w:ascii="Arial" w:cs="Arial" w:eastAsia="Arial" w:hAnsi="Arial"/>
          <w:sz w:val="18"/>
          <w:szCs w:val="18"/>
          <w:color w:val="auto"/>
        </w:rPr>
      </w:pPr>
    </w:p>
    <w:p>
      <w:pPr>
        <w:ind w:left="560" w:hanging="87"/>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w:t>
      </w:r>
    </w:p>
    <w:p>
      <w:pPr>
        <w:spacing w:after="0" w:line="116" w:lineRule="exact"/>
        <w:rPr>
          <w:sz w:val="20"/>
          <w:szCs w:val="20"/>
          <w:color w:val="auto"/>
        </w:rPr>
      </w:pPr>
    </w:p>
    <w:p>
      <w:pPr>
        <w:ind w:left="160" w:right="179" w:firstLine="646"/>
        <w:spacing w:after="0" w:line="262"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w:t>
      </w:r>
    </w:p>
    <w:p>
      <w:pPr>
        <w:spacing w:after="0" w:line="183" w:lineRule="exact"/>
        <w:rPr>
          <w:sz w:val="20"/>
          <w:szCs w:val="20"/>
          <w:color w:val="auto"/>
        </w:rPr>
      </w:pPr>
    </w:p>
    <w:p>
      <w:pPr>
        <w:ind w:left="160" w:right="259" w:firstLine="646"/>
        <w:spacing w:after="0" w:line="262" w:lineRule="auto"/>
        <w:rPr>
          <w:sz w:val="20"/>
          <w:szCs w:val="20"/>
          <w:color w:val="auto"/>
        </w:rPr>
      </w:pPr>
      <w:r>
        <w:rPr>
          <w:rFonts w:ascii="Arial" w:cs="Arial" w:eastAsia="Arial" w:hAnsi="Arial"/>
          <w:sz w:val="18"/>
          <w:szCs w:val="18"/>
          <w:color w:val="auto"/>
        </w:rPr>
        <w:t>If we are unable to identify suitable compounds for preclinical and clinical development, we will not be able to obtain product revenues in future periods, which likely would result in significant harm to our financial position and adversely impact our stock price.</w:t>
      </w:r>
    </w:p>
    <w:p>
      <w:pPr>
        <w:spacing w:after="0" w:line="183" w:lineRule="exact"/>
        <w:rPr>
          <w:sz w:val="20"/>
          <w:szCs w:val="20"/>
          <w:color w:val="auto"/>
        </w:rPr>
      </w:pPr>
    </w:p>
    <w:p>
      <w:pPr>
        <w:ind w:left="160" w:right="419"/>
        <w:spacing w:after="0" w:line="276" w:lineRule="auto"/>
        <w:rPr>
          <w:sz w:val="20"/>
          <w:szCs w:val="20"/>
          <w:color w:val="auto"/>
        </w:rPr>
      </w:pPr>
      <w:r>
        <w:rPr>
          <w:rFonts w:ascii="Arial" w:cs="Arial" w:eastAsia="Arial" w:hAnsi="Arial"/>
          <w:sz w:val="18"/>
          <w:szCs w:val="18"/>
          <w:b w:val="1"/>
          <w:bCs w:val="1"/>
          <w:i w:val="1"/>
          <w:iCs w:val="1"/>
          <w:color w:val="auto"/>
        </w:rPr>
        <w:t>We may not be successful in obtaining necessary rights to compounds and product candidates for our development pipeline through acquisitions and in-licenses.</w:t>
      </w:r>
    </w:p>
    <w:p>
      <w:pPr>
        <w:spacing w:after="0" w:line="170" w:lineRule="exact"/>
        <w:rPr>
          <w:sz w:val="20"/>
          <w:szCs w:val="20"/>
          <w:color w:val="auto"/>
        </w:rPr>
      </w:pPr>
    </w:p>
    <w:p>
      <w:pPr>
        <w:ind w:left="160" w:right="279" w:firstLine="646"/>
        <w:spacing w:after="0" w:line="284" w:lineRule="auto"/>
        <w:rPr>
          <w:sz w:val="20"/>
          <w:szCs w:val="20"/>
          <w:color w:val="auto"/>
        </w:rPr>
      </w:pPr>
      <w:r>
        <w:rPr>
          <w:rFonts w:ascii="Arial" w:cs="Arial" w:eastAsia="Arial" w:hAnsi="Arial"/>
          <w:sz w:val="16"/>
          <w:szCs w:val="16"/>
          <w:color w:val="auto"/>
        </w:rPr>
        <w:t>We may seek to acquire new compounds and product candidates from other pharmaceutical and biotechnology companies, academic scientists and other researchers, such as our recent exclusive in-license from Infinity to research, develop, commercialize, and manufacture products in oncology indications containing duvelisib. The success of this strategy depends partly upon our ability to identify, select, discover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In addition, companies that perceive us to be a competitor may be unwilling to assign or license rights to us.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also may be unable to license or acquire the relevant compound or product candidate on terms that would allow us to make an appropriate return on our investment. Any product candidate that we acquire may require additional development efforts prior to commercial sale, including manufacturing, pre-clinical testing, extensive clinical testing and approval by the FDA and applicable foreign regulatory authorities. All product candidates are prone to risks of failure typical of pharmaceutical product development.</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779" w:firstLine="646"/>
        <w:spacing w:after="0" w:line="276" w:lineRule="auto"/>
        <w:rPr>
          <w:sz w:val="20"/>
          <w:szCs w:val="20"/>
          <w:color w:val="auto"/>
        </w:rPr>
      </w:pPr>
      <w:r>
        <w:rPr>
          <w:rFonts w:ascii="Arial" w:cs="Arial" w:eastAsia="Arial" w:hAnsi="Arial"/>
          <w:sz w:val="18"/>
          <w:szCs w:val="18"/>
          <w:color w:val="auto"/>
        </w:rPr>
        <w:t>In addition, future product or business acquisitions may entail numerous operational and financial risks, including:</w:t>
      </w:r>
    </w:p>
    <w:p>
      <w:pPr>
        <w:spacing w:after="0" w:line="62" w:lineRule="exact"/>
        <w:rPr>
          <w:sz w:val="20"/>
          <w:szCs w:val="20"/>
          <w:color w:val="auto"/>
        </w:rPr>
      </w:pPr>
    </w:p>
    <w:p>
      <w:pPr>
        <w:ind w:left="680" w:hanging="207"/>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6" w:lineRule="exact"/>
        <w:rPr>
          <w:rFonts w:ascii="Arial" w:cs="Arial" w:eastAsia="Arial" w:hAnsi="Arial"/>
          <w:sz w:val="18"/>
          <w:szCs w:val="18"/>
          <w:color w:val="auto"/>
        </w:rPr>
      </w:pPr>
    </w:p>
    <w:p>
      <w:pPr>
        <w:ind w:left="560" w:right="519" w:hanging="87"/>
        <w:spacing w:after="0" w:line="276"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to develop acquired products, product candidates or technologies;</w:t>
      </w:r>
    </w:p>
    <w:p>
      <w:pPr>
        <w:spacing w:after="0" w:line="62" w:lineRule="exact"/>
        <w:rPr>
          <w:rFonts w:ascii="Arial" w:cs="Arial" w:eastAsia="Arial" w:hAnsi="Arial"/>
          <w:sz w:val="18"/>
          <w:szCs w:val="18"/>
          <w:color w:val="auto"/>
        </w:rPr>
      </w:pPr>
    </w:p>
    <w:p>
      <w:pPr>
        <w:ind w:left="600" w:hanging="127"/>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6" w:lineRule="exact"/>
        <w:rPr>
          <w:rFonts w:ascii="Arial" w:cs="Arial" w:eastAsia="Arial" w:hAnsi="Arial"/>
          <w:sz w:val="18"/>
          <w:szCs w:val="18"/>
          <w:color w:val="auto"/>
        </w:rPr>
      </w:pPr>
    </w:p>
    <w:p>
      <w:pPr>
        <w:ind w:left="660" w:hanging="18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amortization expenses; and</w:t>
      </w:r>
    </w:p>
    <w:p>
      <w:pPr>
        <w:spacing w:after="0" w:line="116" w:lineRule="exact"/>
        <w:rPr>
          <w:rFonts w:ascii="Arial" w:cs="Arial" w:eastAsia="Arial" w:hAnsi="Arial"/>
          <w:sz w:val="18"/>
          <w:szCs w:val="18"/>
          <w:color w:val="auto"/>
        </w:rPr>
      </w:pPr>
    </w:p>
    <w:p>
      <w:pPr>
        <w:ind w:left="560" w:hanging="87"/>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w:t>
      </w:r>
    </w:p>
    <w:p>
      <w:pPr>
        <w:spacing w:after="0" w:line="127" w:lineRule="exact"/>
        <w:rPr>
          <w:rFonts w:ascii="Arial" w:cs="Arial" w:eastAsia="Arial" w:hAnsi="Arial"/>
          <w:sz w:val="17"/>
          <w:szCs w:val="17"/>
          <w:color w:val="auto"/>
        </w:rPr>
      </w:pPr>
    </w:p>
    <w:p>
      <w:pPr>
        <w:ind w:left="580" w:hanging="10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business acquisitions may also entail certain additional risks, such as:</w:t>
      </w:r>
    </w:p>
    <w:p>
      <w:pPr>
        <w:spacing w:after="0" w:line="116" w:lineRule="exact"/>
        <w:rPr>
          <w:rFonts w:ascii="Arial" w:cs="Arial" w:eastAsia="Arial" w:hAnsi="Arial"/>
          <w:sz w:val="18"/>
          <w:szCs w:val="18"/>
          <w:color w:val="auto"/>
        </w:rPr>
      </w:pPr>
    </w:p>
    <w:p>
      <w:pPr>
        <w:ind w:left="560" w:hanging="87"/>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difficulty in combining the operations and personnel of any acquired businesses with our operations and personnel;</w:t>
      </w:r>
    </w:p>
    <w:p>
      <w:pPr>
        <w:spacing w:after="0" w:line="139" w:lineRule="exact"/>
        <w:rPr>
          <w:rFonts w:ascii="Arial" w:cs="Arial" w:eastAsia="Arial" w:hAnsi="Arial"/>
          <w:sz w:val="16"/>
          <w:szCs w:val="16"/>
          <w:color w:val="auto"/>
        </w:rPr>
      </w:pPr>
    </w:p>
    <w:p>
      <w:pPr>
        <w:ind w:left="560" w:right="899" w:hanging="87"/>
        <w:spacing w:after="0" w:line="276"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62" w:lineRule="exact"/>
        <w:rPr>
          <w:rFonts w:ascii="Arial" w:cs="Arial" w:eastAsia="Arial" w:hAnsi="Arial"/>
          <w:sz w:val="18"/>
          <w:szCs w:val="18"/>
          <w:color w:val="auto"/>
        </w:rPr>
      </w:pPr>
    </w:p>
    <w:p>
      <w:pPr>
        <w:ind w:left="600" w:hanging="127"/>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motivate key employees of any acquired businesses.</w:t>
      </w:r>
    </w:p>
    <w:p>
      <w:pPr>
        <w:spacing w:after="0" w:line="116" w:lineRule="exact"/>
        <w:rPr>
          <w:sz w:val="20"/>
          <w:szCs w:val="20"/>
          <w:color w:val="auto"/>
        </w:rPr>
      </w:pPr>
    </w:p>
    <w:p>
      <w:pPr>
        <w:ind w:left="160" w:right="459"/>
        <w:spacing w:after="0" w:line="276" w:lineRule="auto"/>
        <w:rPr>
          <w:sz w:val="20"/>
          <w:szCs w:val="20"/>
          <w:color w:val="auto"/>
        </w:rPr>
      </w:pPr>
      <w:r>
        <w:rPr>
          <w:rFonts w:ascii="Arial" w:cs="Arial" w:eastAsia="Arial" w:hAnsi="Arial"/>
          <w:sz w:val="18"/>
          <w:szCs w:val="18"/>
          <w:b w:val="1"/>
          <w:bCs w:val="1"/>
          <w:i w:val="1"/>
          <w:iCs w:val="1"/>
          <w:color w:val="auto"/>
        </w:rPr>
        <w:t>If we fail to obtain regulatory approval in jurisdictions outside the United States, we will not be able to market our products in those jurisdictions.</w:t>
      </w:r>
    </w:p>
    <w:p>
      <w:pPr>
        <w:spacing w:after="0" w:line="170" w:lineRule="exact"/>
        <w:rPr>
          <w:sz w:val="20"/>
          <w:szCs w:val="20"/>
          <w:color w:val="auto"/>
        </w:rPr>
      </w:pPr>
    </w:p>
    <w:p>
      <w:pPr>
        <w:ind w:left="160" w:right="159" w:firstLine="646"/>
        <w:spacing w:after="0" w:line="285" w:lineRule="auto"/>
        <w:rPr>
          <w:sz w:val="20"/>
          <w:szCs w:val="20"/>
          <w:color w:val="auto"/>
        </w:rPr>
      </w:pPr>
      <w:r>
        <w:rPr>
          <w:rFonts w:ascii="Arial" w:cs="Arial" w:eastAsia="Arial" w:hAnsi="Arial"/>
          <w:sz w:val="16"/>
          <w:szCs w:val="16"/>
          <w:color w:val="auto"/>
        </w:rPr>
        <w:t>We intend to seek regulatory approval for our product candidates in a number of countries outside of the United States and expect that these countries will be important markets for our products, if approved. Marketing our products in these countries will require separate regulatory approvals in each market and compliance with numerous and varying regulatory requirements. The regulations that apply to the conduct of clinical trials and approval procedures vary from country to country and may require additional testing. Moreover, the time required to obtain approval may differ from that required to obtain FDA approval. In addition, in many countries outside the United States, a drug must be approved for reimbursement before it can be approved for sale in that country. Approval by the FDA does not ensure approval by regulatory authorities in other countries or jurisdictions, and approval by one foreign regulatory authority does not ensure approval by regulatory authorities in other foreign countries or by the FDA. Failure to obtain regulatory approval in one country may have a negative effect on the regulatory approval process in others.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foreign market.</w:t>
      </w:r>
    </w:p>
    <w:p>
      <w:pPr>
        <w:spacing w:after="0" w:line="174" w:lineRule="exact"/>
        <w:rPr>
          <w:sz w:val="20"/>
          <w:szCs w:val="20"/>
          <w:color w:val="auto"/>
        </w:rPr>
      </w:pPr>
    </w:p>
    <w:p>
      <w:pPr>
        <w:ind w:left="160" w:right="299"/>
        <w:spacing w:after="0" w:line="379"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1" w:lineRule="exact"/>
        <w:rPr>
          <w:sz w:val="20"/>
          <w:szCs w:val="20"/>
          <w:color w:val="auto"/>
        </w:rPr>
      </w:pPr>
    </w:p>
    <w:p>
      <w:pPr>
        <w:ind w:left="160" w:right="279" w:firstLine="646"/>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w:t>
      </w:r>
    </w:p>
    <w:p>
      <w:pPr>
        <w:spacing w:after="0" w:line="178" w:lineRule="exact"/>
        <w:rPr>
          <w:sz w:val="20"/>
          <w:szCs w:val="20"/>
          <w:color w:val="auto"/>
        </w:rPr>
      </w:pPr>
    </w:p>
    <w:p>
      <w:pPr>
        <w:ind w:left="160" w:right="219"/>
        <w:spacing w:after="0" w:line="262"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3" w:lineRule="exact"/>
        <w:rPr>
          <w:sz w:val="20"/>
          <w:szCs w:val="20"/>
          <w:color w:val="auto"/>
        </w:rPr>
      </w:pPr>
    </w:p>
    <w:p>
      <w:pPr>
        <w:jc w:val="both"/>
        <w:ind w:left="160" w:right="199" w:firstLine="646"/>
        <w:spacing w:after="0" w:line="310" w:lineRule="auto"/>
        <w:rPr>
          <w:sz w:val="20"/>
          <w:szCs w:val="20"/>
          <w:color w:val="auto"/>
        </w:rPr>
      </w:pPr>
      <w:r>
        <w:rPr>
          <w:rFonts w:ascii="Arial" w:cs="Arial" w:eastAsia="Arial" w:hAnsi="Arial"/>
          <w:sz w:val="16"/>
          <w:szCs w:val="16"/>
          <w:color w:val="auto"/>
        </w:rPr>
        <w:t>If any of our product candidates receive marketing approval, they may nonetheless fail to gain sufficient market acceptance by physicians, patients, healthcare payors and others in the medical community. If our product candidates do not achieve an adequate level of acceptance, we may not generate significant product revenues and we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79"/>
        <w:spacing w:after="0" w:line="276" w:lineRule="auto"/>
        <w:rPr>
          <w:sz w:val="20"/>
          <w:szCs w:val="20"/>
          <w:color w:val="auto"/>
        </w:rPr>
      </w:pPr>
      <w:r>
        <w:rPr>
          <w:rFonts w:ascii="Arial" w:cs="Arial" w:eastAsia="Arial" w:hAnsi="Arial"/>
          <w:sz w:val="18"/>
          <w:szCs w:val="18"/>
          <w:color w:val="auto"/>
        </w:rPr>
        <w:t>may not become profitable. The degree of market acceptance of our product candidates, if approved for commercial sale, will depend on a number of factors, including:</w:t>
      </w:r>
    </w:p>
    <w:p>
      <w:pPr>
        <w:spacing w:after="0" w:line="62" w:lineRule="exact"/>
        <w:rPr>
          <w:sz w:val="20"/>
          <w:szCs w:val="20"/>
          <w:color w:val="auto"/>
        </w:rPr>
      </w:pPr>
    </w:p>
    <w:p>
      <w:pPr>
        <w:ind w:left="580" w:hanging="107"/>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6" w:lineRule="exact"/>
        <w:rPr>
          <w:rFonts w:ascii="Arial" w:cs="Arial" w:eastAsia="Arial" w:hAnsi="Arial"/>
          <w:sz w:val="18"/>
          <w:szCs w:val="18"/>
          <w:color w:val="auto"/>
        </w:rPr>
      </w:pPr>
    </w:p>
    <w:p>
      <w:pPr>
        <w:ind w:left="580" w:hanging="107"/>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6" w:lineRule="exact"/>
        <w:rPr>
          <w:rFonts w:ascii="Arial" w:cs="Arial" w:eastAsia="Arial" w:hAnsi="Arial"/>
          <w:sz w:val="18"/>
          <w:szCs w:val="18"/>
          <w:color w:val="auto"/>
        </w:rPr>
      </w:pPr>
    </w:p>
    <w:p>
      <w:pPr>
        <w:ind w:left="560" w:hanging="87"/>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139" w:lineRule="exact"/>
        <w:rPr>
          <w:rFonts w:ascii="Arial" w:cs="Arial" w:eastAsia="Arial" w:hAnsi="Arial"/>
          <w:sz w:val="16"/>
          <w:szCs w:val="16"/>
          <w:color w:val="auto"/>
        </w:rPr>
      </w:pPr>
    </w:p>
    <w:p>
      <w:pPr>
        <w:ind w:left="560" w:hanging="87"/>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our products are designated under physician treatment guidelines as a first, second or third line therapy;</w:t>
      </w:r>
    </w:p>
    <w:p>
      <w:pPr>
        <w:spacing w:after="0" w:line="139" w:lineRule="exact"/>
        <w:rPr>
          <w:rFonts w:ascii="Arial" w:cs="Arial" w:eastAsia="Arial" w:hAnsi="Arial"/>
          <w:sz w:val="16"/>
          <w:szCs w:val="16"/>
          <w:color w:val="auto"/>
        </w:rPr>
      </w:pPr>
    </w:p>
    <w:p>
      <w:pPr>
        <w:ind w:left="580" w:hanging="107"/>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our products;</w:t>
      </w:r>
    </w:p>
    <w:p>
      <w:pPr>
        <w:spacing w:after="0" w:line="116" w:lineRule="exact"/>
        <w:rPr>
          <w:rFonts w:ascii="Arial" w:cs="Arial" w:eastAsia="Arial" w:hAnsi="Arial"/>
          <w:sz w:val="18"/>
          <w:szCs w:val="18"/>
          <w:color w:val="auto"/>
        </w:rPr>
      </w:pPr>
    </w:p>
    <w:p>
      <w:pPr>
        <w:ind w:left="560" w:right="239" w:hanging="87"/>
        <w:spacing w:after="0" w:line="276"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approved labeling for any of our products;</w:t>
      </w:r>
    </w:p>
    <w:p>
      <w:pPr>
        <w:spacing w:after="0" w:line="62" w:lineRule="exact"/>
        <w:rPr>
          <w:rFonts w:ascii="Arial" w:cs="Arial" w:eastAsia="Arial" w:hAnsi="Arial"/>
          <w:sz w:val="18"/>
          <w:szCs w:val="18"/>
          <w:color w:val="auto"/>
        </w:rPr>
      </w:pPr>
    </w:p>
    <w:p>
      <w:pPr>
        <w:ind w:left="620" w:hanging="14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6" w:lineRule="exact"/>
        <w:rPr>
          <w:rFonts w:ascii="Arial" w:cs="Arial" w:eastAsia="Arial" w:hAnsi="Arial"/>
          <w:sz w:val="18"/>
          <w:szCs w:val="18"/>
          <w:color w:val="auto"/>
        </w:rPr>
      </w:pPr>
    </w:p>
    <w:p>
      <w:pPr>
        <w:ind w:left="620" w:hanging="14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sufficient third-party coverage or reimbursement;</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safety concerns with similar products marketed by others; and</w:t>
      </w:r>
    </w:p>
    <w:p>
      <w:pPr>
        <w:spacing w:after="0" w:line="116" w:lineRule="exact"/>
        <w:rPr>
          <w:rFonts w:ascii="Arial" w:cs="Arial" w:eastAsia="Arial" w:hAnsi="Arial"/>
          <w:sz w:val="18"/>
          <w:szCs w:val="18"/>
          <w:color w:val="auto"/>
        </w:rPr>
      </w:pPr>
    </w:p>
    <w:p>
      <w:pPr>
        <w:ind w:left="620" w:hanging="14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6" w:lineRule="exact"/>
        <w:rPr>
          <w:sz w:val="20"/>
          <w:szCs w:val="20"/>
          <w:color w:val="auto"/>
        </w:rPr>
      </w:pPr>
    </w:p>
    <w:p>
      <w:pPr>
        <w:jc w:val="both"/>
        <w:ind w:left="160" w:right="139"/>
        <w:spacing w:after="0" w:line="262"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product candidates, we may not be successful in commercializing our product candidates if and when they are approved.</w:t>
      </w:r>
    </w:p>
    <w:p>
      <w:pPr>
        <w:spacing w:after="0" w:line="183" w:lineRule="exact"/>
        <w:rPr>
          <w:sz w:val="20"/>
          <w:szCs w:val="20"/>
          <w:color w:val="auto"/>
        </w:rPr>
      </w:pPr>
    </w:p>
    <w:p>
      <w:pPr>
        <w:ind w:left="160" w:right="259" w:firstLine="646"/>
        <w:spacing w:after="0" w:line="256" w:lineRule="auto"/>
        <w:rPr>
          <w:sz w:val="20"/>
          <w:szCs w:val="20"/>
          <w:color w:val="auto"/>
        </w:rPr>
      </w:pPr>
      <w:r>
        <w:rPr>
          <w:rFonts w:ascii="Arial" w:cs="Arial" w:eastAsia="Arial" w:hAnsi="Arial"/>
          <w:sz w:val="18"/>
          <w:szCs w:val="18"/>
          <w:color w:val="auto"/>
        </w:rPr>
        <w:t>We do not have a sales or marketing infrastructure and have limited experience in the sale, marketing or distribution of pharmaceutical products. To achieve commercial success for any approved product, we must either develop a sales and marketing organization or outsource these functions to third parties. In the future, we may choose to build a focused sales and marketing infrastructure to market or co-promote some of our product candidates if and when they are approved.</w:t>
      </w:r>
    </w:p>
    <w:p>
      <w:pPr>
        <w:spacing w:after="0" w:line="188" w:lineRule="exact"/>
        <w:rPr>
          <w:sz w:val="20"/>
          <w:szCs w:val="20"/>
          <w:color w:val="auto"/>
        </w:rPr>
      </w:pPr>
    </w:p>
    <w:p>
      <w:pPr>
        <w:ind w:left="160" w:right="239" w:firstLine="646"/>
        <w:spacing w:after="0" w:line="272" w:lineRule="auto"/>
        <w:rPr>
          <w:sz w:val="20"/>
          <w:szCs w:val="20"/>
          <w:color w:val="auto"/>
        </w:rPr>
      </w:pPr>
      <w:r>
        <w:rPr>
          <w:rFonts w:ascii="Arial" w:cs="Arial" w:eastAsia="Arial" w:hAnsi="Arial"/>
          <w:sz w:val="17"/>
          <w:szCs w:val="17"/>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24" w:lineRule="exact"/>
        <w:rPr>
          <w:sz w:val="20"/>
          <w:szCs w:val="20"/>
          <w:color w:val="auto"/>
        </w:rPr>
      </w:pPr>
    </w:p>
    <w:p>
      <w:pPr>
        <w:ind w:left="560" w:hanging="8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6" w:lineRule="exact"/>
        <w:rPr>
          <w:rFonts w:ascii="Arial" w:cs="Arial" w:eastAsia="Arial" w:hAnsi="Arial"/>
          <w:sz w:val="18"/>
          <w:szCs w:val="18"/>
          <w:color w:val="auto"/>
        </w:rPr>
      </w:pPr>
    </w:p>
    <w:p>
      <w:pPr>
        <w:ind w:left="560" w:right="699" w:hanging="87"/>
        <w:spacing w:after="0" w:line="276"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products;</w:t>
      </w:r>
    </w:p>
    <w:p>
      <w:pPr>
        <w:spacing w:after="0" w:line="62" w:lineRule="exact"/>
        <w:rPr>
          <w:rFonts w:ascii="Arial" w:cs="Arial" w:eastAsia="Arial" w:hAnsi="Arial"/>
          <w:sz w:val="18"/>
          <w:szCs w:val="18"/>
          <w:color w:val="auto"/>
        </w:rPr>
      </w:pPr>
    </w:p>
    <w:p>
      <w:pPr>
        <w:ind w:left="560" w:right="1019" w:hanging="87"/>
        <w:spacing w:after="0" w:line="276"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560" w:hanging="87"/>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28" w:lineRule="exact"/>
        <w:rPr>
          <w:sz w:val="20"/>
          <w:szCs w:val="20"/>
          <w:color w:val="auto"/>
        </w:rPr>
      </w:pPr>
    </w:p>
    <w:p>
      <w:pPr>
        <w:ind w:left="160" w:right="259" w:firstLine="646"/>
        <w:spacing w:after="0" w:line="295"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product revenues or the profitability of these product revenues to us are likely to be lower than if we were to market and sell any products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79"/>
        <w:spacing w:after="0" w:line="262" w:lineRule="auto"/>
        <w:rPr>
          <w:sz w:val="20"/>
          <w:szCs w:val="20"/>
          <w:color w:val="auto"/>
        </w:rPr>
      </w:pPr>
      <w:r>
        <w:rPr>
          <w:rFonts w:ascii="Arial" w:cs="Arial" w:eastAsia="Arial" w:hAnsi="Arial"/>
          <w:sz w:val="18"/>
          <w:szCs w:val="18"/>
          <w:color w:val="auto"/>
        </w:rPr>
        <w:t>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183" w:lineRule="exact"/>
        <w:rPr>
          <w:sz w:val="20"/>
          <w:szCs w:val="20"/>
          <w:color w:val="auto"/>
        </w:rPr>
      </w:pPr>
    </w:p>
    <w:p>
      <w:pPr>
        <w:ind w:left="160" w:right="539"/>
        <w:spacing w:after="0" w:line="276"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left="160" w:right="179" w:firstLine="646"/>
        <w:spacing w:after="0" w:line="268"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disease indications for which we are developing our product candidates, including Gilead Sciences, Inc., Abbvie, Pharmacyclics LLC, Roche, Celgene Corporation, AstraZeneca, Incyte Corporation, TG Therapeutics, Inc., Novartis and others.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0" w:lineRule="exact"/>
        <w:rPr>
          <w:sz w:val="20"/>
          <w:szCs w:val="20"/>
          <w:color w:val="auto"/>
        </w:rPr>
      </w:pPr>
    </w:p>
    <w:p>
      <w:pPr>
        <w:ind w:left="160" w:right="239" w:firstLine="646"/>
        <w:spacing w:after="0" w:line="292" w:lineRule="auto"/>
        <w:rPr>
          <w:sz w:val="20"/>
          <w:szCs w:val="20"/>
          <w:color w:val="auto"/>
        </w:rPr>
      </w:pPr>
      <w:r>
        <w:rPr>
          <w:rFonts w:ascii="Arial" w:cs="Arial" w:eastAsia="Arial" w:hAnsi="Arial"/>
          <w:sz w:val="16"/>
          <w:szCs w:val="16"/>
          <w:color w:val="auto"/>
        </w:rPr>
        <w:t>We are developing our product candidates for the treatment of cancer. There are a variety of available therapies marketed for cancer. In many cases, these drugs are administered in combination to enhance efficacy. Some of these drugs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any of our product candidates are approved, they will be priced at a significant premium over competitive generic products.</w:t>
      </w:r>
    </w:p>
    <w:p>
      <w:pPr>
        <w:spacing w:after="0" w:line="164" w:lineRule="exact"/>
        <w:rPr>
          <w:sz w:val="20"/>
          <w:szCs w:val="20"/>
          <w:color w:val="auto"/>
        </w:rPr>
      </w:pPr>
    </w:p>
    <w:p>
      <w:pPr>
        <w:ind w:left="160" w:right="199" w:firstLine="646"/>
        <w:spacing w:after="0" w:line="270" w:lineRule="auto"/>
        <w:rPr>
          <w:sz w:val="20"/>
          <w:szCs w:val="20"/>
          <w:color w:val="auto"/>
        </w:rPr>
      </w:pPr>
      <w:r>
        <w:rPr>
          <w:rFonts w:ascii="Arial" w:cs="Arial" w:eastAsia="Arial" w:hAnsi="Arial"/>
          <w:sz w:val="17"/>
          <w:szCs w:val="17"/>
          <w:color w:val="auto"/>
        </w:rPr>
        <w:t>Many of our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79" w:lineRule="exact"/>
        <w:rPr>
          <w:sz w:val="20"/>
          <w:szCs w:val="20"/>
          <w:color w:val="auto"/>
        </w:rPr>
      </w:pPr>
    </w:p>
    <w:p>
      <w:pPr>
        <w:ind w:left="160" w:right="199" w:firstLine="646"/>
        <w:spacing w:after="0" w:line="262" w:lineRule="auto"/>
        <w:rPr>
          <w:sz w:val="20"/>
          <w:szCs w:val="20"/>
          <w:color w:val="auto"/>
        </w:rPr>
      </w:pPr>
      <w:r>
        <w:rPr>
          <w:rFonts w:ascii="Arial" w:cs="Arial" w:eastAsia="Arial" w:hAnsi="Arial"/>
          <w:sz w:val="18"/>
          <w:szCs w:val="18"/>
          <w:color w:val="auto"/>
        </w:rPr>
        <w:t>In addition, to the extent that product or product candidates of our competitors demonstrate serious adverse side effects or are determined to be ineffective in clinical trials, the development of our product candidates could be negatively impacted.</w:t>
      </w:r>
    </w:p>
    <w:p>
      <w:pPr>
        <w:spacing w:after="0" w:line="183" w:lineRule="exact"/>
        <w:rPr>
          <w:sz w:val="20"/>
          <w:szCs w:val="20"/>
          <w:color w:val="auto"/>
        </w:rPr>
      </w:pPr>
    </w:p>
    <w:p>
      <w:pPr>
        <w:ind w:left="160" w:right="179"/>
        <w:spacing w:after="0" w:line="379" w:lineRule="auto"/>
        <w:rPr>
          <w:sz w:val="20"/>
          <w:szCs w:val="20"/>
          <w:color w:val="auto"/>
        </w:rPr>
      </w:pPr>
      <w:r>
        <w:rPr>
          <w:rFonts w:ascii="Arial" w:cs="Arial" w:eastAsia="Arial" w:hAnsi="Arial"/>
          <w:sz w:val="15"/>
          <w:szCs w:val="15"/>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101" w:lineRule="exact"/>
        <w:rPr>
          <w:sz w:val="20"/>
          <w:szCs w:val="20"/>
          <w:color w:val="auto"/>
        </w:rPr>
      </w:pPr>
    </w:p>
    <w:p>
      <w:pPr>
        <w:ind w:left="160" w:right="179" w:firstLine="646"/>
        <w:spacing w:after="0" w:line="287"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recently passed legislation may significantly change the purchase of pharmaceutical products, resulting in lower prices and a reduction in product demand.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79" w:firstLine="646"/>
        <w:spacing w:after="0" w:line="267"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that we commercialize and, if reimbursement is available, the level of reimbursement. Reimbursement may impact the demand for, or the price of, any product candidate for which we obtain marketing approval. Obtaining reimbursement for our products may be particularly difficult because of the higher prices often associated with drugs administered under the supervision of a physician. If reimbursement is not available or is available only to limited levels, we may not be able to successfully commercialize any product candidate for which we obtain marketing approval.</w:t>
      </w:r>
    </w:p>
    <w:p>
      <w:pPr>
        <w:spacing w:after="0" w:line="185" w:lineRule="exact"/>
        <w:rPr>
          <w:sz w:val="20"/>
          <w:szCs w:val="20"/>
          <w:color w:val="auto"/>
        </w:rPr>
      </w:pPr>
    </w:p>
    <w:p>
      <w:pPr>
        <w:jc w:val="both"/>
        <w:ind w:left="160" w:right="359" w:firstLine="646"/>
        <w:spacing w:after="0" w:line="284"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w:t>
      </w:r>
    </w:p>
    <w:p>
      <w:pPr>
        <w:spacing w:after="0" w:line="3" w:lineRule="exact"/>
        <w:rPr>
          <w:sz w:val="20"/>
          <w:szCs w:val="20"/>
          <w:color w:val="auto"/>
        </w:rPr>
      </w:pPr>
    </w:p>
    <w:p>
      <w:pPr>
        <w:ind w:left="160" w:right="179"/>
        <w:spacing w:after="0" w:line="267" w:lineRule="auto"/>
        <w:rPr>
          <w:sz w:val="20"/>
          <w:szCs w:val="20"/>
          <w:color w:val="auto"/>
        </w:rPr>
      </w:pPr>
      <w:r>
        <w:rPr>
          <w:rFonts w:ascii="Arial" w:cs="Arial" w:eastAsia="Arial" w:hAnsi="Arial"/>
          <w:sz w:val="17"/>
          <w:szCs w:val="17"/>
          <w:color w:val="auto"/>
        </w:rPr>
        <w:t>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2" w:lineRule="exact"/>
        <w:rPr>
          <w:sz w:val="20"/>
          <w:szCs w:val="20"/>
          <w:color w:val="auto"/>
        </w:rPr>
      </w:pPr>
    </w:p>
    <w:p>
      <w:pPr>
        <w:ind w:left="160" w:right="399"/>
        <w:spacing w:after="0" w:line="276"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70" w:lineRule="exact"/>
        <w:rPr>
          <w:sz w:val="20"/>
          <w:szCs w:val="20"/>
          <w:color w:val="auto"/>
        </w:rPr>
      </w:pPr>
    </w:p>
    <w:p>
      <w:pPr>
        <w:ind w:left="160" w:right="299" w:firstLine="646"/>
        <w:spacing w:after="0" w:line="278"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3" w:lineRule="exact"/>
        <w:rPr>
          <w:sz w:val="20"/>
          <w:szCs w:val="20"/>
          <w:color w:val="auto"/>
        </w:rPr>
      </w:pPr>
    </w:p>
    <w:p>
      <w:pPr>
        <w:ind w:left="560" w:hanging="8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Arial" w:cs="Arial" w:eastAsia="Arial" w:hAnsi="Arial"/>
          <w:sz w:val="18"/>
          <w:szCs w:val="18"/>
          <w:color w:val="auto"/>
        </w:rPr>
      </w:pPr>
    </w:p>
    <w:p>
      <w:pPr>
        <w:ind w:left="640" w:hanging="16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Arial" w:cs="Arial" w:eastAsia="Arial" w:hAnsi="Arial"/>
          <w:sz w:val="18"/>
          <w:szCs w:val="18"/>
          <w:color w:val="auto"/>
        </w:rPr>
      </w:pPr>
    </w:p>
    <w:p>
      <w:pPr>
        <w:ind w:left="620" w:hanging="147"/>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6" w:lineRule="exact"/>
        <w:rPr>
          <w:rFonts w:ascii="Arial" w:cs="Arial" w:eastAsia="Arial" w:hAnsi="Arial"/>
          <w:sz w:val="18"/>
          <w:szCs w:val="18"/>
          <w:color w:val="auto"/>
        </w:rPr>
      </w:pPr>
    </w:p>
    <w:p>
      <w:pPr>
        <w:ind w:left="800" w:hanging="327"/>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6" w:lineRule="exact"/>
        <w:rPr>
          <w:sz w:val="20"/>
          <w:szCs w:val="20"/>
          <w:color w:val="auto"/>
        </w:rPr>
      </w:pPr>
    </w:p>
    <w:p>
      <w:pPr>
        <w:ind w:left="160" w:right="219" w:firstLine="646"/>
        <w:spacing w:after="0" w:line="295" w:lineRule="auto"/>
        <w:rPr>
          <w:sz w:val="20"/>
          <w:szCs w:val="20"/>
          <w:color w:val="auto"/>
        </w:rPr>
      </w:pPr>
      <w:r>
        <w:rPr>
          <w:rFonts w:ascii="Arial" w:cs="Arial" w:eastAsia="Arial" w:hAnsi="Arial"/>
          <w:sz w:val="16"/>
          <w:szCs w:val="16"/>
          <w:color w:val="auto"/>
        </w:rPr>
        <w:t>We currently hold $10.0 million in product liability insurance coverage in the aggregate, with a per incident limit of $10.0 million, which may not be adequate to cover all liabilities that we may incur. We may need to increase our insurance coverage as we initiate additional clinical trials in the United States and around the world or upon the commercialization of our product candidates, if ever. Insurance coverage is increasingly expensive. We may not be able to maintain insurance coverage at a reasonable cost or in an amount adequate to satisfy any liability that may arise.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319"/>
        <w:spacing w:after="0" w:line="340"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5" w:lineRule="exact"/>
        <w:rPr>
          <w:sz w:val="20"/>
          <w:szCs w:val="20"/>
          <w:color w:val="auto"/>
        </w:rPr>
      </w:pPr>
    </w:p>
    <w:p>
      <w:pPr>
        <w:ind w:left="160" w:right="179" w:firstLine="646"/>
        <w:spacing w:after="0" w:line="25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160" w:right="159" w:firstLine="646"/>
        <w:spacing w:after="0" w:line="300"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7" w:lineRule="exact"/>
        <w:rPr>
          <w:sz w:val="20"/>
          <w:szCs w:val="20"/>
          <w:color w:val="auto"/>
        </w:rPr>
      </w:pPr>
    </w:p>
    <w:p>
      <w:pPr>
        <w:ind w:left="160" w:right="279" w:firstLine="646"/>
        <w:spacing w:after="0" w:line="25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8" w:lineRule="exact"/>
        <w:rPr>
          <w:sz w:val="20"/>
          <w:szCs w:val="20"/>
          <w:color w:val="auto"/>
        </w:rPr>
      </w:pPr>
    </w:p>
    <w:p>
      <w:pPr>
        <w:ind w:left="160" w:right="279"/>
        <w:spacing w:after="0" w:line="276"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for the foreseeable future and may never achieve or maintain profitability.</w:t>
      </w:r>
    </w:p>
    <w:p>
      <w:pPr>
        <w:spacing w:after="0" w:line="170" w:lineRule="exact"/>
        <w:rPr>
          <w:sz w:val="20"/>
          <w:szCs w:val="20"/>
          <w:color w:val="auto"/>
        </w:rPr>
      </w:pPr>
    </w:p>
    <w:p>
      <w:pPr>
        <w:ind w:left="160" w:right="179" w:firstLine="646"/>
        <w:spacing w:after="0" w:line="288" w:lineRule="auto"/>
        <w:rPr>
          <w:sz w:val="20"/>
          <w:szCs w:val="20"/>
          <w:color w:val="auto"/>
        </w:rPr>
      </w:pPr>
      <w:r>
        <w:rPr>
          <w:rFonts w:ascii="Arial" w:cs="Arial" w:eastAsia="Arial" w:hAnsi="Arial"/>
          <w:sz w:val="16"/>
          <w:szCs w:val="16"/>
          <w:color w:val="auto"/>
        </w:rPr>
        <w:t>Since inception, we have incurred significant operating losses. As of December 31, 2016, we had an accumulated deficit of $235.3 million. To date, we have not generated any revenues and have financed our operations through private placements of our preferred stock, public offerings of our common stock, and sales of our common stock pursuant to our at-the-market equity offering program. In March 2017, Verastem, Inc. (Borrower) entered into a term loan facility with Hercules Capital, Inc. (Hercules), the proceeds of which will be used for our ongoing research and development programs and for general corporate purposes. We have devoted substantially all of our efforts to research and development. Our product candidates, including duvelisib and defactinib, are in clinical trials.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59" w:lineRule="exact"/>
        <w:rPr>
          <w:sz w:val="20"/>
          <w:szCs w:val="20"/>
          <w:color w:val="auto"/>
        </w:rPr>
      </w:pPr>
    </w:p>
    <w:p>
      <w:pPr>
        <w:ind w:left="560" w:hanging="8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our ongoing clinical trials with our product candidates, including duvelisib and defactinib;</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additional clinical trials for our product candidates;</w:t>
      </w:r>
    </w:p>
    <w:p>
      <w:pPr>
        <w:spacing w:after="0" w:line="116" w:lineRule="exact"/>
        <w:rPr>
          <w:rFonts w:ascii="Arial" w:cs="Arial" w:eastAsia="Arial" w:hAnsi="Arial"/>
          <w:sz w:val="18"/>
          <w:szCs w:val="18"/>
          <w:color w:val="auto"/>
        </w:rPr>
      </w:pPr>
    </w:p>
    <w:p>
      <w:pPr>
        <w:ind w:left="560" w:right="299" w:hanging="87"/>
        <w:spacing w:after="0" w:line="276"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w:t>
      </w:r>
    </w:p>
    <w:p>
      <w:pPr>
        <w:spacing w:after="0" w:line="62" w:lineRule="exact"/>
        <w:rPr>
          <w:rFonts w:ascii="Arial" w:cs="Arial" w:eastAsia="Arial" w:hAnsi="Arial"/>
          <w:sz w:val="18"/>
          <w:szCs w:val="18"/>
          <w:color w:val="auto"/>
        </w:rPr>
      </w:pPr>
    </w:p>
    <w:p>
      <w:pPr>
        <w:ind w:left="560" w:hanging="8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our preclinical research or acquire or in-license additional product candidates;</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6" w:lineRule="exact"/>
        <w:rPr>
          <w:rFonts w:ascii="Arial" w:cs="Arial" w:eastAsia="Arial" w:hAnsi="Arial"/>
          <w:sz w:val="18"/>
          <w:szCs w:val="18"/>
          <w:color w:val="auto"/>
        </w:rPr>
      </w:pPr>
    </w:p>
    <w:p>
      <w:pPr>
        <w:ind w:left="580" w:hanging="107"/>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additional clinical, development and scientific personnel; and</w:t>
      </w:r>
    </w:p>
    <w:p>
      <w:pPr>
        <w:spacing w:after="0" w:line="116" w:lineRule="exact"/>
        <w:rPr>
          <w:rFonts w:ascii="Arial" w:cs="Arial" w:eastAsia="Arial" w:hAnsi="Arial"/>
          <w:sz w:val="18"/>
          <w:szCs w:val="18"/>
          <w:color w:val="auto"/>
        </w:rPr>
      </w:pPr>
    </w:p>
    <w:p>
      <w:pPr>
        <w:ind w:left="560" w:right="259" w:hanging="87"/>
        <w:spacing w:after="0" w:line="276"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w:t>
      </w:r>
    </w:p>
    <w:p>
      <w:pPr>
        <w:spacing w:after="0" w:line="62" w:lineRule="exact"/>
        <w:rPr>
          <w:sz w:val="20"/>
          <w:szCs w:val="20"/>
          <w:color w:val="auto"/>
        </w:rPr>
      </w:pPr>
    </w:p>
    <w:p>
      <w:pPr>
        <w:ind w:left="160" w:right="399" w:firstLine="646"/>
        <w:spacing w:after="0" w:line="300"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preclinical testing and clinical trials of our product candidates, obtaining marketing approval for these product candidates and manufacturing, marketing and selling those products for which we may obtain marketing</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79"/>
        <w:spacing w:after="0" w:line="254" w:lineRule="auto"/>
        <w:rPr>
          <w:sz w:val="20"/>
          <w:szCs w:val="20"/>
          <w:color w:val="auto"/>
        </w:rPr>
      </w:pPr>
      <w:r>
        <w:rPr>
          <w:rFonts w:ascii="Arial" w:cs="Arial" w:eastAsia="Arial" w:hAnsi="Arial"/>
          <w:sz w:val="18"/>
          <w:szCs w:val="18"/>
          <w:color w:val="auto"/>
        </w:rPr>
        <w:t>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93" w:lineRule="exact"/>
        <w:rPr>
          <w:sz w:val="20"/>
          <w:szCs w:val="20"/>
          <w:color w:val="auto"/>
        </w:rPr>
      </w:pPr>
    </w:p>
    <w:p>
      <w:pPr>
        <w:ind w:left="160" w:right="339"/>
        <w:spacing w:after="0" w:line="340" w:lineRule="auto"/>
        <w:rPr>
          <w:sz w:val="20"/>
          <w:szCs w:val="20"/>
          <w:color w:val="auto"/>
        </w:rPr>
      </w:pPr>
      <w:r>
        <w:rPr>
          <w:rFonts w:ascii="Arial" w:cs="Arial" w:eastAsia="Arial" w:hAnsi="Arial"/>
          <w:sz w:val="16"/>
          <w:szCs w:val="16"/>
          <w:b w:val="1"/>
          <w:bCs w:val="1"/>
          <w:i w:val="1"/>
          <w:iCs w:val="1"/>
          <w:color w:val="auto"/>
        </w:rPr>
        <w:t>We will continue to need substantial additional funding. If we are unable to raise capital when needed, we would be forced to delay, reduce or eliminate our product development programs or commercialization efforts.</w:t>
      </w:r>
    </w:p>
    <w:p>
      <w:pPr>
        <w:spacing w:after="0" w:line="125" w:lineRule="exact"/>
        <w:rPr>
          <w:sz w:val="20"/>
          <w:szCs w:val="20"/>
          <w:color w:val="auto"/>
        </w:rPr>
      </w:pPr>
    </w:p>
    <w:p>
      <w:pPr>
        <w:ind w:left="160" w:right="179" w:firstLine="646"/>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clinical development of our product candidates. In addition, if we obtain marketing approval for any of our product candidates, we expect to incur significant commercialization expenses related to product sales, marketing, manufacturing and distribution. Accordingly, we will need to obtain substantial additional funding in connection with our continuing operations. If we are unable to raise capital when needed or on attractive terms, we would be forced to delay, reduce or eliminate our clinical development programs or commercialization efforts.</w:t>
      </w:r>
    </w:p>
    <w:p>
      <w:pPr>
        <w:spacing w:after="0" w:line="178" w:lineRule="exact"/>
        <w:rPr>
          <w:sz w:val="20"/>
          <w:szCs w:val="20"/>
          <w:color w:val="auto"/>
        </w:rPr>
      </w:pPr>
    </w:p>
    <w:p>
      <w:pPr>
        <w:jc w:val="both"/>
        <w:ind w:left="160" w:right="219" w:firstLine="646"/>
        <w:spacing w:after="0" w:line="310" w:lineRule="auto"/>
        <w:rPr>
          <w:sz w:val="20"/>
          <w:szCs w:val="20"/>
          <w:color w:val="auto"/>
        </w:rPr>
      </w:pPr>
      <w:r>
        <w:rPr>
          <w:rFonts w:ascii="Arial" w:cs="Arial" w:eastAsia="Arial" w:hAnsi="Arial"/>
          <w:sz w:val="16"/>
          <w:szCs w:val="16"/>
          <w:color w:val="auto"/>
        </w:rPr>
        <w:t>We expect our existing cash, cash equivalents and investments will enable us to fund our current operating plan and capital expenditure requirements for at least the next twelve months from the date of filing of this Annual Report on Form 10-K and into 2018. Our future capital requirements will depend on many factors, including:</w:t>
      </w:r>
    </w:p>
    <w:p>
      <w:pPr>
        <w:spacing w:after="0" w:line="41" w:lineRule="exact"/>
        <w:rPr>
          <w:sz w:val="20"/>
          <w:szCs w:val="20"/>
          <w:color w:val="auto"/>
        </w:rPr>
      </w:pPr>
    </w:p>
    <w:p>
      <w:pPr>
        <w:ind w:left="560" w:hanging="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progress and, results of our other ongoing clinical trials and potential future clinical trials;</w:t>
      </w:r>
    </w:p>
    <w:p>
      <w:pPr>
        <w:spacing w:after="0" w:line="116" w:lineRule="exact"/>
        <w:rPr>
          <w:rFonts w:ascii="Arial" w:cs="Arial" w:eastAsia="Arial" w:hAnsi="Arial"/>
          <w:sz w:val="18"/>
          <w:szCs w:val="18"/>
          <w:color w:val="auto"/>
        </w:rPr>
      </w:pPr>
    </w:p>
    <w:p>
      <w:pPr>
        <w:ind w:left="580" w:hanging="107"/>
        <w:spacing w:after="0" w:line="207" w:lineRule="exact"/>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16" w:lineRule="exact"/>
        <w:rPr>
          <w:rFonts w:ascii="Arial" w:cs="Arial" w:eastAsia="Arial" w:hAnsi="Arial"/>
          <w:sz w:val="18"/>
          <w:szCs w:val="18"/>
          <w:color w:val="auto"/>
        </w:rPr>
      </w:pPr>
    </w:p>
    <w:p>
      <w:pPr>
        <w:ind w:left="560" w:right="319" w:hanging="87"/>
        <w:spacing w:after="0" w:line="285" w:lineRule="auto"/>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other product candidates (including our efforts to seek approval and fund the preparation and filing of regulatory submissions) and the costs of future commercialization activities for such product candidates, for which we receive marketing approval;</w:t>
      </w:r>
    </w:p>
    <w:p>
      <w:pPr>
        <w:spacing w:after="0" w:line="57" w:lineRule="exact"/>
        <w:rPr>
          <w:rFonts w:ascii="Arial" w:cs="Arial" w:eastAsia="Arial" w:hAnsi="Arial"/>
          <w:sz w:val="17"/>
          <w:szCs w:val="17"/>
          <w:color w:val="auto"/>
        </w:rPr>
      </w:pPr>
    </w:p>
    <w:p>
      <w:pPr>
        <w:ind w:left="560" w:right="419" w:hanging="87"/>
        <w:spacing w:after="0" w:line="276"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w:t>
      </w:r>
    </w:p>
    <w:p>
      <w:pPr>
        <w:spacing w:after="0" w:line="62" w:lineRule="exact"/>
        <w:rPr>
          <w:rFonts w:ascii="Arial" w:cs="Arial" w:eastAsia="Arial" w:hAnsi="Arial"/>
          <w:sz w:val="18"/>
          <w:szCs w:val="18"/>
          <w:color w:val="auto"/>
        </w:rPr>
      </w:pPr>
    </w:p>
    <w:p>
      <w:pPr>
        <w:ind w:left="560" w:right="759" w:hanging="87"/>
        <w:spacing w:after="0" w:line="276"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 related claims;</w:t>
      </w:r>
    </w:p>
    <w:p>
      <w:pPr>
        <w:spacing w:after="0" w:line="62" w:lineRule="exact"/>
        <w:rPr>
          <w:rFonts w:ascii="Arial" w:cs="Arial" w:eastAsia="Arial" w:hAnsi="Arial"/>
          <w:sz w:val="18"/>
          <w:szCs w:val="18"/>
          <w:color w:val="auto"/>
        </w:rPr>
      </w:pPr>
    </w:p>
    <w:p>
      <w:pPr>
        <w:ind w:left="560" w:right="339" w:hanging="87"/>
        <w:spacing w:after="0" w:line="276"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we realize the full amount of any projected cost savings associated with our organizational restructuring; and</w:t>
      </w:r>
    </w:p>
    <w:p>
      <w:pPr>
        <w:spacing w:after="0" w:line="62" w:lineRule="exact"/>
        <w:rPr>
          <w:rFonts w:ascii="Arial" w:cs="Arial" w:eastAsia="Arial" w:hAnsi="Arial"/>
          <w:sz w:val="18"/>
          <w:szCs w:val="18"/>
          <w:color w:val="auto"/>
        </w:rPr>
      </w:pPr>
    </w:p>
    <w:p>
      <w:pPr>
        <w:ind w:left="560" w:hanging="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establish collaborations or partnerships on favorable terms, if at all.</w:t>
      </w:r>
    </w:p>
    <w:p>
      <w:pPr>
        <w:spacing w:after="0" w:line="116" w:lineRule="exact"/>
        <w:rPr>
          <w:sz w:val="20"/>
          <w:szCs w:val="20"/>
          <w:color w:val="auto"/>
        </w:rPr>
      </w:pPr>
    </w:p>
    <w:p>
      <w:pPr>
        <w:ind w:left="160" w:right="159" w:firstLine="646"/>
        <w:spacing w:after="0" w:line="290" w:lineRule="auto"/>
        <w:rPr>
          <w:sz w:val="20"/>
          <w:szCs w:val="20"/>
          <w:color w:val="auto"/>
        </w:rPr>
      </w:pPr>
      <w:r>
        <w:rPr>
          <w:rFonts w:ascii="Arial" w:cs="Arial" w:eastAsia="Arial" w:hAnsi="Arial"/>
          <w:sz w:val="16"/>
          <w:szCs w:val="16"/>
          <w:color w:val="auto"/>
        </w:rPr>
        <w:t>Conducting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not be commercially available for several years, if at all. Accordingly, even if we receive regulatory approval of one of our product candidates, it will take several years to achieve peak sales and we will need to continue to rely on additional financing to further our clinical development objectives. Adequate additional financing may not be available to us on acceptable terms, or at all.</w:t>
      </w:r>
    </w:p>
    <w:p>
      <w:pPr>
        <w:spacing w:after="0" w:line="166" w:lineRule="exact"/>
        <w:rPr>
          <w:sz w:val="20"/>
          <w:szCs w:val="20"/>
          <w:color w:val="auto"/>
        </w:rPr>
      </w:pPr>
    </w:p>
    <w:p>
      <w:pPr>
        <w:ind w:left="160" w:right="479"/>
        <w:spacing w:after="0" w:line="306" w:lineRule="auto"/>
        <w:rPr>
          <w:sz w:val="20"/>
          <w:szCs w:val="20"/>
          <w:color w:val="auto"/>
        </w:rPr>
      </w:pPr>
      <w:r>
        <w:rPr>
          <w:rFonts w:ascii="Arial" w:cs="Arial" w:eastAsia="Arial" w:hAnsi="Arial"/>
          <w:sz w:val="17"/>
          <w:szCs w:val="17"/>
          <w:b w:val="1"/>
          <w:bCs w:val="1"/>
          <w:i w:val="1"/>
          <w:iCs w:val="1"/>
          <w:color w:val="auto"/>
        </w:rPr>
        <w:t>Raising additional capital or entering into certain licensing arrangements may cause dilution to our stockholders, restrict our operations or require us to relinquish rights to our product candidates.</w:t>
      </w:r>
    </w:p>
    <w:p>
      <w:pPr>
        <w:spacing w:after="0" w:line="148" w:lineRule="exact"/>
        <w:rPr>
          <w:sz w:val="20"/>
          <w:szCs w:val="20"/>
          <w:color w:val="auto"/>
        </w:rPr>
      </w:pPr>
    </w:p>
    <w:p>
      <w:pPr>
        <w:ind w:left="160" w:right="139" w:firstLine="646"/>
        <w:spacing w:after="0" w:line="271"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collaborations, grants and government funding, strategic alliances and licensing arrangements. To the extent that we raise additional capital through the sale of equity or convertible debt, the ownership interest of our existing stockholders will be diluted, and the terms of these securities may include liquidation or other preferences that adversely affect the rights of our existing stockholders. To the extent that we enter into certain licensing arrangements, the ownership interest of our existing stockholders may be diluted if we elect to make certain payments in shares of our common stock. For example, pursuant to the</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59"/>
        <w:spacing w:after="0" w:line="256" w:lineRule="auto"/>
        <w:rPr>
          <w:sz w:val="20"/>
          <w:szCs w:val="20"/>
          <w:color w:val="auto"/>
        </w:rPr>
      </w:pPr>
      <w:r>
        <w:rPr>
          <w:rFonts w:ascii="Arial" w:cs="Arial" w:eastAsia="Arial" w:hAnsi="Arial"/>
          <w:sz w:val="18"/>
          <w:szCs w:val="18"/>
          <w:color w:val="auto"/>
        </w:rPr>
        <w:t>terms of our license agreement with Infinity, we may elect to make certain milestone payments in shares of common stock in lieu of cash, according to a formula set forth in the license agreement. Debt financing, if available, may involve agreements that include covenants limiting or restricting our ability to take specific actions, such as incurring additional debt, making capital expenditures or declaring dividends. For example, see our risk factors under the heading “Risks Related to Our Indebtedness.”</w:t>
      </w:r>
    </w:p>
    <w:p>
      <w:pPr>
        <w:spacing w:after="0" w:line="188" w:lineRule="exact"/>
        <w:rPr>
          <w:sz w:val="20"/>
          <w:szCs w:val="20"/>
          <w:color w:val="auto"/>
        </w:rPr>
      </w:pPr>
    </w:p>
    <w:p>
      <w:pPr>
        <w:ind w:left="160" w:right="219" w:firstLine="646"/>
        <w:spacing w:after="0" w:line="254"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future revenue streams or valuable rights to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INDEBTEDNESS</w:t>
      </w:r>
    </w:p>
    <w:p>
      <w:pPr>
        <w:spacing w:after="0" w:line="228" w:lineRule="exact"/>
        <w:rPr>
          <w:sz w:val="20"/>
          <w:szCs w:val="20"/>
          <w:color w:val="auto"/>
        </w:rPr>
      </w:pPr>
    </w:p>
    <w:p>
      <w:pPr>
        <w:ind w:left="160" w:right="199"/>
        <w:spacing w:after="0" w:line="276"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ind w:left="160" w:right="219" w:firstLine="1005"/>
        <w:spacing w:after="0" w:line="258" w:lineRule="auto"/>
        <w:rPr>
          <w:sz w:val="20"/>
          <w:szCs w:val="20"/>
          <w:color w:val="auto"/>
        </w:rPr>
      </w:pPr>
      <w:r>
        <w:rPr>
          <w:rFonts w:ascii="Arial" w:cs="Arial" w:eastAsia="Arial" w:hAnsi="Arial"/>
          <w:sz w:val="18"/>
          <w:szCs w:val="18"/>
          <w:color w:val="auto"/>
        </w:rPr>
        <w:t>In March 2017, the Borrower entered into a Loan and Security Agreement (the Loan Agreement), with Hercules. Under the Loan Agreement, Hercules will provide access to term loans with an aggregate principal amount of up to $25.0 million (the Term Loan). Concurrently with the closing of the Loan Agreement, the Borrower borrowed an initial tranche of $2.5 million.</w:t>
      </w:r>
    </w:p>
    <w:p>
      <w:pPr>
        <w:spacing w:after="0" w:line="187" w:lineRule="exact"/>
        <w:rPr>
          <w:sz w:val="20"/>
          <w:szCs w:val="20"/>
          <w:color w:val="auto"/>
        </w:rPr>
      </w:pPr>
    </w:p>
    <w:p>
      <w:pPr>
        <w:ind w:left="160" w:right="239" w:firstLine="646"/>
        <w:spacing w:after="0" w:line="300" w:lineRule="auto"/>
        <w:rPr>
          <w:sz w:val="20"/>
          <w:szCs w:val="20"/>
          <w:color w:val="auto"/>
        </w:rPr>
      </w:pPr>
      <w:r>
        <w:rPr>
          <w:rFonts w:ascii="Arial" w:cs="Arial" w:eastAsia="Arial" w:hAnsi="Arial"/>
          <w:sz w:val="16"/>
          <w:szCs w:val="16"/>
          <w:color w:val="auto"/>
        </w:rPr>
        <w:t>All obligations under the Loan Agreement are secured by substantially all of the Borrower’s existing property and assets, excluding its intellectual property. This indebtedness may create additional financing risk for the Borrower, particularly if its business or prevailing financial market conditions are not conducive to paying off or refinancing its outstanding debt obligations at maturity. This indebtedness could also have important negative consequences, including:</w:t>
      </w:r>
    </w:p>
    <w:p>
      <w:pPr>
        <w:spacing w:after="0" w:line="157" w:lineRule="exact"/>
        <w:rPr>
          <w:sz w:val="20"/>
          <w:szCs w:val="20"/>
          <w:color w:val="auto"/>
        </w:rPr>
      </w:pPr>
    </w:p>
    <w:p>
      <w:pPr>
        <w:jc w:val="both"/>
        <w:ind w:left="560" w:right="319" w:hanging="87"/>
        <w:spacing w:after="0" w:line="262"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Borrower will need to repay its indebtedness by making payments of interest and principal, which will reduce the amount of money available to finance our operations, our research and development efforts and other general corporate activities; and</w:t>
      </w:r>
    </w:p>
    <w:p>
      <w:pPr>
        <w:spacing w:after="0" w:line="75" w:lineRule="exact"/>
        <w:rPr>
          <w:rFonts w:ascii="Arial" w:cs="Arial" w:eastAsia="Arial" w:hAnsi="Arial"/>
          <w:sz w:val="18"/>
          <w:szCs w:val="18"/>
          <w:color w:val="auto"/>
        </w:rPr>
      </w:pPr>
    </w:p>
    <w:p>
      <w:pPr>
        <w:jc w:val="both"/>
        <w:ind w:left="560" w:right="319" w:hanging="87"/>
        <w:spacing w:after="0" w:line="285" w:lineRule="auto"/>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Borrower’s failure to comply with the restrictive covenants in the Loan Agreement could result in an event of default that, if not cured or waived, would accelerate its obligation to repay this indebtedness, and Hercules could seek to enforce its security interest in the assets securing such indebtedness.</w:t>
      </w:r>
    </w:p>
    <w:p>
      <w:pPr>
        <w:spacing w:after="0" w:line="273" w:lineRule="exact"/>
        <w:rPr>
          <w:sz w:val="20"/>
          <w:szCs w:val="20"/>
          <w:color w:val="auto"/>
        </w:rPr>
      </w:pPr>
    </w:p>
    <w:p>
      <w:pPr>
        <w:ind w:left="800" w:right="519"/>
        <w:spacing w:after="0" w:line="276" w:lineRule="auto"/>
        <w:rPr>
          <w:sz w:val="20"/>
          <w:szCs w:val="20"/>
          <w:color w:val="auto"/>
        </w:rPr>
      </w:pPr>
      <w:r>
        <w:rPr>
          <w:rFonts w:ascii="Arial" w:cs="Arial" w:eastAsia="Arial" w:hAnsi="Arial"/>
          <w:sz w:val="18"/>
          <w:szCs w:val="18"/>
          <w:color w:val="auto"/>
        </w:rPr>
        <w:t>To the extent additional debt is added to the Borrower’s current debt levels, the risks described above could increase.</w:t>
      </w:r>
    </w:p>
    <w:p>
      <w:pPr>
        <w:spacing w:after="0" w:line="170" w:lineRule="exact"/>
        <w:rPr>
          <w:sz w:val="20"/>
          <w:szCs w:val="20"/>
          <w:color w:val="auto"/>
        </w:rPr>
      </w:pPr>
    </w:p>
    <w:p>
      <w:pPr>
        <w:ind w:left="160" w:right="879"/>
        <w:spacing w:after="0" w:line="276" w:lineRule="auto"/>
        <w:rPr>
          <w:sz w:val="20"/>
          <w:szCs w:val="20"/>
          <w:color w:val="auto"/>
        </w:rPr>
      </w:pPr>
      <w:r>
        <w:rPr>
          <w:rFonts w:ascii="Arial" w:cs="Arial" w:eastAsia="Arial" w:hAnsi="Arial"/>
          <w:sz w:val="18"/>
          <w:szCs w:val="18"/>
          <w:b w:val="1"/>
          <w:bCs w:val="1"/>
          <w:i w:val="1"/>
          <w:iCs w:val="1"/>
          <w:color w:val="auto"/>
        </w:rPr>
        <w:t>The Borrower may not have cash available in an amount sufficient to enable it to make interest or principal payments on its indebtedness when due.</w:t>
      </w:r>
    </w:p>
    <w:p>
      <w:pPr>
        <w:spacing w:after="0" w:line="170" w:lineRule="exact"/>
        <w:rPr>
          <w:sz w:val="20"/>
          <w:szCs w:val="20"/>
          <w:color w:val="auto"/>
        </w:rPr>
      </w:pPr>
    </w:p>
    <w:p>
      <w:pPr>
        <w:ind w:left="160" w:right="139" w:firstLine="646"/>
        <w:spacing w:after="0" w:line="286" w:lineRule="auto"/>
        <w:rPr>
          <w:sz w:val="20"/>
          <w:szCs w:val="20"/>
          <w:color w:val="auto"/>
        </w:rPr>
      </w:pPr>
      <w:r>
        <w:rPr>
          <w:rFonts w:ascii="Arial" w:cs="Arial" w:eastAsia="Arial" w:hAnsi="Arial"/>
          <w:sz w:val="16"/>
          <w:szCs w:val="16"/>
          <w:color w:val="auto"/>
        </w:rPr>
        <w:t>Failure to satisfy the Borrower’s current and future debt obligations under the Loan Agreement, or breaching any of its covenants under the Loan Agreement, subject to specified cure periods with respect to certain breaches, could result in an event of default and, as a result, Hercules could accelerate all of the amounts due. In the event of an acceleration of amounts due under the Loan Agreement as a result of an event of default, the Borrower may not have enough available cash or be able to raise additional funds through equity or debt financings to repay such indebtedness at the time of such acceleration. In that case, the Borrower may be required to delay, limit, reduce or terminate its product candidate development or commercialization efforts or grant to others rights to develop and market product candidates that it would otherwise prefer to develop and market itself. Hercules could also exercise its rights as collateral agent to take possession and dispose of the collateral securing the term loans for its benefit, which collateral includes substantially all of the Borrower’s property other than its intellectual property. The Borrower’s business, financial condition and results of operations could be materially adversely affected as a result of any of these events. The Borrower is subject to certain restrictive covenants which, if breached, could have a material adverse effect on its business and prospects.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 w:right="199" w:firstLine="323"/>
        <w:spacing w:after="0" w:line="340" w:lineRule="auto"/>
        <w:rPr>
          <w:sz w:val="20"/>
          <w:szCs w:val="20"/>
          <w:color w:val="auto"/>
        </w:rPr>
      </w:pPr>
      <w:r>
        <w:rPr>
          <w:rFonts w:ascii="Arial" w:cs="Arial" w:eastAsia="Arial" w:hAnsi="Arial"/>
          <w:sz w:val="16"/>
          <w:szCs w:val="16"/>
          <w:color w:val="auto"/>
        </w:rPr>
        <w:t>The Loan Agreement imposes operating and other restrictions on the Borrower. Such restrictions will affect, and in many respects limit or prohibit, the Borrower’s ability and the ability of any future subsidiary to, among other things:</w:t>
      </w:r>
    </w:p>
    <w:p>
      <w:pPr>
        <w:spacing w:after="0" w:line="125" w:lineRule="exact"/>
        <w:rPr>
          <w:sz w:val="20"/>
          <w:szCs w:val="20"/>
          <w:color w:val="auto"/>
        </w:rPr>
      </w:pPr>
    </w:p>
    <w:p>
      <w:pPr>
        <w:ind w:left="740" w:hanging="267"/>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116" w:lineRule="exact"/>
        <w:rPr>
          <w:rFonts w:ascii="Arial" w:cs="Arial" w:eastAsia="Arial" w:hAnsi="Arial"/>
          <w:sz w:val="18"/>
          <w:szCs w:val="18"/>
          <w:color w:val="auto"/>
        </w:rPr>
      </w:pPr>
    </w:p>
    <w:p>
      <w:pPr>
        <w:ind w:left="700" w:hanging="227"/>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116" w:lineRule="exact"/>
        <w:rPr>
          <w:rFonts w:ascii="Arial" w:cs="Arial" w:eastAsia="Arial" w:hAnsi="Arial"/>
          <w:sz w:val="18"/>
          <w:szCs w:val="18"/>
          <w:color w:val="auto"/>
        </w:rPr>
      </w:pPr>
    </w:p>
    <w:p>
      <w:pPr>
        <w:ind w:left="620" w:hanging="14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116" w:lineRule="exact"/>
        <w:rPr>
          <w:rFonts w:ascii="Arial" w:cs="Arial" w:eastAsia="Arial" w:hAnsi="Arial"/>
          <w:sz w:val="18"/>
          <w:szCs w:val="18"/>
          <w:color w:val="auto"/>
        </w:rPr>
      </w:pPr>
    </w:p>
    <w:p>
      <w:pPr>
        <w:ind w:left="680" w:hanging="207"/>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6" w:lineRule="exact"/>
        <w:rPr>
          <w:rFonts w:ascii="Arial" w:cs="Arial" w:eastAsia="Arial" w:hAnsi="Arial"/>
          <w:sz w:val="18"/>
          <w:szCs w:val="18"/>
          <w:color w:val="auto"/>
        </w:rPr>
      </w:pPr>
    </w:p>
    <w:p>
      <w:pPr>
        <w:ind w:left="760" w:hanging="287"/>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116" w:lineRule="exact"/>
        <w:rPr>
          <w:rFonts w:ascii="Arial" w:cs="Arial" w:eastAsia="Arial" w:hAnsi="Arial"/>
          <w:sz w:val="18"/>
          <w:szCs w:val="18"/>
          <w:color w:val="auto"/>
        </w:rPr>
      </w:pPr>
    </w:p>
    <w:p>
      <w:pPr>
        <w:ind w:left="580" w:hanging="107"/>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and make distributions or repurchase our capital stock; and</w:t>
      </w:r>
    </w:p>
    <w:p>
      <w:pPr>
        <w:spacing w:after="0" w:line="116" w:lineRule="exact"/>
        <w:rPr>
          <w:rFonts w:ascii="Arial" w:cs="Arial" w:eastAsia="Arial" w:hAnsi="Arial"/>
          <w:sz w:val="18"/>
          <w:szCs w:val="18"/>
          <w:color w:val="auto"/>
        </w:rPr>
      </w:pPr>
    </w:p>
    <w:p>
      <w:pPr>
        <w:ind w:left="640" w:hanging="16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8" w:lineRule="exact"/>
        <w:rPr>
          <w:sz w:val="20"/>
          <w:szCs w:val="20"/>
          <w:color w:val="auto"/>
        </w:rPr>
      </w:pPr>
    </w:p>
    <w:p>
      <w:pPr>
        <w:ind w:left="160" w:right="399"/>
        <w:spacing w:after="0" w:line="262" w:lineRule="auto"/>
        <w:rPr>
          <w:sz w:val="20"/>
          <w:szCs w:val="20"/>
          <w:color w:val="auto"/>
        </w:rPr>
      </w:pPr>
      <w:r>
        <w:rPr>
          <w:rFonts w:ascii="Arial" w:cs="Arial" w:eastAsia="Arial" w:hAnsi="Arial"/>
          <w:sz w:val="18"/>
          <w:szCs w:val="18"/>
          <w:b w:val="1"/>
          <w:bCs w:val="1"/>
          <w:i w:val="1"/>
          <w:iCs w:val="1"/>
          <w:color w:val="auto"/>
        </w:rPr>
        <w:t>We rely in part on third parties to conduct our clinical trials and preclinical testing, and if they do not properly and successfully perform their obligations to us, we may not be able to obtain regulatory approvals for our product candidates.</w:t>
      </w:r>
    </w:p>
    <w:p>
      <w:pPr>
        <w:spacing w:after="0" w:line="183" w:lineRule="exact"/>
        <w:rPr>
          <w:sz w:val="20"/>
          <w:szCs w:val="20"/>
          <w:color w:val="auto"/>
        </w:rPr>
      </w:pPr>
    </w:p>
    <w:p>
      <w:pPr>
        <w:ind w:left="160" w:right="279" w:firstLine="646"/>
        <w:spacing w:after="0" w:line="285" w:lineRule="auto"/>
        <w:rPr>
          <w:sz w:val="20"/>
          <w:szCs w:val="20"/>
          <w:color w:val="auto"/>
        </w:rPr>
      </w:pPr>
      <w:r>
        <w:rPr>
          <w:rFonts w:ascii="Arial" w:cs="Arial" w:eastAsia="Arial" w:hAnsi="Arial"/>
          <w:sz w:val="17"/>
          <w:szCs w:val="17"/>
          <w:color w:val="auto"/>
        </w:rPr>
        <w:t>We rely on third parties, such as contract research organizations (CROs), clinical data management organizations, medical institutions and clinical investigators, to conduct, provide monitors for and manage data from all of our clinical trials. We compete with many other companies for the resources of these third parties.</w:t>
      </w:r>
    </w:p>
    <w:p>
      <w:pPr>
        <w:spacing w:after="0" w:line="165" w:lineRule="exact"/>
        <w:rPr>
          <w:sz w:val="20"/>
          <w:szCs w:val="20"/>
          <w:color w:val="auto"/>
        </w:rPr>
      </w:pPr>
    </w:p>
    <w:p>
      <w:pPr>
        <w:ind w:left="160" w:right="239" w:firstLine="646"/>
        <w:spacing w:after="0" w:line="262"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would delay our product development activities and ultimately the commercialization of our product candidates.</w:t>
      </w:r>
    </w:p>
    <w:p>
      <w:pPr>
        <w:spacing w:after="0" w:line="183"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and other regulatory agencies require us to comply with standards, commonly referred to as Good Clinical Practices (GCP) for conducting, recording and reporting the results of clinical trials to assure that data and reported results are credible and accurate and that the rights, integrity and confidentiality of trial participants are protected.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We also are required to register ongoing clinical trials and post the results of completed clinical trials on government</w:t>
      </w:r>
      <w:r>
        <w:rPr>
          <w:rFonts w:ascii="MS PGothic" w:cs="MS PGothic" w:eastAsia="MS PGothic" w:hAnsi="MS PGothic"/>
          <w:sz w:val="16"/>
          <w:szCs w:val="16"/>
          <w:color w:val="auto"/>
        </w:rPr>
        <w:t>‑</w:t>
      </w:r>
      <w:r>
        <w:rPr>
          <w:rFonts w:ascii="Arial" w:cs="Arial" w:eastAsia="Arial" w:hAnsi="Arial"/>
          <w:sz w:val="16"/>
          <w:szCs w:val="16"/>
          <w:color w:val="auto"/>
        </w:rPr>
        <w:t>sponsored databases, such as ClinicalTrials.gov, within certain timeframes. Failure to do so can result in fines, adverse publicity and civil and criminal sanctions.</w:t>
      </w:r>
    </w:p>
    <w:p>
      <w:pPr>
        <w:spacing w:after="0" w:line="203" w:lineRule="exact"/>
        <w:rPr>
          <w:sz w:val="20"/>
          <w:szCs w:val="20"/>
          <w:color w:val="auto"/>
        </w:rPr>
      </w:pPr>
    </w:p>
    <w:p>
      <w:pPr>
        <w:ind w:left="160" w:right="299" w:firstLine="646"/>
        <w:spacing w:after="0" w:line="258"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99"/>
        <w:spacing w:after="0" w:line="310" w:lineRule="auto"/>
        <w:rPr>
          <w:sz w:val="20"/>
          <w:szCs w:val="20"/>
          <w:color w:val="auto"/>
        </w:rPr>
      </w:pPr>
      <w:r>
        <w:rPr>
          <w:rFonts w:ascii="Arial" w:cs="Arial" w:eastAsia="Arial" w:hAnsi="Arial"/>
          <w:sz w:val="16"/>
          <w:szCs w:val="16"/>
          <w:b w:val="1"/>
          <w:bCs w:val="1"/>
          <w:i w:val="1"/>
          <w:iCs w:val="1"/>
          <w:color w:val="auto"/>
        </w:rPr>
        <w:t>We intend to rely on third parties to conduct investigator sponsored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148" w:lineRule="exact"/>
        <w:rPr>
          <w:sz w:val="20"/>
          <w:szCs w:val="20"/>
          <w:color w:val="auto"/>
        </w:rPr>
      </w:pPr>
    </w:p>
    <w:p>
      <w:pPr>
        <w:ind w:left="160" w:right="219" w:firstLine="646"/>
        <w:spacing w:after="0" w:line="274" w:lineRule="auto"/>
        <w:rPr>
          <w:sz w:val="20"/>
          <w:szCs w:val="20"/>
          <w:color w:val="auto"/>
        </w:rPr>
      </w:pPr>
      <w:r>
        <w:rPr>
          <w:rFonts w:ascii="Arial" w:cs="Arial" w:eastAsia="Arial" w:hAnsi="Arial"/>
          <w:sz w:val="17"/>
          <w:szCs w:val="17"/>
          <w:color w:val="auto"/>
        </w:rPr>
        <w:t>We intend to rely on academic and private non-academic institutions to conduct and sponsor clinical trials relating to our product candidates. We will not control the design or conduct of the investigator 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176" w:lineRule="exact"/>
        <w:rPr>
          <w:sz w:val="20"/>
          <w:szCs w:val="20"/>
          <w:color w:val="auto"/>
        </w:rPr>
      </w:pPr>
    </w:p>
    <w:p>
      <w:pPr>
        <w:ind w:left="160" w:right="159" w:firstLine="646"/>
        <w:spacing w:after="0" w:line="269" w:lineRule="auto"/>
        <w:rPr>
          <w:sz w:val="20"/>
          <w:szCs w:val="20"/>
          <w:color w:val="auto"/>
        </w:rPr>
      </w:pPr>
      <w:r>
        <w:rPr>
          <w:rFonts w:ascii="Arial" w:cs="Arial" w:eastAsia="Arial" w:hAnsi="Arial"/>
          <w:sz w:val="17"/>
          <w:szCs w:val="17"/>
          <w:color w:val="auto"/>
        </w:rPr>
        <w:t>Such arrangements will provide us certain information rights with respect to the investigator sponsored trials, including access to and the ability to use and reference the data, including for our own regulatory filings, resulting from the investigator sponsored trials. However, we do not have control over the timing and reporting of the data from investigator sponsored trials, nor do we own the data from the investigator sponsored trials. If we are unable to confirm or replicate the results from the investigator 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 sponsored trials been sponsored and conducted by us, then our ability to design and conduct any future clinical trials ourselves may be adversely affected.</w:t>
      </w:r>
    </w:p>
    <w:p>
      <w:pPr>
        <w:spacing w:after="0" w:line="178" w:lineRule="exact"/>
        <w:rPr>
          <w:sz w:val="20"/>
          <w:szCs w:val="20"/>
          <w:color w:val="auto"/>
        </w:rPr>
      </w:pPr>
    </w:p>
    <w:p>
      <w:pPr>
        <w:ind w:left="160" w:right="319" w:firstLine="646"/>
        <w:spacing w:after="0" w:line="254" w:lineRule="auto"/>
        <w:rPr>
          <w:sz w:val="20"/>
          <w:szCs w:val="20"/>
          <w:color w:val="auto"/>
        </w:rPr>
      </w:pPr>
      <w:r>
        <w:rPr>
          <w:rFonts w:ascii="Arial" w:cs="Arial" w:eastAsia="Arial" w:hAnsi="Arial"/>
          <w:sz w:val="18"/>
          <w:szCs w:val="18"/>
          <w:color w:val="auto"/>
        </w:rPr>
        <w:t>Additionally, the FDA or non-U.S. regulatory authorities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other non-U.S. regulatory authorities may require us to obtain and submit additional preclinical, manufacturing, or clinical data before we may initiate our planned trials and/or may not accept such additional data as adequate to initiate our planned trials.</w:t>
      </w:r>
    </w:p>
    <w:p>
      <w:pPr>
        <w:spacing w:after="0" w:line="193" w:lineRule="exact"/>
        <w:rPr>
          <w:sz w:val="20"/>
          <w:szCs w:val="20"/>
          <w:color w:val="auto"/>
        </w:rPr>
      </w:pPr>
    </w:p>
    <w:p>
      <w:pPr>
        <w:ind w:left="160" w:right="859"/>
        <w:spacing w:after="0" w:line="276"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and for compound formulation research, and these third parties may not perform satisfactorily.</w:t>
      </w:r>
    </w:p>
    <w:p>
      <w:pPr>
        <w:spacing w:after="0" w:line="170" w:lineRule="exact"/>
        <w:rPr>
          <w:sz w:val="20"/>
          <w:szCs w:val="20"/>
          <w:color w:val="auto"/>
        </w:rPr>
      </w:pPr>
    </w:p>
    <w:p>
      <w:pPr>
        <w:ind w:left="160" w:right="299" w:firstLine="646"/>
        <w:spacing w:after="0" w:line="270" w:lineRule="auto"/>
        <w:rPr>
          <w:sz w:val="20"/>
          <w:szCs w:val="20"/>
          <w:color w:val="auto"/>
        </w:rPr>
      </w:pPr>
      <w:r>
        <w:rPr>
          <w:rFonts w:ascii="Arial" w:cs="Arial" w:eastAsia="Arial" w:hAnsi="Arial"/>
          <w:sz w:val="17"/>
          <w:szCs w:val="17"/>
          <w:color w:val="auto"/>
        </w:rPr>
        <w:t>We do not have any manufacturing facilities or personnel. We currently obtain all of our supply of our product candidates for clinical development from third-party manufacturers or third-party collaborators, and we expect to continue to rely on third parties for the manufacture of clinical and, if necessary, commercial quantities of our product candidates. In addition, we currently rely on third parties for the development of various formulations of our product candidates. We obtain our supplies from these manufacturers on a purchase order basis, and we do not have any long term supply agreements in place.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179" w:lineRule="exact"/>
        <w:rPr>
          <w:sz w:val="20"/>
          <w:szCs w:val="20"/>
          <w:color w:val="auto"/>
        </w:rPr>
      </w:pPr>
    </w:p>
    <w:p>
      <w:pPr>
        <w:ind w:left="160" w:right="319" w:firstLine="646"/>
        <w:spacing w:after="0" w:line="310" w:lineRule="auto"/>
        <w:rPr>
          <w:sz w:val="20"/>
          <w:szCs w:val="20"/>
          <w:color w:val="auto"/>
        </w:rPr>
      </w:pPr>
      <w:r>
        <w:rPr>
          <w:rFonts w:ascii="Arial" w:cs="Arial" w:eastAsia="Arial" w:hAnsi="Arial"/>
          <w:sz w:val="16"/>
          <w:szCs w:val="16"/>
          <w:color w:val="auto"/>
        </w:rPr>
        <w:t>Any of these third parties may terminate their engagement with us at any time. We do not currently have arrangements in place for redundant supply or a second source for bulk drug substance. Even if we are able to establish agreements with third-party manufacturers, reliance on third-party manufacturers entails additional risks, including:</w:t>
      </w:r>
    </w:p>
    <w:p>
      <w:pPr>
        <w:spacing w:after="0" w:line="41" w:lineRule="exact"/>
        <w:rPr>
          <w:sz w:val="20"/>
          <w:szCs w:val="20"/>
          <w:color w:val="auto"/>
        </w:rPr>
      </w:pPr>
    </w:p>
    <w:p>
      <w:pPr>
        <w:ind w:left="580" w:hanging="107"/>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6" w:lineRule="exact"/>
        <w:rPr>
          <w:rFonts w:ascii="Arial" w:cs="Arial" w:eastAsia="Arial" w:hAnsi="Arial"/>
          <w:sz w:val="18"/>
          <w:szCs w:val="18"/>
          <w:color w:val="auto"/>
        </w:rPr>
      </w:pPr>
    </w:p>
    <w:p>
      <w:pPr>
        <w:ind w:left="560" w:right="699" w:hanging="87"/>
        <w:spacing w:after="0" w:line="276"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including the misappropriation of our proprietary information, trade secrets and know how;</w:t>
      </w:r>
    </w:p>
    <w:p>
      <w:pPr>
        <w:spacing w:after="0" w:line="62" w:lineRule="exact"/>
        <w:rPr>
          <w:rFonts w:ascii="Arial" w:cs="Arial" w:eastAsia="Arial" w:hAnsi="Arial"/>
          <w:sz w:val="18"/>
          <w:szCs w:val="18"/>
          <w:color w:val="auto"/>
        </w:rPr>
      </w:pPr>
    </w:p>
    <w:p>
      <w:pPr>
        <w:ind w:left="560" w:right="359" w:hanging="87"/>
        <w:spacing w:after="0" w:line="276"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62" w:lineRule="exact"/>
        <w:rPr>
          <w:rFonts w:ascii="Arial" w:cs="Arial" w:eastAsia="Arial" w:hAnsi="Arial"/>
          <w:sz w:val="18"/>
          <w:szCs w:val="18"/>
          <w:color w:val="auto"/>
        </w:rPr>
      </w:pPr>
    </w:p>
    <w:p>
      <w:pPr>
        <w:ind w:left="560" w:right="419" w:hanging="87"/>
        <w:spacing w:after="0" w:line="262"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439" w:firstLine="646"/>
        <w:spacing w:after="0" w:line="292" w:lineRule="auto"/>
        <w:rPr>
          <w:sz w:val="20"/>
          <w:szCs w:val="20"/>
          <w:color w:val="auto"/>
        </w:rPr>
      </w:pPr>
      <w:r>
        <w:rPr>
          <w:rFonts w:ascii="Arial" w:cs="Arial" w:eastAsia="Arial" w:hAnsi="Arial"/>
          <w:sz w:val="16"/>
          <w:szCs w:val="16"/>
          <w:color w:val="auto"/>
        </w:rPr>
        <w:t>Third-party manufacturers may not be able to comply with current good manufacturing practices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64" w:lineRule="exact"/>
        <w:rPr>
          <w:sz w:val="20"/>
          <w:szCs w:val="20"/>
          <w:color w:val="auto"/>
        </w:rPr>
      </w:pPr>
    </w:p>
    <w:p>
      <w:pPr>
        <w:jc w:val="both"/>
        <w:ind w:left="160" w:right="539" w:firstLine="646"/>
        <w:spacing w:after="0" w:line="262" w:lineRule="auto"/>
        <w:rPr>
          <w:sz w:val="20"/>
          <w:szCs w:val="20"/>
          <w:color w:val="auto"/>
        </w:rPr>
      </w:pPr>
      <w:r>
        <w:rPr>
          <w:rFonts w:ascii="Arial" w:cs="Arial" w:eastAsia="Arial" w:hAnsi="Arial"/>
          <w:sz w:val="18"/>
          <w:szCs w:val="18"/>
          <w:color w:val="auto"/>
        </w:rPr>
        <w:t>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83" w:lineRule="exact"/>
        <w:rPr>
          <w:sz w:val="20"/>
          <w:szCs w:val="20"/>
          <w:color w:val="auto"/>
        </w:rPr>
      </w:pPr>
    </w:p>
    <w:p>
      <w:pPr>
        <w:ind w:left="160" w:right="239" w:firstLine="646"/>
        <w:spacing w:after="0" w:line="295" w:lineRule="auto"/>
        <w:rPr>
          <w:sz w:val="20"/>
          <w:szCs w:val="20"/>
          <w:color w:val="auto"/>
        </w:rPr>
      </w:pPr>
      <w:r>
        <w:rPr>
          <w:rFonts w:ascii="Arial" w:cs="Arial" w:eastAsia="Arial" w:hAnsi="Arial"/>
          <w:sz w:val="16"/>
          <w:szCs w:val="16"/>
          <w:color w:val="auto"/>
        </w:rPr>
        <w:t>If our current contract manufacturers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 as well as producing the drug product. In addition, we have to enter into technical transfer agreements and share our know how with the third-party manufacturers, which can be time consuming and may result in delays.</w:t>
      </w:r>
    </w:p>
    <w:p>
      <w:pPr>
        <w:spacing w:after="0" w:line="161" w:lineRule="exact"/>
        <w:rPr>
          <w:sz w:val="20"/>
          <w:szCs w:val="20"/>
          <w:color w:val="auto"/>
        </w:rPr>
      </w:pPr>
    </w:p>
    <w:p>
      <w:pPr>
        <w:ind w:left="160" w:right="479" w:firstLine="646"/>
        <w:spacing w:after="0" w:line="262"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If we are not able to establish collaborations, we may have to alter our development and commercialization plans.</w:t>
      </w:r>
    </w:p>
    <w:p>
      <w:pPr>
        <w:spacing w:after="0" w:line="247" w:lineRule="exact"/>
        <w:rPr>
          <w:sz w:val="20"/>
          <w:szCs w:val="20"/>
          <w:color w:val="auto"/>
        </w:rPr>
      </w:pPr>
    </w:p>
    <w:p>
      <w:pPr>
        <w:jc w:val="both"/>
        <w:ind w:left="160" w:right="499" w:firstLine="646"/>
        <w:spacing w:after="0" w:line="258"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87" w:lineRule="exact"/>
        <w:rPr>
          <w:sz w:val="20"/>
          <w:szCs w:val="20"/>
          <w:color w:val="auto"/>
        </w:rPr>
      </w:pPr>
    </w:p>
    <w:p>
      <w:pPr>
        <w:ind w:left="160" w:right="159" w:firstLine="646"/>
        <w:spacing w:after="0" w:line="267"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 consuming to negotiate and document. In addition, there have been a significant number of recent business combinations among large pharmaceutical companies that have resulted in a reduced number of potential future collaborators.</w:t>
      </w:r>
    </w:p>
    <w:p>
      <w:pPr>
        <w:spacing w:after="0" w:line="188" w:lineRule="exact"/>
        <w:rPr>
          <w:sz w:val="20"/>
          <w:szCs w:val="20"/>
          <w:color w:val="auto"/>
        </w:rPr>
      </w:pPr>
    </w:p>
    <w:p>
      <w:pPr>
        <w:ind w:left="160" w:right="199" w:firstLine="646"/>
        <w:spacing w:after="0" w:line="290"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certain product candidates, reduce or delay our development programs, delay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59"/>
        <w:spacing w:after="0" w:line="262" w:lineRule="auto"/>
        <w:rPr>
          <w:sz w:val="20"/>
          <w:szCs w:val="20"/>
          <w:color w:val="auto"/>
        </w:rPr>
      </w:pPr>
      <w:r>
        <w:rPr>
          <w:rFonts w:ascii="Arial" w:cs="Arial" w:eastAsia="Arial" w:hAnsi="Arial"/>
          <w:sz w:val="18"/>
          <w:szCs w:val="18"/>
          <w:b w:val="1"/>
          <w:bCs w:val="1"/>
          <w:i w:val="1"/>
          <w:iCs w:val="1"/>
          <w:color w:val="auto"/>
        </w:rPr>
        <w:t>We may depend on collaborations with third parties for the development and commercialization of our product candidates. If those collaborations are not successful, we may not be able to capitalize on the market potential of these product candidates.</w:t>
      </w:r>
    </w:p>
    <w:p>
      <w:pPr>
        <w:spacing w:after="0" w:line="183" w:lineRule="exact"/>
        <w:rPr>
          <w:sz w:val="20"/>
          <w:szCs w:val="20"/>
          <w:color w:val="auto"/>
        </w:rPr>
      </w:pPr>
    </w:p>
    <w:p>
      <w:pPr>
        <w:ind w:left="160" w:right="159" w:firstLine="646"/>
        <w:spacing w:after="0" w:line="289" w:lineRule="auto"/>
        <w:rPr>
          <w:sz w:val="20"/>
          <w:szCs w:val="20"/>
          <w:color w:val="auto"/>
        </w:rPr>
      </w:pPr>
      <w:r>
        <w:rPr>
          <w:rFonts w:ascii="Arial" w:cs="Arial" w:eastAsia="Arial" w:hAnsi="Arial"/>
          <w:sz w:val="16"/>
          <w:szCs w:val="16"/>
          <w:color w:val="auto"/>
        </w:rPr>
        <w:t>We may seek third-party collaborators for the development and commercialization of our product candidates. We anticipate that we may seek to enter into a collaboration for marketing and commercialization of our product candidates in certain territories worldwide at the appropriate time in the future. Our likely collaborators for any collaboration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16" w:lineRule="exact"/>
        <w:rPr>
          <w:sz w:val="20"/>
          <w:szCs w:val="20"/>
          <w:color w:val="auto"/>
        </w:rPr>
      </w:pPr>
    </w:p>
    <w:p>
      <w:pPr>
        <w:ind w:left="560" w:right="659" w:hanging="87"/>
        <w:spacing w:after="0" w:line="276"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62" w:lineRule="exact"/>
        <w:rPr>
          <w:rFonts w:ascii="Arial" w:cs="Arial" w:eastAsia="Arial" w:hAnsi="Arial"/>
          <w:sz w:val="18"/>
          <w:szCs w:val="18"/>
          <w:color w:val="auto"/>
        </w:rPr>
      </w:pPr>
    </w:p>
    <w:p>
      <w:pPr>
        <w:ind w:left="560" w:right="179" w:hanging="87"/>
        <w:spacing w:after="0" w:line="258"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8" w:lineRule="exact"/>
        <w:rPr>
          <w:rFonts w:ascii="Arial" w:cs="Arial" w:eastAsia="Arial" w:hAnsi="Arial"/>
          <w:sz w:val="18"/>
          <w:szCs w:val="18"/>
          <w:color w:val="auto"/>
        </w:rPr>
      </w:pPr>
    </w:p>
    <w:p>
      <w:pPr>
        <w:ind w:left="560" w:right="319" w:hanging="87"/>
        <w:spacing w:after="0" w:line="262"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ind w:left="560" w:right="379" w:hanging="87"/>
        <w:spacing w:after="0" w:line="258"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8" w:lineRule="exact"/>
        <w:rPr>
          <w:rFonts w:ascii="Arial" w:cs="Arial" w:eastAsia="Arial" w:hAnsi="Arial"/>
          <w:sz w:val="18"/>
          <w:szCs w:val="18"/>
          <w:color w:val="auto"/>
        </w:rPr>
      </w:pPr>
    </w:p>
    <w:p>
      <w:pPr>
        <w:ind w:left="560" w:right="279" w:hanging="87"/>
        <w:spacing w:after="0" w:line="276"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560" w:right="359" w:hanging="87"/>
        <w:spacing w:after="0" w:line="262"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560" w:right="739" w:hanging="87"/>
        <w:spacing w:after="0" w:line="262"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75" w:lineRule="exact"/>
        <w:rPr>
          <w:rFonts w:ascii="Arial" w:cs="Arial" w:eastAsia="Arial" w:hAnsi="Arial"/>
          <w:sz w:val="18"/>
          <w:szCs w:val="18"/>
          <w:color w:val="auto"/>
        </w:rPr>
      </w:pPr>
    </w:p>
    <w:p>
      <w:pPr>
        <w:ind w:left="560" w:right="439" w:hanging="87"/>
        <w:spacing w:after="0" w:line="276"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sz w:val="20"/>
          <w:szCs w:val="20"/>
          <w:color w:val="auto"/>
        </w:rPr>
      </w:pPr>
    </w:p>
    <w:p>
      <w:pPr>
        <w:ind w:left="160" w:right="239" w:firstLine="646"/>
        <w:spacing w:after="0" w:line="258"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future collaborator of ours were to be involved in a business combination, the continued pursuit and emphasis on our product development or commercialization program could be delayed, diminished or terminated.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8" w:lineRule="exact"/>
        <w:rPr>
          <w:sz w:val="20"/>
          <w:szCs w:val="20"/>
          <w:color w:val="auto"/>
        </w:rPr>
      </w:pPr>
    </w:p>
    <w:p>
      <w:pPr>
        <w:ind w:left="160" w:right="579"/>
        <w:spacing w:after="0" w:line="276" w:lineRule="auto"/>
        <w:rPr>
          <w:sz w:val="20"/>
          <w:szCs w:val="20"/>
          <w:color w:val="auto"/>
        </w:rPr>
      </w:pPr>
      <w:r>
        <w:rPr>
          <w:rFonts w:ascii="Arial" w:cs="Arial" w:eastAsia="Arial" w:hAnsi="Arial"/>
          <w:sz w:val="18"/>
          <w:szCs w:val="18"/>
          <w:b w:val="1"/>
          <w:bCs w:val="1"/>
          <w:i w:val="1"/>
          <w:iCs w:val="1"/>
          <w:color w:val="auto"/>
        </w:rPr>
        <w:t>If we fail to comply with our obligations under our intellectual property licenses with third parties, we could lose license rights that are important to our business.</w:t>
      </w:r>
    </w:p>
    <w:p>
      <w:pPr>
        <w:spacing w:after="0" w:line="170"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We are a party to a number of intellectual property license agreements with third parties, including Infinity, Scripps and Pfizer, and expect to enter into additional license agreements in the future. Our existing license agreements impose, and we expect that future license agreements will impose, various diligence, milestone payment, royalty, insurance and other obligations on us. For example, under our license agreements with Infinity, Scripps, and Pfizer, we are required to use diligent or commercially reasonable efforts to develop and commercialize licensed products under the agreement and to satisfy other specified obligations. If we fail to comply with our obligations under these licenses, our licensors may have the right to terminate these license agreements, in which event we might not be able to market any product that is covered by these agreements, or to convert the exclusive licenses to non-exclusive licenses, which could materially adversely affect the value of the product candidate being developed under these license agreements. Termination of these license agreements or reduction or elimination of our licensed rights may result in our having to negotiate new or reinstated licenses with less favorable terms, which may not be possible. If Scripps were to terminate its license agreement with us for any reason, we would lose our rights to VS</w:t>
      </w:r>
      <w:r>
        <w:rPr>
          <w:rFonts w:ascii="MS PGothic" w:cs="MS PGothic" w:eastAsia="MS PGothic" w:hAnsi="MS PGothic"/>
          <w:sz w:val="16"/>
          <w:szCs w:val="16"/>
          <w:color w:val="auto"/>
        </w:rPr>
        <w:t>‑</w:t>
      </w:r>
      <w:r>
        <w:rPr>
          <w:rFonts w:ascii="Arial" w:cs="Arial" w:eastAsia="Arial" w:hAnsi="Arial"/>
          <w:sz w:val="16"/>
          <w:szCs w:val="16"/>
          <w:color w:val="auto"/>
        </w:rPr>
        <w:t>4718. If Pfizer were to terminate its license agreement with us for any reason, we would lose our rights to defactinib. If Infinity were to terminate its license agreement with us for any reason, we would lose our rights to duvelisib.</w:t>
      </w:r>
    </w:p>
    <w:p>
      <w:pPr>
        <w:spacing w:after="0" w:line="203" w:lineRule="exact"/>
        <w:rPr>
          <w:sz w:val="20"/>
          <w:szCs w:val="20"/>
          <w:color w:val="auto"/>
        </w:rPr>
      </w:pPr>
    </w:p>
    <w:p>
      <w:pPr>
        <w:ind w:left="160" w:right="379"/>
        <w:spacing w:after="0" w:line="326" w:lineRule="auto"/>
        <w:rPr>
          <w:sz w:val="20"/>
          <w:szCs w:val="20"/>
          <w:color w:val="auto"/>
        </w:rPr>
      </w:pPr>
      <w:r>
        <w:rPr>
          <w:rFonts w:ascii="Arial" w:cs="Arial" w:eastAsia="Arial" w:hAnsi="Arial"/>
          <w:sz w:val="15"/>
          <w:szCs w:val="15"/>
          <w:b w:val="1"/>
          <w:bCs w:val="1"/>
          <w:i w:val="1"/>
          <w:iCs w:val="1"/>
          <w:color w:val="auto"/>
        </w:rPr>
        <w:t>If we are unable to obtain and maintain patent protection for our products, or if our licensors are unable to obtain and maintain patent protection for the products that we license from them, or if the scope of the patent protection obtained is not sufficiently broad, our competitors could develop and commercialize products similar or identical to ours, and our ability to successfully commercialize our products may be adversely affected.</w:t>
      </w:r>
    </w:p>
    <w:p>
      <w:pPr>
        <w:spacing w:after="0" w:line="140" w:lineRule="exact"/>
        <w:rPr>
          <w:sz w:val="20"/>
          <w:szCs w:val="20"/>
          <w:color w:val="auto"/>
        </w:rPr>
      </w:pPr>
    </w:p>
    <w:p>
      <w:pPr>
        <w:ind w:left="160" w:right="359" w:firstLine="646"/>
        <w:spacing w:after="0" w:line="300" w:lineRule="auto"/>
        <w:rPr>
          <w:sz w:val="20"/>
          <w:szCs w:val="20"/>
          <w:color w:val="auto"/>
        </w:rPr>
      </w:pPr>
      <w:r>
        <w:rPr>
          <w:rFonts w:ascii="Arial" w:cs="Arial" w:eastAsia="Arial" w:hAnsi="Arial"/>
          <w:sz w:val="16"/>
          <w:szCs w:val="16"/>
          <w:color w:val="auto"/>
        </w:rPr>
        <w:t>Our success depends in large part on our and our licensors’ ability to obtain and maintain patent protection in the United States and other countries with respect to our products. We and our licensors seek to protect our proprietary position by filing patent applications in the United States and abroad related to our products that are important to our business. We cannot be certain that any patents will issue with claims that cover our product candidates.</w:t>
      </w:r>
    </w:p>
    <w:p>
      <w:pPr>
        <w:spacing w:after="0" w:line="157" w:lineRule="exact"/>
        <w:rPr>
          <w:sz w:val="20"/>
          <w:szCs w:val="20"/>
          <w:color w:val="auto"/>
        </w:rPr>
      </w:pPr>
    </w:p>
    <w:p>
      <w:pPr>
        <w:ind w:left="160" w:right="199" w:firstLine="646"/>
        <w:spacing w:after="0" w:line="269" w:lineRule="auto"/>
        <w:rPr>
          <w:sz w:val="20"/>
          <w:szCs w:val="20"/>
          <w:color w:val="auto"/>
        </w:rPr>
      </w:pPr>
      <w:r>
        <w:rPr>
          <w:rFonts w:ascii="Arial" w:cs="Arial" w:eastAsia="Arial" w:hAnsi="Arial"/>
          <w:sz w:val="17"/>
          <w:szCs w:val="17"/>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products that we license from third parties and are reliant on our licensors. For example, we do not control the prosecution of the patent applications owned by Scripps. Therefore, we cannot be certain that these patents and applications will be prosecuted and enforced in a manner consistent with the best interests of our business. If such licensors fail to maintain such patents, or lose rights to those patents, the rights we have licensed may be reduced or eliminated.</w:t>
      </w:r>
    </w:p>
    <w:p>
      <w:pPr>
        <w:spacing w:after="0" w:line="181" w:lineRule="exact"/>
        <w:rPr>
          <w:sz w:val="20"/>
          <w:szCs w:val="20"/>
          <w:color w:val="auto"/>
        </w:rPr>
      </w:pPr>
    </w:p>
    <w:p>
      <w:pPr>
        <w:ind w:left="160" w:right="179" w:firstLine="646"/>
        <w:spacing w:after="0" w:line="271"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and our licensors’ pending and future patent applications may not result in patents being issued which protect our products or which effectively prevent others from commercializing competitive products. Changes in either the patent laws or interpretation of the patent laws in the United States and other countries may diminish the value of our patents or narrow the scope of our patent protection.</w:t>
      </w:r>
    </w:p>
    <w:p>
      <w:pPr>
        <w:spacing w:after="0" w:line="178" w:lineRule="exact"/>
        <w:rPr>
          <w:sz w:val="20"/>
          <w:szCs w:val="20"/>
          <w:color w:val="auto"/>
        </w:rPr>
      </w:pPr>
    </w:p>
    <w:p>
      <w:pPr>
        <w:ind w:left="160" w:right="199" w:firstLine="646"/>
        <w:spacing w:after="0" w:line="254" w:lineRule="auto"/>
        <w:rPr>
          <w:sz w:val="20"/>
          <w:szCs w:val="20"/>
          <w:color w:val="auto"/>
        </w:rPr>
      </w:pPr>
      <w:r>
        <w:rPr>
          <w:rFonts w:ascii="Arial" w:cs="Arial" w:eastAsia="Arial" w:hAnsi="Arial"/>
          <w:sz w:val="18"/>
          <w:szCs w:val="18"/>
          <w:color w:val="auto"/>
        </w:rPr>
        <w:t>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39" w:firstLine="646"/>
        <w:spacing w:after="0" w:line="287" w:lineRule="auto"/>
        <w:rPr>
          <w:sz w:val="20"/>
          <w:szCs w:val="20"/>
          <w:color w:val="auto"/>
        </w:rPr>
      </w:pPr>
      <w:r>
        <w:rPr>
          <w:rFonts w:ascii="Arial" w:cs="Arial" w:eastAsia="Arial" w:hAnsi="Arial"/>
          <w:sz w:val="16"/>
          <w:szCs w:val="16"/>
          <w:color w:val="auto"/>
        </w:rPr>
        <w:t>Assuming the other requirements for patentability are met, in the United States, for patents that have an effective filing date prior to March 15, 2013, the first to make the claimed invention is entitled to the patent, while outside the United States, the first to file a patent application is entitled to the patent. In March 2013, the United States transitioned to a first inventor to file system in which, assuming the other requirements for patentability are met, the first inventor to file a patent application will be entitled to the patent. We may be subject to a third party pre issuance submission of prior art to the U.S. Patent and Trademark Office, or become involved in opposition, derivation, reexamination, inter parties review or interference proceedings challenging our patent rights or the patent rights of others. An adverse determination in any such submission, proceeding or litigation could reduce the scope of, or invalidate, our patent rights, allow third parties to commercialize our products and compete directly with us, without payment to us, or result in our inability to manufacture or commercialize products without infringing third-party patent rights.</w:t>
      </w:r>
    </w:p>
    <w:p>
      <w:pPr>
        <w:spacing w:after="0" w:line="169" w:lineRule="exact"/>
        <w:rPr>
          <w:sz w:val="20"/>
          <w:szCs w:val="20"/>
          <w:color w:val="auto"/>
        </w:rPr>
      </w:pPr>
    </w:p>
    <w:p>
      <w:pPr>
        <w:ind w:left="160" w:right="439" w:firstLine="646"/>
        <w:spacing w:after="0" w:line="278"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1" w:lineRule="exact"/>
        <w:rPr>
          <w:sz w:val="20"/>
          <w:szCs w:val="20"/>
          <w:color w:val="auto"/>
        </w:rPr>
      </w:pPr>
    </w:p>
    <w:p>
      <w:pPr>
        <w:ind w:left="160" w:right="139" w:firstLine="646"/>
        <w:spacing w:after="0" w:line="28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which could limit our ability to stop others from using or commercializing similar or identical products, or limit the duration of the patent protection of our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66" w:lineRule="exact"/>
        <w:rPr>
          <w:sz w:val="20"/>
          <w:szCs w:val="20"/>
          <w:color w:val="auto"/>
        </w:rPr>
      </w:pPr>
    </w:p>
    <w:p>
      <w:pPr>
        <w:ind w:left="160" w:right="199"/>
        <w:spacing w:after="0" w:line="276"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which could be expensive, time consuming and unsuccessful.</w:t>
      </w:r>
    </w:p>
    <w:p>
      <w:pPr>
        <w:spacing w:after="0" w:line="170" w:lineRule="exact"/>
        <w:rPr>
          <w:sz w:val="20"/>
          <w:szCs w:val="20"/>
          <w:color w:val="auto"/>
        </w:rPr>
      </w:pPr>
    </w:p>
    <w:p>
      <w:pPr>
        <w:ind w:left="160" w:right="259" w:firstLine="646"/>
        <w:spacing w:after="0" w:line="289" w:lineRule="auto"/>
        <w:rPr>
          <w:sz w:val="20"/>
          <w:szCs w:val="20"/>
          <w:color w:val="auto"/>
        </w:rPr>
      </w:pPr>
      <w:r>
        <w:rPr>
          <w:rFonts w:ascii="Arial" w:cs="Arial" w:eastAsia="Arial" w:hAnsi="Arial"/>
          <w:sz w:val="16"/>
          <w:szCs w:val="16"/>
          <w:color w:val="auto"/>
        </w:rPr>
        <w:t>Competitors may infringe our patents. To counter infringement or unauthorized use, we may be required to file infringement claims, which can be expensive and time 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 In addition, our licensors may have rights to file and prosecute such claims and we are reliant on them.</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619"/>
        <w:spacing w:after="0" w:line="379"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1" w:lineRule="exact"/>
        <w:rPr>
          <w:sz w:val="20"/>
          <w:szCs w:val="20"/>
          <w:color w:val="auto"/>
        </w:rPr>
      </w:pPr>
    </w:p>
    <w:p>
      <w:pPr>
        <w:ind w:left="160" w:right="159" w:firstLine="646"/>
        <w:spacing w:after="0" w:line="285"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without infringing the proprietary rights of third parties. We have yet to conduct comprehensive freedom to operate searches to determine whether our use of certain of the patent rights owned by or licensed to us would infringe patents issued to third parties. We may become party to, or threatened with, future adversarial proceedings or litigation regarding intellectual property rights with respect to our products, including interference proceedings before the U.S. Patent and Trademark Office. Third parties may assert infringement claims against us based on existing patents or patents that may be granted in the future. If we are found to infringe a third party’s intellectual property rights, we could be required to obtain a license from such third party to continue developing and marketing our products.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product. In addition, we could be found liable for monetary damages.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8" w:lineRule="exact"/>
        <w:rPr>
          <w:sz w:val="20"/>
          <w:szCs w:val="20"/>
          <w:color w:val="auto"/>
        </w:rPr>
      </w:pPr>
    </w:p>
    <w:p>
      <w:pPr>
        <w:ind w:left="160" w:right="699"/>
        <w:spacing w:after="0" w:line="276" w:lineRule="auto"/>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70" w:lineRule="exact"/>
        <w:rPr>
          <w:sz w:val="20"/>
          <w:szCs w:val="20"/>
          <w:color w:val="auto"/>
        </w:rPr>
      </w:pPr>
    </w:p>
    <w:p>
      <w:pPr>
        <w:ind w:left="160" w:right="179" w:firstLine="646"/>
        <w:spacing w:after="0" w:line="270"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 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9" w:lineRule="exact"/>
        <w:rPr>
          <w:sz w:val="20"/>
          <w:szCs w:val="20"/>
          <w:color w:val="auto"/>
        </w:rPr>
      </w:pPr>
    </w:p>
    <w:p>
      <w:pPr>
        <w:ind w:left="160" w:right="459"/>
        <w:spacing w:after="0" w:line="276"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70" w:lineRule="exact"/>
        <w:rPr>
          <w:sz w:val="20"/>
          <w:szCs w:val="20"/>
          <w:color w:val="auto"/>
        </w:rPr>
      </w:pPr>
    </w:p>
    <w:p>
      <w:pPr>
        <w:ind w:left="160" w:right="239" w:firstLine="646"/>
        <w:spacing w:after="0" w:line="287"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9" w:lineRule="exact"/>
        <w:rPr>
          <w:sz w:val="20"/>
          <w:szCs w:val="20"/>
          <w:color w:val="auto"/>
        </w:rPr>
      </w:pPr>
    </w:p>
    <w:p>
      <w:pPr>
        <w:ind w:left="160" w:right="499"/>
        <w:spacing w:after="0" w:line="276"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0" w:lineRule="exact"/>
        <w:rPr>
          <w:sz w:val="20"/>
          <w:szCs w:val="20"/>
          <w:color w:val="auto"/>
        </w:rPr>
      </w:pPr>
    </w:p>
    <w:p>
      <w:pPr>
        <w:ind w:left="160" w:right="259" w:firstLine="646"/>
        <w:spacing w:after="0" w:line="290" w:lineRule="auto"/>
        <w:rPr>
          <w:sz w:val="20"/>
          <w:szCs w:val="20"/>
          <w:color w:val="auto"/>
        </w:rPr>
      </w:pPr>
      <w:r>
        <w:rPr>
          <w:rFonts w:ascii="Arial" w:cs="Arial" w:eastAsia="Arial" w:hAnsi="Arial"/>
          <w:sz w:val="16"/>
          <w:szCs w:val="16"/>
          <w:color w:val="auto"/>
        </w:rPr>
        <w:t>In addition to seeking patents for some of our products, we also rely on trade secrets, including unpatented know 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99"/>
        <w:spacing w:after="0" w:line="272" w:lineRule="auto"/>
        <w:rPr>
          <w:sz w:val="20"/>
          <w:szCs w:val="20"/>
          <w:color w:val="auto"/>
        </w:rPr>
      </w:pPr>
      <w:r>
        <w:rPr>
          <w:rFonts w:ascii="Arial" w:cs="Arial" w:eastAsia="Arial" w:hAnsi="Arial"/>
          <w:sz w:val="17"/>
          <w:szCs w:val="17"/>
          <w:color w:val="auto"/>
        </w:rPr>
        <w:t>to obtain adequate remedies for such breaches. Enforcing a claim that a party illegally disclosed or misappropriated a trade secret is difficult, expensive and time 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74" w:lineRule="exact"/>
        <w:rPr>
          <w:sz w:val="20"/>
          <w:szCs w:val="20"/>
          <w:color w:val="auto"/>
        </w:rPr>
      </w:pPr>
    </w:p>
    <w:p>
      <w:pPr>
        <w:ind w:left="160" w:right="799"/>
        <w:spacing w:after="0" w:line="280" w:lineRule="auto"/>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67" w:lineRule="exact"/>
        <w:rPr>
          <w:sz w:val="20"/>
          <w:szCs w:val="20"/>
          <w:color w:val="auto"/>
        </w:rPr>
      </w:pPr>
    </w:p>
    <w:p>
      <w:pPr>
        <w:ind w:left="160" w:right="379"/>
        <w:spacing w:after="0" w:line="340"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25" w:lineRule="exact"/>
        <w:rPr>
          <w:sz w:val="20"/>
          <w:szCs w:val="20"/>
          <w:color w:val="auto"/>
        </w:rPr>
      </w:pPr>
    </w:p>
    <w:p>
      <w:pPr>
        <w:ind w:left="160" w:right="139" w:firstLine="646"/>
        <w:spacing w:after="0" w:line="285"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on third-party contract research organizations to assist us in this process. Securing FDA approval requires the submission of extensive preclinical and clinical data and supporting information to the FDA for each therapeutic indication to establish the product candidate’s safety and efficacy. Securing FDA approval also requires the submission of information about the product manufacturing process to, and inspection of manufacturing facilities by, the FDA.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4" w:lineRule="exact"/>
        <w:rPr>
          <w:sz w:val="20"/>
          <w:szCs w:val="20"/>
          <w:color w:val="auto"/>
        </w:rPr>
      </w:pPr>
    </w:p>
    <w:p>
      <w:pPr>
        <w:ind w:left="160" w:right="139" w:firstLine="646"/>
        <w:spacing w:after="0" w:line="287"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has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 approval commitments that render the approved product not commercially viable.</w:t>
      </w:r>
    </w:p>
    <w:p>
      <w:pPr>
        <w:spacing w:after="0" w:line="169" w:lineRule="exact"/>
        <w:rPr>
          <w:sz w:val="20"/>
          <w:szCs w:val="20"/>
          <w:color w:val="auto"/>
        </w:rPr>
      </w:pPr>
    </w:p>
    <w:p>
      <w:pPr>
        <w:ind w:left="160" w:right="299" w:firstLine="646"/>
        <w:spacing w:after="0" w:line="262"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83" w:lineRule="exact"/>
        <w:rPr>
          <w:sz w:val="20"/>
          <w:szCs w:val="20"/>
          <w:color w:val="auto"/>
        </w:rPr>
      </w:pPr>
    </w:p>
    <w:p>
      <w:pPr>
        <w:ind w:left="160" w:right="319"/>
        <w:spacing w:after="0" w:line="262" w:lineRule="auto"/>
        <w:rPr>
          <w:sz w:val="20"/>
          <w:szCs w:val="20"/>
          <w:color w:val="auto"/>
        </w:rPr>
      </w:pPr>
      <w:r>
        <w:rPr>
          <w:rFonts w:ascii="Arial" w:cs="Arial" w:eastAsia="Arial" w:hAnsi="Arial"/>
          <w:sz w:val="18"/>
          <w:szCs w:val="18"/>
          <w:b w:val="1"/>
          <w:bCs w:val="1"/>
          <w:i w:val="1"/>
          <w:iCs w:val="1"/>
          <w:color w:val="auto"/>
        </w:rPr>
        <w:t>We have received orphan disease status for certain of our product candidates, but there can be no assurance that we will be able to prevent third parties from developing and commercializing products that are competitive to these product candidates.</w:t>
      </w:r>
    </w:p>
    <w:p>
      <w:pPr>
        <w:spacing w:after="0" w:line="183" w:lineRule="exact"/>
        <w:rPr>
          <w:sz w:val="20"/>
          <w:szCs w:val="20"/>
          <w:color w:val="auto"/>
        </w:rPr>
      </w:pPr>
    </w:p>
    <w:p>
      <w:pPr>
        <w:ind w:left="160" w:right="299" w:firstLine="646"/>
        <w:spacing w:after="0" w:line="289" w:lineRule="auto"/>
        <w:rPr>
          <w:sz w:val="20"/>
          <w:szCs w:val="20"/>
          <w:color w:val="auto"/>
        </w:rPr>
      </w:pPr>
      <w:r>
        <w:rPr>
          <w:rFonts w:ascii="Arial" w:cs="Arial" w:eastAsia="Arial" w:hAnsi="Arial"/>
          <w:sz w:val="16"/>
          <w:szCs w:val="16"/>
          <w:color w:val="auto"/>
        </w:rPr>
        <w:t>We received orphan drug designation in the United States, the European Union, and Australia for the use of defactinib in mesothelioma and ovarian cancer, and in the United States and European Union for the use of duvelisib in FL, CLL and SLL. If duvelisib or defactinib obtains marketing authorization, it will receive orphan drug exclusivity. Orphan drug exclusivity grants seven years of marketing exclusivity under the Federal Food, Drug and Cosmetic Act (FDCA), up to ten years of marketing exclusivity in Europe, and five years of marketing exclusivity in Australia. A competitor may receive orphan drug marketing authorization prior to us for the same indication for which we are developing duvelisib or defactinib. Other companies have received orphan drug designations for compounds other than duvelisib or defactinib for the same indications for which we may have received orphan drug</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19"/>
        <w:spacing w:after="0" w:line="285" w:lineRule="auto"/>
        <w:rPr>
          <w:sz w:val="20"/>
          <w:szCs w:val="20"/>
          <w:color w:val="auto"/>
        </w:rPr>
      </w:pPr>
      <w:r>
        <w:rPr>
          <w:rFonts w:ascii="Arial" w:cs="Arial" w:eastAsia="Arial" w:hAnsi="Arial"/>
          <w:sz w:val="16"/>
          <w:szCs w:val="16"/>
          <w:color w:val="auto"/>
        </w:rPr>
        <w:t>designation in corresponding territories. While orphan drug exclusivity for duvelisib or defactinib would provide market exclusivity against the same active ingredient for the same indication, we would not be able to exclude other companies from manufacturing and/or selling drugs using the same active ingredient for the same indication beyond that timeframe on the basis of orphan drug exclusivity. Furthermore, the marketing exclusivity in Europe can be reduced from ten years to six years if the initial designation criteria have significantly changed since the market authorization of the orphan medicinal product. We cannot guarantee that another company also with orphan drug designation will not receive marketing authorization for the same active ingredient and same indication before we do. If that were to happen, our applications for that indication may not be approved until the competing company’s period of exclusivity has expired. Even if we are the first to obtain marketing authorization for an orphan drug indication, there are circumstances under which the FDA may approve a competing product for the same indication during the seven-year period of marketing exclusivity, such as if the later product is the same compound as our product but is shown to be clinically superior to our product, or if the later product is a different drug than our product candidate. Further, the seven-year marketing exclusivity would not prevent competitors from obtaining approval of the same compound for other indications or of another compound for the same use as the orphan drug.</w:t>
      </w:r>
    </w:p>
    <w:p>
      <w:pPr>
        <w:spacing w:after="0" w:line="171" w:lineRule="exact"/>
        <w:rPr>
          <w:sz w:val="20"/>
          <w:szCs w:val="20"/>
          <w:color w:val="auto"/>
        </w:rPr>
      </w:pPr>
    </w:p>
    <w:p>
      <w:pPr>
        <w:jc w:val="both"/>
        <w:ind w:left="160" w:right="219"/>
        <w:spacing w:after="0" w:line="262" w:lineRule="auto"/>
        <w:rPr>
          <w:sz w:val="20"/>
          <w:szCs w:val="20"/>
          <w:color w:val="auto"/>
        </w:rPr>
      </w:pPr>
      <w:r>
        <w:rPr>
          <w:rFonts w:ascii="Arial" w:cs="Arial" w:eastAsia="Arial" w:hAnsi="Arial"/>
          <w:sz w:val="18"/>
          <w:szCs w:val="18"/>
          <w:b w:val="1"/>
          <w:bCs w:val="1"/>
          <w:i w:val="1"/>
          <w:iCs w:val="1"/>
          <w:color w:val="auto"/>
        </w:rPr>
        <w:t>Though we have received fast track designation by the FDA for duvelisib in certain indications, that designation may not actually lead to a faster development or regulatory review or approval process, and it does not ensure that we will receive marketing approval.</w:t>
      </w:r>
    </w:p>
    <w:p>
      <w:pPr>
        <w:spacing w:after="0" w:line="183" w:lineRule="exact"/>
        <w:rPr>
          <w:sz w:val="20"/>
          <w:szCs w:val="20"/>
          <w:color w:val="auto"/>
        </w:rPr>
      </w:pPr>
    </w:p>
    <w:p>
      <w:pPr>
        <w:ind w:left="160" w:right="139" w:firstLine="67"/>
        <w:spacing w:after="0" w:line="289" w:lineRule="auto"/>
        <w:rPr>
          <w:sz w:val="20"/>
          <w:szCs w:val="20"/>
          <w:color w:val="auto"/>
        </w:rPr>
      </w:pPr>
      <w:r>
        <w:rPr>
          <w:rFonts w:ascii="Arial" w:cs="Arial" w:eastAsia="Arial" w:hAnsi="Arial"/>
          <w:sz w:val="16"/>
          <w:szCs w:val="16"/>
          <w:color w:val="auto"/>
        </w:rPr>
        <w:t>The FDA has granted fast track designation to the investigation of duvelisib for the treatment of patients with FL who have received at least two prior therapies and for the potential treatment of patients with CLL who have received at least one prior therapy. Any drug sponsor may apply for such designation if its product candidate is intended for the treatment of a serious or life-threatening disease or condition and the product candidate demonstrates the potential to address an unmet medical need. The FDA has broad discretion whether or not to grant fast track designation. Although duvelisib has received such designation, this may not actually result in a faster development process, review or approval compared to standard FDA procedures. The FDA may withdraw fast track designation if it believes that the clinical development program does not continue to meet the criteria for fast track designation.</w:t>
      </w:r>
    </w:p>
    <w:p>
      <w:pPr>
        <w:spacing w:after="0" w:line="166" w:lineRule="exact"/>
        <w:rPr>
          <w:sz w:val="20"/>
          <w:szCs w:val="20"/>
          <w:color w:val="auto"/>
        </w:rPr>
      </w:pPr>
    </w:p>
    <w:p>
      <w:pPr>
        <w:ind w:left="160" w:right="139"/>
        <w:spacing w:after="0" w:line="310"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could be subject to restrictions or withdrawal from the market and we may be subject to penalties if we fail to comply with regulatory requirements or if we experience unanticipated problems with our products, when and if any of them are approved.</w:t>
      </w:r>
    </w:p>
    <w:p>
      <w:pPr>
        <w:spacing w:after="0" w:line="148" w:lineRule="exact"/>
        <w:rPr>
          <w:sz w:val="20"/>
          <w:szCs w:val="20"/>
          <w:color w:val="auto"/>
        </w:rPr>
      </w:pPr>
    </w:p>
    <w:p>
      <w:pPr>
        <w:ind w:left="160" w:right="159" w:firstLine="646"/>
        <w:spacing w:after="0" w:line="282"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 approval clinical data, labeling, advertising and promotional activities for such product, will be subject to continual requirements of and review by the FDA and other regulatory authorities. These requirements include submissions of safety and other post marketing information and reports, registration and listing requirements, cGMP requirements relating to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or contain requirements for costly post marketing testing and surveillance to monitor the safety or efficacy of the product, including the imposition of a REMS. The FDA closely regulates the post</w:t>
      </w:r>
    </w:p>
    <w:p>
      <w:pPr>
        <w:spacing w:after="0" w:line="7" w:lineRule="exact"/>
        <w:rPr>
          <w:sz w:val="20"/>
          <w:szCs w:val="20"/>
          <w:color w:val="auto"/>
        </w:rPr>
      </w:pPr>
    </w:p>
    <w:p>
      <w:pPr>
        <w:ind w:left="160" w:right="279"/>
        <w:spacing w:after="0" w:line="252" w:lineRule="auto"/>
        <w:rPr>
          <w:sz w:val="20"/>
          <w:szCs w:val="20"/>
          <w:color w:val="auto"/>
        </w:rPr>
      </w:pPr>
      <w:r>
        <w:rPr>
          <w:rFonts w:ascii="Arial" w:cs="Arial" w:eastAsia="Arial" w:hAnsi="Arial"/>
          <w:sz w:val="18"/>
          <w:szCs w:val="18"/>
          <w:color w:val="auto"/>
        </w:rPr>
        <w:t>approval marketing and promotion of drugs to ensure drugs are marketed only for the approved indications and in accordance with the provisions of the approved labeling. The FDA imposes stringent restrictions on manufacturers’ communications regarding off label use and if we do not market our products for their approved indications, we may be subject to enforcement action for off label marketing.</w:t>
      </w:r>
    </w:p>
    <w:p>
      <w:pPr>
        <w:spacing w:after="0" w:line="193" w:lineRule="exact"/>
        <w:rPr>
          <w:sz w:val="20"/>
          <w:szCs w:val="20"/>
          <w:color w:val="auto"/>
        </w:rPr>
      </w:pPr>
    </w:p>
    <w:p>
      <w:pPr>
        <w:ind w:left="160" w:right="159" w:firstLine="646"/>
        <w:spacing w:after="0" w:line="306" w:lineRule="auto"/>
        <w:rPr>
          <w:sz w:val="20"/>
          <w:szCs w:val="20"/>
          <w:color w:val="auto"/>
        </w:rPr>
      </w:pPr>
      <w:r>
        <w:rPr>
          <w:rFonts w:ascii="Arial" w:cs="Arial" w:eastAsia="Arial" w:hAnsi="Arial"/>
          <w:sz w:val="17"/>
          <w:szCs w:val="17"/>
          <w:color w:val="auto"/>
        </w:rPr>
        <w:t>In addition, later discovery of previously unknown problems with our products, manufacturers or manufacturing processes, or failure to comply with regulatory requirements, may yield various results, including:</w:t>
      </w:r>
    </w:p>
    <w:p>
      <w:pPr>
        <w:spacing w:after="0" w:line="40" w:lineRule="exact"/>
        <w:rPr>
          <w:sz w:val="20"/>
          <w:szCs w:val="20"/>
          <w:color w:val="auto"/>
        </w:rPr>
      </w:pPr>
    </w:p>
    <w:p>
      <w:pPr>
        <w:ind w:left="580" w:hanging="107"/>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6" w:lineRule="exact"/>
        <w:rPr>
          <w:rFonts w:ascii="Arial" w:cs="Arial" w:eastAsia="Arial" w:hAnsi="Arial"/>
          <w:sz w:val="18"/>
          <w:szCs w:val="18"/>
          <w:color w:val="auto"/>
        </w:rPr>
      </w:pPr>
    </w:p>
    <w:p>
      <w:pPr>
        <w:ind w:left="640" w:hanging="167"/>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conduct post marketing clinical trials;</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720" w:hanging="247"/>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6" w:lineRule="exact"/>
        <w:rPr>
          <w:rFonts w:ascii="Arial" w:cs="Arial" w:eastAsia="Arial" w:hAnsi="Arial"/>
          <w:sz w:val="18"/>
          <w:szCs w:val="18"/>
          <w:color w:val="auto"/>
        </w:rPr>
      </w:pPr>
    </w:p>
    <w:p>
      <w:pPr>
        <w:ind w:left="640" w:hanging="167"/>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6" w:lineRule="exact"/>
        <w:rPr>
          <w:rFonts w:ascii="Arial" w:cs="Arial" w:eastAsia="Arial" w:hAnsi="Arial"/>
          <w:sz w:val="18"/>
          <w:szCs w:val="18"/>
          <w:color w:val="auto"/>
        </w:rPr>
      </w:pPr>
    </w:p>
    <w:p>
      <w:pPr>
        <w:ind w:left="560" w:hanging="8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6" w:lineRule="exact"/>
        <w:rPr>
          <w:rFonts w:ascii="Arial" w:cs="Arial" w:eastAsia="Arial" w:hAnsi="Arial"/>
          <w:sz w:val="18"/>
          <w:szCs w:val="18"/>
          <w:color w:val="auto"/>
        </w:rPr>
      </w:pPr>
    </w:p>
    <w:p>
      <w:pPr>
        <w:ind w:left="820" w:hanging="347"/>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16" w:lineRule="exact"/>
        <w:rPr>
          <w:rFonts w:ascii="Arial" w:cs="Arial" w:eastAsia="Arial" w:hAnsi="Arial"/>
          <w:sz w:val="18"/>
          <w:szCs w:val="18"/>
          <w:color w:val="auto"/>
        </w:rPr>
      </w:pPr>
    </w:p>
    <w:p>
      <w:pPr>
        <w:ind w:left="620" w:hanging="147"/>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6" w:lineRule="exact"/>
        <w:rPr>
          <w:rFonts w:ascii="Arial" w:cs="Arial" w:eastAsia="Arial" w:hAnsi="Arial"/>
          <w:sz w:val="18"/>
          <w:szCs w:val="18"/>
          <w:color w:val="auto"/>
        </w:rPr>
      </w:pPr>
    </w:p>
    <w:p>
      <w:pPr>
        <w:ind w:left="800" w:hanging="327"/>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6" w:lineRule="exact"/>
        <w:rPr>
          <w:rFonts w:ascii="Arial" w:cs="Arial" w:eastAsia="Arial" w:hAnsi="Arial"/>
          <w:sz w:val="18"/>
          <w:szCs w:val="18"/>
          <w:color w:val="auto"/>
        </w:rPr>
      </w:pPr>
    </w:p>
    <w:p>
      <w:pPr>
        <w:ind w:left="600" w:hanging="127"/>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6" w:lineRule="exact"/>
        <w:rPr>
          <w:sz w:val="20"/>
          <w:szCs w:val="20"/>
          <w:color w:val="auto"/>
        </w:rPr>
      </w:pPr>
    </w:p>
    <w:p>
      <w:pPr>
        <w:ind w:left="160" w:right="159" w:firstLine="646"/>
        <w:spacing w:after="0" w:line="274"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fail to obtain any marketing approvals, lose any marketing approval that we may have obtained and we may not achieve or sustain profitability.</w:t>
      </w:r>
    </w:p>
    <w:p>
      <w:pPr>
        <w:spacing w:after="0" w:line="69" w:lineRule="exact"/>
        <w:rPr>
          <w:sz w:val="20"/>
          <w:szCs w:val="20"/>
          <w:color w:val="auto"/>
        </w:rPr>
      </w:pPr>
    </w:p>
    <w:p>
      <w:pPr>
        <w:jc w:val="both"/>
        <w:ind w:left="160" w:right="279"/>
        <w:spacing w:after="0" w:line="285"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65" w:lineRule="exact"/>
        <w:rPr>
          <w:sz w:val="20"/>
          <w:szCs w:val="20"/>
          <w:color w:val="auto"/>
        </w:rPr>
      </w:pPr>
    </w:p>
    <w:p>
      <w:pPr>
        <w:ind w:left="160" w:right="139" w:firstLine="646"/>
        <w:spacing w:after="0" w:line="254"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85" w:lineRule="exact"/>
        <w:rPr>
          <w:sz w:val="20"/>
          <w:szCs w:val="20"/>
          <w:color w:val="auto"/>
        </w:rPr>
      </w:pPr>
    </w:p>
    <w:p>
      <w:pPr>
        <w:ind w:left="560" w:right="159" w:hanging="87"/>
        <w:spacing w:after="0" w:line="300"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49" w:lineRule="exact"/>
        <w:rPr>
          <w:rFonts w:ascii="Arial" w:cs="Arial" w:eastAsia="Arial" w:hAnsi="Arial"/>
          <w:sz w:val="16"/>
          <w:szCs w:val="16"/>
          <w:color w:val="auto"/>
        </w:rPr>
      </w:pPr>
    </w:p>
    <w:p>
      <w:pPr>
        <w:ind w:left="560" w:right="219" w:hanging="87"/>
        <w:spacing w:after="0" w:line="300"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False Claims Act (FCA) imposes criminal and civil penalties on individuals or entities for knowingly presenting, or causing to be presented, to the federal government, claims for payment that are false or fraudulent or making a false statement to avoid, decrease or conceal an obligation to pay money to the federal government and actions under the FCA may be brought by private whistleblowers as well as the government;</w:t>
      </w:r>
    </w:p>
    <w:p>
      <w:pPr>
        <w:spacing w:after="0" w:line="49" w:lineRule="exact"/>
        <w:rPr>
          <w:rFonts w:ascii="Arial" w:cs="Arial" w:eastAsia="Arial" w:hAnsi="Arial"/>
          <w:sz w:val="16"/>
          <w:szCs w:val="16"/>
          <w:color w:val="auto"/>
        </w:rPr>
      </w:pPr>
    </w:p>
    <w:p>
      <w:pPr>
        <w:ind w:left="560" w:right="179" w:hanging="87"/>
        <w:spacing w:after="0" w:line="274" w:lineRule="auto"/>
        <w:tabs>
          <w:tab w:leader="none" w:pos="5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imposes criminal and civil liability for executing a scheme to defraud any healthcare benefit program and HIPAA, as amended by the Health Information Technology for Economic and Clinical Health Act, also establishes requirements related to the privacy, security and transmission of individually identifiable health information which apply to many healthcare providers, physicians and third-party payors with whom we interact;</w:t>
      </w:r>
    </w:p>
    <w:p>
      <w:pPr>
        <w:spacing w:after="0" w:line="68" w:lineRule="exact"/>
        <w:rPr>
          <w:rFonts w:ascii="Arial" w:cs="Arial" w:eastAsia="Arial" w:hAnsi="Arial"/>
          <w:sz w:val="17"/>
          <w:szCs w:val="17"/>
          <w:color w:val="auto"/>
        </w:rPr>
      </w:pPr>
    </w:p>
    <w:p>
      <w:pPr>
        <w:ind w:left="560" w:right="239" w:hanging="87"/>
        <w:spacing w:after="0" w:line="262"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75" w:lineRule="exact"/>
        <w:rPr>
          <w:rFonts w:ascii="Arial" w:cs="Arial" w:eastAsia="Arial" w:hAnsi="Arial"/>
          <w:sz w:val="18"/>
          <w:szCs w:val="18"/>
          <w:color w:val="auto"/>
        </w:rPr>
      </w:pPr>
    </w:p>
    <w:p>
      <w:pPr>
        <w:ind w:left="560" w:right="599" w:hanging="87"/>
        <w:spacing w:after="0" w:line="340"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FDCA, which among other things, strictly regulates drug product and medical device marketing, prohibits manufacturers from marketing such products for off-label use and regulates the distribution of samples;</w:t>
      </w:r>
    </w:p>
    <w:p>
      <w:pPr>
        <w:spacing w:after="0" w:line="17" w:lineRule="exact"/>
        <w:rPr>
          <w:rFonts w:ascii="Arial" w:cs="Arial" w:eastAsia="Arial" w:hAnsi="Arial"/>
          <w:sz w:val="16"/>
          <w:szCs w:val="16"/>
          <w:color w:val="auto"/>
        </w:rPr>
      </w:pPr>
    </w:p>
    <w:p>
      <w:pPr>
        <w:ind w:left="560" w:right="859" w:hanging="87"/>
        <w:spacing w:after="0" w:line="340"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federal laws that require pharmaceutical manufacturers to report certain calculated product prices to the government or provide certain discounts or rebates to government authorities or private entities, often as a</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condition of reimbursement under government healthcare programs;</w:t>
      </w:r>
    </w:p>
    <w:p>
      <w:pPr>
        <w:spacing w:after="0" w:line="116" w:lineRule="exact"/>
        <w:rPr>
          <w:sz w:val="20"/>
          <w:szCs w:val="20"/>
          <w:color w:val="auto"/>
        </w:rPr>
      </w:pPr>
    </w:p>
    <w:p>
      <w:pPr>
        <w:ind w:left="560" w:right="239" w:hanging="87"/>
        <w:spacing w:after="0" w:line="258" w:lineRule="auto"/>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Act requires manufacturers of drugs, devices, biologics and medical supplies to report to the Department of Health and Human Services information related to payments and other transfers of value to physicians and teaching hospitals, as well as physician ownership and investment interests; and</w:t>
      </w:r>
    </w:p>
    <w:p>
      <w:pPr>
        <w:spacing w:after="0" w:line="78" w:lineRule="exact"/>
        <w:rPr>
          <w:rFonts w:ascii="Arial" w:cs="Arial" w:eastAsia="Arial" w:hAnsi="Arial"/>
          <w:sz w:val="18"/>
          <w:szCs w:val="18"/>
          <w:color w:val="auto"/>
        </w:rPr>
      </w:pPr>
    </w:p>
    <w:p>
      <w:pPr>
        <w:ind w:left="560" w:right="179" w:hanging="87"/>
        <w:spacing w:after="0" w:line="290" w:lineRule="auto"/>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regulate interactions between pharmaceutical companies and health care providers and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pricing information.</w:t>
      </w:r>
    </w:p>
    <w:p>
      <w:pPr>
        <w:spacing w:after="0" w:line="59" w:lineRule="exact"/>
        <w:rPr>
          <w:sz w:val="20"/>
          <w:szCs w:val="20"/>
          <w:color w:val="auto"/>
        </w:rPr>
      </w:pPr>
    </w:p>
    <w:p>
      <w:pPr>
        <w:ind w:left="160" w:right="219" w:firstLine="646"/>
        <w:spacing w:after="0" w:line="28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166" w:lineRule="exact"/>
        <w:rPr>
          <w:sz w:val="20"/>
          <w:szCs w:val="20"/>
          <w:color w:val="auto"/>
        </w:rPr>
      </w:pPr>
    </w:p>
    <w:p>
      <w:pPr>
        <w:jc w:val="both"/>
        <w:ind w:left="160" w:right="599"/>
        <w:spacing w:after="0" w:line="285"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vendors may engage in misconduct or other improper activities, including non-compliance with regulatory standards and requirements, which could cause significant liability for us and harm our reputation.</w:t>
      </w:r>
    </w:p>
    <w:p>
      <w:pPr>
        <w:spacing w:after="0" w:line="165" w:lineRule="exact"/>
        <w:rPr>
          <w:sz w:val="20"/>
          <w:szCs w:val="20"/>
          <w:color w:val="auto"/>
        </w:rPr>
      </w:pPr>
    </w:p>
    <w:p>
      <w:pPr>
        <w:ind w:left="160" w:right="139" w:firstLine="646"/>
        <w:spacing w:after="0" w:line="285"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and vendors may engage in fraud or other misconduct, including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1" w:lineRule="exact"/>
        <w:rPr>
          <w:sz w:val="20"/>
          <w:szCs w:val="20"/>
          <w:color w:val="auto"/>
        </w:rPr>
      </w:pPr>
    </w:p>
    <w:p>
      <w:pPr>
        <w:ind w:left="160" w:right="459"/>
        <w:spacing w:after="0" w:line="306" w:lineRule="auto"/>
        <w:rPr>
          <w:sz w:val="20"/>
          <w:szCs w:val="20"/>
          <w:color w:val="auto"/>
        </w:rPr>
      </w:pPr>
      <w:r>
        <w:rPr>
          <w:rFonts w:ascii="Arial" w:cs="Arial" w:eastAsia="Arial" w:hAnsi="Arial"/>
          <w:sz w:val="17"/>
          <w:szCs w:val="17"/>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48" w:lineRule="exact"/>
        <w:rPr>
          <w:sz w:val="20"/>
          <w:szCs w:val="20"/>
          <w:color w:val="auto"/>
        </w:rPr>
      </w:pPr>
    </w:p>
    <w:p>
      <w:pPr>
        <w:ind w:left="160" w:right="459" w:firstLine="646"/>
        <w:spacing w:after="0" w:line="25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 approval activities and affect our ability to profitably sell any product candidates for which we obtain marketing approval.</w:t>
      </w:r>
    </w:p>
    <w:p>
      <w:pPr>
        <w:spacing w:after="0" w:line="187" w:lineRule="exact"/>
        <w:rPr>
          <w:sz w:val="20"/>
          <w:szCs w:val="20"/>
          <w:color w:val="auto"/>
        </w:rPr>
      </w:pPr>
    </w:p>
    <w:p>
      <w:pPr>
        <w:ind w:left="160" w:right="699" w:firstLine="646"/>
        <w:spacing w:after="0" w:line="340" w:lineRule="auto"/>
        <w:rPr>
          <w:sz w:val="20"/>
          <w:szCs w:val="20"/>
          <w:color w:val="auto"/>
        </w:rPr>
      </w:pPr>
      <w:r>
        <w:rPr>
          <w:rFonts w:ascii="Arial" w:cs="Arial" w:eastAsia="Arial" w:hAnsi="Arial"/>
          <w:sz w:val="16"/>
          <w:szCs w:val="16"/>
          <w:color w:val="auto"/>
        </w:rPr>
        <w:t>The U.S. healthcare industry generally and U.S. government healthcare programs in particular are highly regulated and subject to frequent and substantial changes. The U.S. government and individual states have been</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99"/>
        <w:spacing w:after="0" w:line="289" w:lineRule="auto"/>
        <w:rPr>
          <w:sz w:val="20"/>
          <w:szCs w:val="20"/>
          <w:color w:val="auto"/>
        </w:rPr>
      </w:pPr>
      <w:r>
        <w:rPr>
          <w:rFonts w:ascii="Arial" w:cs="Arial" w:eastAsia="Arial" w:hAnsi="Arial"/>
          <w:sz w:val="16"/>
          <w:szCs w:val="16"/>
          <w:color w:val="auto"/>
        </w:rPr>
        <w:t>aggressively pursuing healthcare reform. In March 2010, President Obama signed into law the Health Care Reform Act,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law, for example, increased drug rebates under state Medicaid programs for brand name prescription drugs and extending those rebates to Medicaid managed care and assessed a fee on manufacturers and importers of brand name prescription drugs reimbursed under certain government programs, including Medicare and Medicaid. Substantial new provisions affecting compliance have also been enacted, which may affect our business practices with health care practitioners.</w:t>
      </w:r>
    </w:p>
    <w:p>
      <w:pPr>
        <w:spacing w:after="0" w:line="166" w:lineRule="exact"/>
        <w:rPr>
          <w:sz w:val="20"/>
          <w:szCs w:val="20"/>
          <w:color w:val="auto"/>
        </w:rPr>
      </w:pPr>
    </w:p>
    <w:p>
      <w:pPr>
        <w:ind w:left="160" w:right="219" w:firstLine="646"/>
        <w:spacing w:after="0" w:line="310" w:lineRule="auto"/>
        <w:rPr>
          <w:sz w:val="20"/>
          <w:szCs w:val="20"/>
          <w:color w:val="auto"/>
        </w:rPr>
      </w:pPr>
      <w:r>
        <w:rPr>
          <w:rFonts w:ascii="Arial" w:cs="Arial" w:eastAsia="Arial" w:hAnsi="Arial"/>
          <w:sz w:val="16"/>
          <w:szCs w:val="16"/>
          <w:color w:val="auto"/>
        </w:rPr>
        <w:t>Within the U.S., significant healthcare reform efforts are anticipated under the new Trump Administration and Congress. For example, Republican leaders recently presented a plan to replace the Health Care Reform Act. We cannot predict the ultimate content, timing or effect of any changes to the Health Care Reform Act or any other reform efforts.</w:t>
      </w:r>
    </w:p>
    <w:p>
      <w:pPr>
        <w:spacing w:after="0" w:line="148" w:lineRule="exact"/>
        <w:rPr>
          <w:sz w:val="20"/>
          <w:szCs w:val="20"/>
          <w:color w:val="auto"/>
        </w:rPr>
      </w:pPr>
    </w:p>
    <w:p>
      <w:pPr>
        <w:ind w:left="160" w:right="279" w:firstLine="646"/>
        <w:spacing w:after="0" w:line="256" w:lineRule="auto"/>
        <w:rPr>
          <w:sz w:val="20"/>
          <w:szCs w:val="20"/>
          <w:color w:val="auto"/>
        </w:rPr>
      </w:pPr>
      <w:r>
        <w:rPr>
          <w:rFonts w:ascii="Arial" w:cs="Arial" w:eastAsia="Arial" w:hAnsi="Arial"/>
          <w:sz w:val="18"/>
          <w:szCs w:val="18"/>
          <w:color w:val="auto"/>
        </w:rPr>
        <w:t>We cannot be sure whether additional legislative changes will be enacted, or whether the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 marketing testing and other requirements.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8" w:lineRule="exact"/>
        <w:rPr>
          <w:sz w:val="20"/>
          <w:szCs w:val="20"/>
          <w:color w:val="auto"/>
        </w:rPr>
      </w:pPr>
    </w:p>
    <w:p>
      <w:pPr>
        <w:ind w:left="160" w:right="219"/>
        <w:spacing w:after="0" w:line="276"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and other key executives and to attract, retain and motivate qualified personnel.</w:t>
      </w:r>
    </w:p>
    <w:p>
      <w:pPr>
        <w:spacing w:after="0" w:line="170" w:lineRule="exact"/>
        <w:rPr>
          <w:sz w:val="20"/>
          <w:szCs w:val="20"/>
          <w:color w:val="auto"/>
        </w:rPr>
      </w:pPr>
    </w:p>
    <w:p>
      <w:pPr>
        <w:ind w:left="160" w:right="279" w:firstLine="646"/>
        <w:spacing w:after="0" w:line="272" w:lineRule="auto"/>
        <w:rPr>
          <w:sz w:val="20"/>
          <w:szCs w:val="20"/>
          <w:color w:val="auto"/>
        </w:rPr>
      </w:pPr>
      <w:r>
        <w:rPr>
          <w:rFonts w:ascii="Arial" w:cs="Arial" w:eastAsia="Arial" w:hAnsi="Arial"/>
          <w:sz w:val="17"/>
          <w:szCs w:val="17"/>
          <w:color w:val="auto"/>
        </w:rPr>
        <w:t>We are highly dependent on Robert Forrester, our President and Chief Executive Officer, and Daniel Paterson, our Chief Operating Officer, as well as the other principal members of our management and scientific teams. Although we have formal employment agreements with Robert Forrester and Daniel Paterson, these agreements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78" w:lineRule="exact"/>
        <w:rPr>
          <w:sz w:val="20"/>
          <w:szCs w:val="20"/>
          <w:color w:val="auto"/>
        </w:rPr>
      </w:pPr>
    </w:p>
    <w:p>
      <w:pPr>
        <w:ind w:left="160" w:right="159" w:firstLine="646"/>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universities and research institutions for similar personnel. Although we have implemented a retention plan for certain key employees, our retention plan may not be successful in incentivizing these employees to continue their employment with us.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39"/>
        <w:spacing w:after="0" w:line="306" w:lineRule="auto"/>
        <w:rPr>
          <w:sz w:val="20"/>
          <w:szCs w:val="20"/>
          <w:color w:val="auto"/>
        </w:rPr>
      </w:pPr>
      <w:r>
        <w:rPr>
          <w:rFonts w:ascii="Arial" w:cs="Arial" w:eastAsia="Arial" w:hAnsi="Arial"/>
          <w:sz w:val="17"/>
          <w:szCs w:val="17"/>
          <w:b w:val="1"/>
          <w:bCs w:val="1"/>
          <w:i w:val="1"/>
          <w:iCs w:val="1"/>
          <w:color w:val="auto"/>
        </w:rPr>
        <w:t>We may expand our development, regulatory and future sales and marketing capabilities over time, and as a result, we may encounter difficulties in managing our growth, which could disrupt our operations.</w:t>
      </w:r>
    </w:p>
    <w:p>
      <w:pPr>
        <w:spacing w:after="0" w:line="26" w:lineRule="exact"/>
        <w:rPr>
          <w:sz w:val="20"/>
          <w:szCs w:val="20"/>
          <w:color w:val="auto"/>
        </w:rPr>
      </w:pPr>
    </w:p>
    <w:p>
      <w:pPr>
        <w:ind w:left="160" w:right="139" w:firstLine="646"/>
        <w:spacing w:after="0" w:line="269" w:lineRule="auto"/>
        <w:rPr>
          <w:sz w:val="20"/>
          <w:szCs w:val="20"/>
          <w:color w:val="auto"/>
        </w:rPr>
      </w:pPr>
      <w:r>
        <w:rPr>
          <w:rFonts w:ascii="Arial" w:cs="Arial" w:eastAsia="Arial" w:hAnsi="Arial"/>
          <w:sz w:val="17"/>
          <w:szCs w:val="17"/>
          <w:color w:val="auto"/>
        </w:rPr>
        <w:t>We may experience significant growth over time in the number of our employees and the scope of our operations, particularly in the areas of drug development, regulatory affairs and sales and marketing. To manage our anticipated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when we expand.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business and operations may be materially adversely affected in the event of computer system failures.</w:t>
      </w:r>
    </w:p>
    <w:p>
      <w:pPr>
        <w:spacing w:after="0" w:line="235" w:lineRule="exact"/>
        <w:rPr>
          <w:sz w:val="20"/>
          <w:szCs w:val="20"/>
          <w:color w:val="auto"/>
        </w:rPr>
      </w:pPr>
    </w:p>
    <w:p>
      <w:pPr>
        <w:ind w:left="160" w:right="199" w:firstLine="646"/>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third parties on which we rely, are vulnerable to damage from computer viruses, unauthorized access, natural disasters, fire, terrorism, war and telecommunication and electrical failures. If such an event were to occur and cause interruptions in our operations, it could result in a material disruption of our clinical development programs.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COMMON STOCK</w:t>
      </w:r>
    </w:p>
    <w:p>
      <w:pPr>
        <w:spacing w:after="0" w:line="201" w:lineRule="exact"/>
        <w:rPr>
          <w:sz w:val="20"/>
          <w:szCs w:val="20"/>
          <w:color w:val="auto"/>
        </w:rPr>
      </w:pPr>
    </w:p>
    <w:p>
      <w:pPr>
        <w:ind w:left="160" w:right="259"/>
        <w:spacing w:after="0" w:line="262"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43" w:lineRule="exact"/>
        <w:rPr>
          <w:sz w:val="20"/>
          <w:szCs w:val="20"/>
          <w:color w:val="auto"/>
        </w:rPr>
      </w:pPr>
    </w:p>
    <w:p>
      <w:pPr>
        <w:ind w:left="160" w:right="299" w:firstLine="646"/>
        <w:spacing w:after="0" w:line="253"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560" w:hanging="87"/>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02" w:lineRule="exact"/>
        <w:rPr>
          <w:rFonts w:ascii="Arial" w:cs="Arial" w:eastAsia="Arial" w:hAnsi="Arial"/>
          <w:sz w:val="18"/>
          <w:szCs w:val="18"/>
          <w:color w:val="auto"/>
        </w:rPr>
      </w:pPr>
    </w:p>
    <w:p>
      <w:pPr>
        <w:ind w:left="560" w:hanging="87"/>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02" w:lineRule="exact"/>
        <w:rPr>
          <w:rFonts w:ascii="Arial" w:cs="Arial" w:eastAsia="Arial" w:hAnsi="Arial"/>
          <w:sz w:val="18"/>
          <w:szCs w:val="18"/>
          <w:color w:val="auto"/>
        </w:rPr>
      </w:pPr>
    </w:p>
    <w:p>
      <w:pPr>
        <w:ind w:left="580" w:hanging="107"/>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02" w:lineRule="exact"/>
        <w:rPr>
          <w:rFonts w:ascii="Arial" w:cs="Arial" w:eastAsia="Arial" w:hAnsi="Arial"/>
          <w:sz w:val="18"/>
          <w:szCs w:val="18"/>
          <w:color w:val="auto"/>
        </w:rPr>
      </w:pPr>
    </w:p>
    <w:p>
      <w:pPr>
        <w:ind w:left="560" w:right="359" w:hanging="87"/>
        <w:spacing w:after="0" w:line="276"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48" w:lineRule="exact"/>
        <w:rPr>
          <w:rFonts w:ascii="Arial" w:cs="Arial" w:eastAsia="Arial" w:hAnsi="Arial"/>
          <w:sz w:val="18"/>
          <w:szCs w:val="18"/>
          <w:color w:val="auto"/>
        </w:rPr>
      </w:pPr>
    </w:p>
    <w:p>
      <w:pPr>
        <w:ind w:left="560" w:right="359" w:hanging="87"/>
        <w:spacing w:after="0" w:line="276"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48" w:lineRule="exact"/>
        <w:rPr>
          <w:rFonts w:ascii="Arial" w:cs="Arial" w:eastAsia="Arial" w:hAnsi="Arial"/>
          <w:sz w:val="18"/>
          <w:szCs w:val="18"/>
          <w:color w:val="auto"/>
        </w:rPr>
      </w:pPr>
    </w:p>
    <w:p>
      <w:pPr>
        <w:ind w:left="640" w:hanging="16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02" w:lineRule="exact"/>
        <w:rPr>
          <w:rFonts w:ascii="Arial" w:cs="Arial" w:eastAsia="Arial" w:hAnsi="Arial"/>
          <w:sz w:val="18"/>
          <w:szCs w:val="18"/>
          <w:color w:val="auto"/>
        </w:rPr>
      </w:pPr>
    </w:p>
    <w:p>
      <w:pPr>
        <w:ind w:left="560" w:right="459" w:hanging="87"/>
        <w:spacing w:after="0" w:line="285" w:lineRule="auto"/>
        <w:tabs>
          <w:tab w:leader="none" w:pos="5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43" w:lineRule="exact"/>
        <w:rPr>
          <w:rFonts w:ascii="Arial" w:cs="Arial" w:eastAsia="Arial" w:hAnsi="Arial"/>
          <w:sz w:val="17"/>
          <w:szCs w:val="17"/>
          <w:color w:val="auto"/>
        </w:rPr>
      </w:pPr>
    </w:p>
    <w:p>
      <w:pPr>
        <w:ind w:left="560" w:right="239" w:hanging="87"/>
        <w:spacing w:after="0" w:line="276"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39" w:firstLine="646"/>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highly volatile.</w:t>
      </w:r>
    </w:p>
    <w:p>
      <w:pPr>
        <w:spacing w:after="0" w:line="183" w:lineRule="exact"/>
        <w:rPr>
          <w:sz w:val="20"/>
          <w:szCs w:val="20"/>
          <w:color w:val="auto"/>
        </w:rPr>
      </w:pPr>
    </w:p>
    <w:p>
      <w:pPr>
        <w:ind w:left="160" w:right="199" w:firstLine="646"/>
        <w:spacing w:after="0" w:line="258" w:lineRule="auto"/>
        <w:rPr>
          <w:sz w:val="20"/>
          <w:szCs w:val="20"/>
          <w:color w:val="auto"/>
        </w:rPr>
      </w:pPr>
      <w:r>
        <w:rPr>
          <w:rFonts w:ascii="Arial" w:cs="Arial" w:eastAsia="Arial" w:hAnsi="Arial"/>
          <w:sz w:val="18"/>
          <w:szCs w:val="18"/>
          <w:color w:val="auto"/>
        </w:rPr>
        <w:t>Our stock price has been volatile. Since January 27, 2012, when we became a public company, the price for one share of our common stock has reached a high of $18.82 and a low of $1.05 through March 15, 2017. We cannot predict whether the price of our common stock will rise or fall. The market price for our common stock may be influenced by many factors, including:</w:t>
      </w:r>
    </w:p>
    <w:p>
      <w:pPr>
        <w:spacing w:after="0" w:line="66" w:lineRule="exact"/>
        <w:rPr>
          <w:sz w:val="20"/>
          <w:szCs w:val="20"/>
          <w:color w:val="auto"/>
        </w:rPr>
      </w:pPr>
    </w:p>
    <w:p>
      <w:pPr>
        <w:ind w:left="600" w:hanging="127"/>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2" w:lineRule="exact"/>
        <w:rPr>
          <w:rFonts w:ascii="Arial" w:cs="Arial" w:eastAsia="Arial" w:hAnsi="Arial"/>
          <w:sz w:val="18"/>
          <w:szCs w:val="18"/>
          <w:color w:val="auto"/>
        </w:rPr>
      </w:pPr>
    </w:p>
    <w:p>
      <w:pPr>
        <w:ind w:left="560" w:hanging="87"/>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02" w:lineRule="exact"/>
        <w:rPr>
          <w:rFonts w:ascii="Arial" w:cs="Arial" w:eastAsia="Arial" w:hAnsi="Arial"/>
          <w:sz w:val="18"/>
          <w:szCs w:val="18"/>
          <w:color w:val="auto"/>
        </w:rPr>
      </w:pPr>
    </w:p>
    <w:p>
      <w:pPr>
        <w:ind w:left="580" w:hanging="107"/>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2" w:lineRule="exact"/>
        <w:rPr>
          <w:rFonts w:ascii="Arial" w:cs="Arial" w:eastAsia="Arial" w:hAnsi="Arial"/>
          <w:sz w:val="18"/>
          <w:szCs w:val="18"/>
          <w:color w:val="auto"/>
        </w:rPr>
      </w:pPr>
    </w:p>
    <w:p>
      <w:pPr>
        <w:ind w:left="560" w:hanging="87"/>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2" w:lineRule="exact"/>
        <w:rPr>
          <w:rFonts w:ascii="Arial" w:cs="Arial" w:eastAsia="Arial" w:hAnsi="Arial"/>
          <w:sz w:val="18"/>
          <w:szCs w:val="18"/>
          <w:color w:val="auto"/>
        </w:rPr>
      </w:pPr>
    </w:p>
    <w:p>
      <w:pPr>
        <w:ind w:left="620" w:hanging="147"/>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2" w:lineRule="exact"/>
        <w:rPr>
          <w:rFonts w:ascii="Arial" w:cs="Arial" w:eastAsia="Arial" w:hAnsi="Arial"/>
          <w:sz w:val="18"/>
          <w:szCs w:val="18"/>
          <w:color w:val="auto"/>
        </w:rPr>
      </w:pPr>
    </w:p>
    <w:p>
      <w:pPr>
        <w:ind w:left="560" w:hanging="87"/>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2" w:lineRule="exact"/>
        <w:rPr>
          <w:rFonts w:ascii="Arial" w:cs="Arial" w:eastAsia="Arial" w:hAnsi="Arial"/>
          <w:sz w:val="18"/>
          <w:szCs w:val="18"/>
          <w:color w:val="auto"/>
        </w:rPr>
      </w:pPr>
    </w:p>
    <w:p>
      <w:pPr>
        <w:ind w:left="560" w:hanging="87"/>
        <w:spacing w:after="0"/>
        <w:tabs>
          <w:tab w:leader="none" w:pos="5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Arial" w:cs="Arial" w:eastAsia="Arial" w:hAnsi="Arial"/>
          <w:sz w:val="17"/>
          <w:szCs w:val="17"/>
          <w:color w:val="auto"/>
        </w:rPr>
      </w:pPr>
    </w:p>
    <w:p>
      <w:pPr>
        <w:ind w:left="560" w:right="479" w:hanging="87"/>
        <w:spacing w:after="0" w:line="276"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48" w:lineRule="exact"/>
        <w:rPr>
          <w:rFonts w:ascii="Arial" w:cs="Arial" w:eastAsia="Arial" w:hAnsi="Arial"/>
          <w:sz w:val="18"/>
          <w:szCs w:val="18"/>
          <w:color w:val="auto"/>
        </w:rPr>
      </w:pPr>
    </w:p>
    <w:p>
      <w:pPr>
        <w:ind w:left="560" w:hanging="87"/>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2" w:lineRule="exact"/>
        <w:rPr>
          <w:rFonts w:ascii="Arial" w:cs="Arial" w:eastAsia="Arial" w:hAnsi="Arial"/>
          <w:sz w:val="18"/>
          <w:szCs w:val="18"/>
          <w:color w:val="auto"/>
        </w:rPr>
      </w:pPr>
    </w:p>
    <w:p>
      <w:pPr>
        <w:ind w:left="600" w:hanging="127"/>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2" w:lineRule="exact"/>
        <w:rPr>
          <w:rFonts w:ascii="Arial" w:cs="Arial" w:eastAsia="Arial" w:hAnsi="Arial"/>
          <w:sz w:val="18"/>
          <w:szCs w:val="18"/>
          <w:color w:val="auto"/>
        </w:rPr>
      </w:pPr>
    </w:p>
    <w:p>
      <w:pPr>
        <w:ind w:left="580" w:hanging="107"/>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2" w:lineRule="exact"/>
        <w:rPr>
          <w:rFonts w:ascii="Arial" w:cs="Arial" w:eastAsia="Arial" w:hAnsi="Arial"/>
          <w:sz w:val="18"/>
          <w:szCs w:val="18"/>
          <w:color w:val="auto"/>
        </w:rPr>
      </w:pPr>
    </w:p>
    <w:p>
      <w:pPr>
        <w:ind w:left="600" w:hanging="127"/>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2" w:lineRule="exact"/>
        <w:rPr>
          <w:rFonts w:ascii="Arial" w:cs="Arial" w:eastAsia="Arial" w:hAnsi="Arial"/>
          <w:sz w:val="18"/>
          <w:szCs w:val="18"/>
          <w:color w:val="auto"/>
        </w:rPr>
      </w:pPr>
    </w:p>
    <w:p>
      <w:pPr>
        <w:ind w:left="600" w:hanging="127"/>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03" w:lineRule="exact"/>
        <w:rPr>
          <w:sz w:val="20"/>
          <w:szCs w:val="20"/>
          <w:color w:val="auto"/>
        </w:rPr>
      </w:pPr>
    </w:p>
    <w:p>
      <w:pPr>
        <w:ind w:left="160" w:right="139" w:firstLine="646"/>
        <w:spacing w:after="0" w:line="290" w:lineRule="auto"/>
        <w:rPr>
          <w:sz w:val="20"/>
          <w:szCs w:val="20"/>
          <w:color w:val="auto"/>
        </w:rPr>
      </w:pPr>
      <w:r>
        <w:rPr>
          <w:rFonts w:ascii="Arial" w:cs="Arial" w:eastAsia="Arial" w:hAnsi="Arial"/>
          <w:sz w:val="16"/>
          <w:szCs w:val="16"/>
          <w:color w:val="auto"/>
        </w:rPr>
        <w:t>In addition, the stock market in general and the market for small pharmaceutical companies and biotechnology companies in particular have experienced extreme price and volume fluctuations that have often been unrelated or disproportionate to the operating performance of particular companies. Broad market and industry factors may negatively affect the market price of our common stock, regardless of our actual operating performance. In the past, following periods of volatility in the market, securities class action litigation has often been instituted against companies. Such litigation, if instituted against us, could result in substantial costs and diversion of management’s attention and resources, which could materially and adversely affect our business and financial condition.</w:t>
      </w:r>
    </w:p>
    <w:p>
      <w:pPr>
        <w:spacing w:after="0" w:line="193" w:lineRule="exact"/>
        <w:rPr>
          <w:sz w:val="20"/>
          <w:szCs w:val="20"/>
          <w:color w:val="auto"/>
        </w:rPr>
      </w:pPr>
    </w:p>
    <w:p>
      <w:pPr>
        <w:ind w:left="160" w:right="219"/>
        <w:spacing w:after="0" w:line="276" w:lineRule="auto"/>
        <w:rPr>
          <w:sz w:val="20"/>
          <w:szCs w:val="20"/>
          <w:color w:val="auto"/>
        </w:rPr>
      </w:pPr>
      <w:r>
        <w:rPr>
          <w:rFonts w:ascii="Arial" w:cs="Arial" w:eastAsia="Arial" w:hAnsi="Arial"/>
          <w:sz w:val="18"/>
          <w:szCs w:val="18"/>
          <w:b w:val="1"/>
          <w:bCs w:val="1"/>
          <w:i w:val="1"/>
          <w:iCs w:val="1"/>
          <w:color w:val="auto"/>
        </w:rPr>
        <w:t>Failure to comply with The NASDAQ Global Market continued listing requirements may result in our common stock being delisted from The NASDAQ Global Market.</w:t>
      </w:r>
    </w:p>
    <w:p>
      <w:pPr>
        <w:spacing w:after="0" w:line="170" w:lineRule="exact"/>
        <w:rPr>
          <w:sz w:val="20"/>
          <w:szCs w:val="20"/>
          <w:color w:val="auto"/>
        </w:rPr>
      </w:pPr>
    </w:p>
    <w:p>
      <w:pPr>
        <w:ind w:left="160" w:right="299" w:firstLine="439"/>
        <w:spacing w:after="0" w:line="272" w:lineRule="auto"/>
        <w:rPr>
          <w:sz w:val="20"/>
          <w:szCs w:val="20"/>
          <w:color w:val="auto"/>
        </w:rPr>
      </w:pPr>
      <w:r>
        <w:rPr>
          <w:rFonts w:ascii="Arial" w:cs="Arial" w:eastAsia="Arial" w:hAnsi="Arial"/>
          <w:sz w:val="17"/>
          <w:szCs w:val="17"/>
          <w:color w:val="auto"/>
        </w:rPr>
        <w:t>If our stock price falls below $1.00 per share, we may not continue to qualify for continued listing on The NASDAQ Global Market. To maintain listing, we are required, among other things, to maintain a minimum closing bid price of $1.00 per share. If the closing bid price of our common stock is below $1.00 per share for 30 consecutive business days, we will receive a deficiency notice from NASDAQ advising us that we have a certain period of time, typically 180 days, to regain compliance by maintaining a minimum closing bid price of at least $1.00 for at least ten consecutive business days, although NASDAQ could require a longer period.</w:t>
      </w:r>
    </w:p>
    <w:p>
      <w:pPr>
        <w:spacing w:after="0" w:line="178" w:lineRule="exact"/>
        <w:rPr>
          <w:sz w:val="20"/>
          <w:szCs w:val="20"/>
          <w:color w:val="auto"/>
        </w:rPr>
      </w:pPr>
    </w:p>
    <w:p>
      <w:pPr>
        <w:ind w:left="160" w:right="219" w:firstLine="439"/>
        <w:spacing w:after="0" w:line="285" w:lineRule="auto"/>
        <w:rPr>
          <w:sz w:val="20"/>
          <w:szCs w:val="20"/>
          <w:color w:val="auto"/>
        </w:rPr>
      </w:pPr>
      <w:r>
        <w:rPr>
          <w:rFonts w:ascii="Arial" w:cs="Arial" w:eastAsia="Arial" w:hAnsi="Arial"/>
          <w:sz w:val="17"/>
          <w:szCs w:val="17"/>
          <w:color w:val="auto"/>
        </w:rPr>
        <w:t>The delisting of our common stock would significantly affect the ability of investors to trade our common stock and negatively impact the liquidity and price of our common stock. In addition, the delisting of our common stock could materially adversely impact our ability to raise capital on acceptable terms or at all. Delisting from The</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79"/>
        <w:spacing w:after="0" w:line="262" w:lineRule="auto"/>
        <w:rPr>
          <w:sz w:val="20"/>
          <w:szCs w:val="20"/>
          <w:color w:val="auto"/>
        </w:rPr>
      </w:pPr>
      <w:r>
        <w:rPr>
          <w:rFonts w:ascii="Arial" w:cs="Arial" w:eastAsia="Arial" w:hAnsi="Arial"/>
          <w:sz w:val="18"/>
          <w:szCs w:val="18"/>
          <w:color w:val="auto"/>
        </w:rPr>
        <w:t>NASDAQ Global Market could also have other negative results, including the potential loss of confidence by our current or prospective third-party providers and collaboration partners, the loss of institutional investor interest, and fewer licensing and partnering opportunities.</w:t>
      </w:r>
    </w:p>
    <w:p>
      <w:pPr>
        <w:spacing w:after="0" w:line="76" w:lineRule="exact"/>
        <w:rPr>
          <w:sz w:val="20"/>
          <w:szCs w:val="20"/>
          <w:color w:val="auto"/>
        </w:rPr>
      </w:pPr>
    </w:p>
    <w:p>
      <w:pPr>
        <w:ind w:left="160" w:right="799"/>
        <w:spacing w:after="0" w:line="276"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source of gain for our stockholders.</w:t>
      </w:r>
    </w:p>
    <w:p>
      <w:pPr>
        <w:spacing w:after="0" w:line="62" w:lineRule="exact"/>
        <w:rPr>
          <w:sz w:val="20"/>
          <w:szCs w:val="20"/>
          <w:color w:val="auto"/>
        </w:rPr>
      </w:pPr>
    </w:p>
    <w:p>
      <w:pPr>
        <w:ind w:left="160" w:right="159" w:firstLine="646"/>
        <w:spacing w:after="0" w:line="25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79" w:lineRule="exact"/>
        <w:rPr>
          <w:sz w:val="20"/>
          <w:szCs w:val="20"/>
          <w:color w:val="auto"/>
        </w:rPr>
      </w:pPr>
    </w:p>
    <w:p>
      <w:pPr>
        <w:jc w:val="both"/>
        <w:ind w:left="160" w:right="319"/>
        <w:spacing w:after="0" w:line="278" w:lineRule="auto"/>
        <w:rPr>
          <w:sz w:val="20"/>
          <w:szCs w:val="20"/>
          <w:color w:val="auto"/>
        </w:rPr>
      </w:pPr>
      <w:r>
        <w:rPr>
          <w:rFonts w:ascii="Arial" w:cs="Arial" w:eastAsia="Arial" w:hAnsi="Arial"/>
          <w:sz w:val="17"/>
          <w:szCs w:val="17"/>
          <w:b w:val="1"/>
          <w:bCs w:val="1"/>
          <w:i w:val="1"/>
          <w:iCs w:val="1"/>
          <w:color w:val="auto"/>
        </w:rPr>
        <w:t>We are an “emerging growth company,” and our election to delay adoption of new or revised accounting standards applicable to public companies may result in our financial statements not being comparable to those of other public companies. As a result of this and other reduced disclosure requirements applicable to emerging growth companies, our common stock may be less attractive to investors.</w:t>
      </w:r>
    </w:p>
    <w:p>
      <w:pPr>
        <w:spacing w:after="0" w:line="63" w:lineRule="exact"/>
        <w:rPr>
          <w:sz w:val="20"/>
          <w:szCs w:val="20"/>
          <w:color w:val="auto"/>
        </w:rPr>
      </w:pPr>
    </w:p>
    <w:p>
      <w:pPr>
        <w:ind w:left="160" w:right="179" w:firstLine="64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(JOBS Act) and may remain an emerging growth company for up to five years, until December 31, 2017. For so long as we remain an emerging growth company, we are permitted and intend to rely on exemptions from certain reporting requirements that are applicable to other public companies that are not emerging growth companies. These exemptions include not being required to comply with the auditor attestation requirements of Section 404 of the Sarbanes Oxley Act of 2002,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61" w:lineRule="exact"/>
        <w:rPr>
          <w:sz w:val="20"/>
          <w:szCs w:val="20"/>
          <w:color w:val="auto"/>
        </w:rPr>
      </w:pPr>
    </w:p>
    <w:p>
      <w:pPr>
        <w:ind w:left="160" w:right="219" w:firstLine="646"/>
        <w:spacing w:after="0" w:line="270" w:lineRule="auto"/>
        <w:rPr>
          <w:sz w:val="20"/>
          <w:szCs w:val="20"/>
          <w:color w:val="auto"/>
        </w:rPr>
      </w:pPr>
      <w:r>
        <w:rPr>
          <w:rFonts w:ascii="Arial" w:cs="Arial" w:eastAsia="Arial" w:hAnsi="Arial"/>
          <w:sz w:val="17"/>
          <w:szCs w:val="17"/>
          <w:color w:val="auto"/>
        </w:rPr>
        <w:t>Among other provisions, the JOBS Act provides that an emerging growth company can take advantage of the extended transition period provided in Section 7(a)(2)(B) of the Securities Act of 1933, as amended, for complying with new or revised accounting standards. This allows an emerging growth company to delay the adoption of certain accounting standards until those standards would otherwise apply to private companies. We may elect to delay the adoption of certain new or revised accounting standards, and as a result, we may not comply with new or revised accounting standards on the relevant dates on which adoption of such standards is required for public companies that are not emerging growth companies. As a result of such election, our financial statements may not be comparable to the financial statements of other public companies.</w:t>
      </w:r>
    </w:p>
    <w:p>
      <w:pPr>
        <w:spacing w:after="0" w:line="71" w:lineRule="exact"/>
        <w:rPr>
          <w:sz w:val="20"/>
          <w:szCs w:val="20"/>
          <w:color w:val="auto"/>
        </w:rPr>
      </w:pPr>
    </w:p>
    <w:p>
      <w:pPr>
        <w:ind w:left="160" w:right="199" w:firstLine="67"/>
        <w:spacing w:after="0" w:line="262" w:lineRule="auto"/>
        <w:rPr>
          <w:sz w:val="20"/>
          <w:szCs w:val="20"/>
          <w:color w:val="auto"/>
        </w:rPr>
      </w:pPr>
      <w:r>
        <w:rPr>
          <w:rFonts w:ascii="Arial" w:cs="Arial" w:eastAsia="Arial" w:hAnsi="Arial"/>
          <w:sz w:val="18"/>
          <w:szCs w:val="18"/>
          <w:color w:val="auto"/>
        </w:rPr>
        <w:t>We cannot predict whether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1B. Unresolved Staff Comments</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2. Properties</w:t>
      </w:r>
    </w:p>
    <w:p>
      <w:pPr>
        <w:spacing w:after="0" w:line="120" w:lineRule="exact"/>
        <w:rPr>
          <w:sz w:val="20"/>
          <w:szCs w:val="20"/>
          <w:color w:val="auto"/>
        </w:rPr>
      </w:pPr>
    </w:p>
    <w:p>
      <w:pPr>
        <w:jc w:val="both"/>
        <w:ind w:left="160" w:right="179" w:firstLine="646"/>
        <w:spacing w:after="0" w:line="262" w:lineRule="auto"/>
        <w:rPr>
          <w:sz w:val="20"/>
          <w:szCs w:val="20"/>
          <w:color w:val="auto"/>
        </w:rPr>
      </w:pPr>
      <w:r>
        <w:rPr>
          <w:rFonts w:ascii="Arial" w:cs="Arial" w:eastAsia="Arial" w:hAnsi="Arial"/>
          <w:sz w:val="18"/>
          <w:szCs w:val="18"/>
          <w:color w:val="auto"/>
        </w:rPr>
        <w:t>We occupy approximately 15,197 square feet of office and laboratory space in Needham, Massachusetts under a lease that expires in September 2019. We believe that our facility is sufficient to meet our current needs and that suitable additional space will be available as and when needed.</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3. Legal Proceedings</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jc w:val="center"/>
        <w:ind w:right="6259"/>
        <w:spacing w:after="0"/>
        <w:rPr>
          <w:sz w:val="20"/>
          <w:szCs w:val="20"/>
          <w:color w:val="auto"/>
        </w:rPr>
      </w:pPr>
      <w:r>
        <w:rPr>
          <w:rFonts w:ascii="Arial" w:cs="Arial" w:eastAsia="Arial" w:hAnsi="Arial"/>
          <w:sz w:val="16"/>
          <w:szCs w:val="16"/>
          <w:b w:val="1"/>
          <w:bCs w:val="1"/>
          <w:color w:val="auto"/>
        </w:rPr>
        <w:t>Item 4. Mine Safety Disclosures</w:t>
      </w:r>
    </w:p>
    <w:p>
      <w:pPr>
        <w:spacing w:after="0" w:line="143" w:lineRule="exact"/>
        <w:rPr>
          <w:sz w:val="20"/>
          <w:szCs w:val="20"/>
          <w:color w:val="auto"/>
        </w:rPr>
      </w:pPr>
    </w:p>
    <w:p>
      <w:pPr>
        <w:jc w:val="center"/>
        <w:ind w:right="6319"/>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56" w:lineRule="exact"/>
        <w:rPr>
          <w:sz w:val="20"/>
          <w:szCs w:val="20"/>
          <w:color w:val="auto"/>
        </w:rPr>
      </w:pPr>
    </w:p>
    <w:p>
      <w:pPr>
        <w:ind w:left="160" w:right="319"/>
        <w:spacing w:after="0" w:line="28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Issuers Purchases of Equity Securities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 INFORMATION</w:t>
      </w:r>
    </w:p>
    <w:p>
      <w:pPr>
        <w:spacing w:after="0" w:line="160" w:lineRule="exact"/>
        <w:rPr>
          <w:sz w:val="20"/>
          <w:szCs w:val="20"/>
          <w:color w:val="auto"/>
        </w:rPr>
      </w:pPr>
    </w:p>
    <w:p>
      <w:pPr>
        <w:ind w:left="160" w:right="379" w:firstLine="646"/>
        <w:spacing w:after="0" w:line="262" w:lineRule="auto"/>
        <w:rPr>
          <w:sz w:val="20"/>
          <w:szCs w:val="20"/>
          <w:color w:val="auto"/>
        </w:rPr>
      </w:pPr>
      <w:r>
        <w:rPr>
          <w:rFonts w:ascii="Arial" w:cs="Arial" w:eastAsia="Arial" w:hAnsi="Arial"/>
          <w:sz w:val="18"/>
          <w:szCs w:val="18"/>
          <w:color w:val="auto"/>
        </w:rPr>
        <w:t>Our common stock is publicly traded on The NASDAQ Global Market under the symbol “VSTM.” The following table sets forth, for the periods indicated, the high and low sales prices for our common stock as reported on The NASDAQ Global Market.</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6820" w:type="dxa"/>
            <w:vAlign w:val="bottom"/>
          </w:tcPr>
          <w:p>
            <w:pPr>
              <w:spacing w:after="0"/>
              <w:rPr>
                <w:sz w:val="20"/>
                <w:szCs w:val="20"/>
                <w:color w:val="auto"/>
              </w:rPr>
            </w:pPr>
            <w:r>
              <w:rPr>
                <w:rFonts w:ascii="Arial" w:cs="Arial" w:eastAsia="Arial" w:hAnsi="Arial"/>
                <w:sz w:val="14"/>
                <w:szCs w:val="14"/>
                <w:b w:val="1"/>
                <w:bCs w:val="1"/>
                <w:color w:val="auto"/>
              </w:rPr>
              <w:t>Year Ended December 31, 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209"/>
        </w:trPr>
        <w:tc>
          <w:tcPr>
            <w:tcW w:w="6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5"/>
        </w:trPr>
        <w:tc>
          <w:tcPr>
            <w:tcW w:w="6820" w:type="dxa"/>
            <w:vAlign w:val="bottom"/>
          </w:tcPr>
          <w:p>
            <w:pPr>
              <w:spacing w:after="0"/>
              <w:rPr>
                <w:sz w:val="20"/>
                <w:szCs w:val="20"/>
                <w:color w:val="auto"/>
              </w:rPr>
            </w:pPr>
            <w:r>
              <w:rPr>
                <w:rFonts w:ascii="Arial" w:cs="Arial" w:eastAsia="Arial" w:hAnsi="Arial"/>
                <w:sz w:val="18"/>
                <w:szCs w:val="18"/>
                <w:b w:val="1"/>
                <w:bCs w:val="1"/>
                <w:color w:val="auto"/>
              </w:rPr>
              <w:t>Second quarter</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18"/>
                <w:szCs w:val="18"/>
                <w:color w:val="auto"/>
              </w:rPr>
            </w:pP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Third quarter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shd w:val="clear" w:color="auto" w:fill="CCEEFF"/>
          </w:tcPr>
          <w:p>
            <w:pPr>
              <w:spacing w:after="0"/>
              <w:rPr>
                <w:sz w:val="18"/>
                <w:szCs w:val="18"/>
                <w:color w:val="auto"/>
              </w:rPr>
            </w:pPr>
          </w:p>
        </w:tc>
      </w:t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Fourth quarter</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20"/>
                <w:szCs w:val="20"/>
                <w:color w:val="auto"/>
              </w:rPr>
            </w:pPr>
          </w:p>
        </w:tc>
      </w:tr>
      <w:tr>
        <w:trPr>
          <w:trHeight w:val="372"/>
        </w:trPr>
        <w:tc>
          <w:tcPr>
            <w:tcW w:w="6820" w:type="dxa"/>
            <w:vAlign w:val="bottom"/>
          </w:tcPr>
          <w:p>
            <w:pPr>
              <w:spacing w:after="0"/>
              <w:rPr>
                <w:sz w:val="20"/>
                <w:szCs w:val="20"/>
                <w:color w:val="auto"/>
              </w:rPr>
            </w:pPr>
            <w:r>
              <w:rPr>
                <w:rFonts w:ascii="Arial" w:cs="Arial" w:eastAsia="Arial" w:hAnsi="Arial"/>
                <w:sz w:val="14"/>
                <w:szCs w:val="14"/>
                <w:b w:val="1"/>
                <w:bCs w:val="1"/>
                <w:color w:val="auto"/>
              </w:rPr>
              <w:t>Year Ended December 31, 2015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209"/>
        </w:trPr>
        <w:tc>
          <w:tcPr>
            <w:tcW w:w="6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5"/>
        </w:trPr>
        <w:tc>
          <w:tcPr>
            <w:tcW w:w="6820" w:type="dxa"/>
            <w:vAlign w:val="bottom"/>
          </w:tcPr>
          <w:p>
            <w:pPr>
              <w:spacing w:after="0"/>
              <w:rPr>
                <w:sz w:val="20"/>
                <w:szCs w:val="20"/>
                <w:color w:val="auto"/>
              </w:rPr>
            </w:pPr>
            <w:r>
              <w:rPr>
                <w:rFonts w:ascii="Arial" w:cs="Arial" w:eastAsia="Arial" w:hAnsi="Arial"/>
                <w:sz w:val="18"/>
                <w:szCs w:val="18"/>
                <w:b w:val="1"/>
                <w:bCs w:val="1"/>
                <w:color w:val="auto"/>
              </w:rPr>
              <w:t>Second quarter</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10.67</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6.84</w:t>
            </w:r>
          </w:p>
        </w:tc>
        <w:tc>
          <w:tcPr>
            <w:tcW w:w="120" w:type="dxa"/>
            <w:vAlign w:val="bottom"/>
          </w:tcPr>
          <w:p>
            <w:pPr>
              <w:spacing w:after="0"/>
              <w:rPr>
                <w:sz w:val="18"/>
                <w:szCs w:val="18"/>
                <w:color w:val="auto"/>
              </w:rPr>
            </w:pP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Third quarter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shd w:val="clear" w:color="auto" w:fill="CCEEFF"/>
          </w:tcPr>
          <w:p>
            <w:pPr>
              <w:spacing w:after="0"/>
              <w:rPr>
                <w:sz w:val="18"/>
                <w:szCs w:val="18"/>
                <w:color w:val="auto"/>
              </w:rPr>
            </w:pPr>
          </w:p>
        </w:tc>
      </w:t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Fourth quarter</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20"/>
                <w:szCs w:val="20"/>
                <w:color w:val="auto"/>
              </w:rPr>
            </w:pPr>
          </w:p>
        </w:tc>
      </w:tr>
    </w:tbl>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HOLDERS</w:t>
      </w:r>
    </w:p>
    <w:p>
      <w:pPr>
        <w:spacing w:after="0" w:line="187" w:lineRule="exact"/>
        <w:rPr>
          <w:sz w:val="20"/>
          <w:szCs w:val="20"/>
          <w:color w:val="auto"/>
        </w:rPr>
      </w:pPr>
    </w:p>
    <w:p>
      <w:pPr>
        <w:ind w:left="160" w:right="559" w:firstLine="646"/>
        <w:spacing w:after="0" w:line="285" w:lineRule="auto"/>
        <w:rPr>
          <w:sz w:val="20"/>
          <w:szCs w:val="20"/>
          <w:color w:val="auto"/>
        </w:rPr>
      </w:pPr>
      <w:r>
        <w:rPr>
          <w:rFonts w:ascii="Arial" w:cs="Arial" w:eastAsia="Arial" w:hAnsi="Arial"/>
          <w:sz w:val="17"/>
          <w:szCs w:val="17"/>
          <w:color w:val="auto"/>
        </w:rPr>
        <w:t>As of March 15, 2017, there were 18 holders of record of our common stock and the closing price of our common stock on the NASDAQ Global Market as of that date was $1.44. The number of holders of record does not include beneficial owners whose shares are held by nominees in street name.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DIVIDENDS</w:t>
      </w:r>
    </w:p>
    <w:p>
      <w:pPr>
        <w:spacing w:after="0" w:line="187" w:lineRule="exact"/>
        <w:rPr>
          <w:sz w:val="20"/>
          <w:szCs w:val="20"/>
          <w:color w:val="auto"/>
        </w:rPr>
      </w:pPr>
    </w:p>
    <w:p>
      <w:pPr>
        <w:ind w:left="160" w:right="479" w:firstLine="646"/>
        <w:spacing w:after="0" w:line="276" w:lineRule="auto"/>
        <w:rPr>
          <w:sz w:val="20"/>
          <w:szCs w:val="20"/>
          <w:color w:val="auto"/>
        </w:rPr>
      </w:pPr>
      <w:r>
        <w:rPr>
          <w:rFonts w:ascii="Arial" w:cs="Arial" w:eastAsia="Arial" w:hAnsi="Arial"/>
          <w:sz w:val="18"/>
          <w:szCs w:val="18"/>
          <w:color w:val="auto"/>
        </w:rPr>
        <w:t>We have never declared or paid cash dividends on our common stock, and we do not expect to pay any cash dividends on our common stock in the foreseeable future.</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PERFORMANCE GRAPH</w:t>
      </w:r>
    </w:p>
    <w:p>
      <w:pPr>
        <w:spacing w:after="0" w:line="228" w:lineRule="exact"/>
        <w:rPr>
          <w:sz w:val="20"/>
          <w:szCs w:val="20"/>
          <w:color w:val="auto"/>
        </w:rPr>
      </w:pPr>
    </w:p>
    <w:p>
      <w:pPr>
        <w:ind w:left="160" w:right="319" w:firstLine="646"/>
        <w:spacing w:after="0" w:line="285" w:lineRule="auto"/>
        <w:rPr>
          <w:sz w:val="20"/>
          <w:szCs w:val="20"/>
          <w:color w:val="auto"/>
        </w:rPr>
      </w:pPr>
      <w:r>
        <w:rPr>
          <w:rFonts w:ascii="Arial" w:cs="Arial" w:eastAsia="Arial" w:hAnsi="Arial"/>
          <w:sz w:val="17"/>
          <w:szCs w:val="17"/>
          <w:color w:val="auto"/>
        </w:rPr>
        <w:t>The following performance graph and related information shall not be deemed to be “soliciting material” or to be “filed” with the SEC, nor shall such information be incorporated by reference into any future filing under the Securities Act, except to the extent that we specifically incorporate it by reference into such filing.</w:t>
      </w:r>
    </w:p>
    <w:p>
      <w:pPr>
        <w:spacing w:after="0" w:line="165" w:lineRule="exact"/>
        <w:rPr>
          <w:sz w:val="20"/>
          <w:szCs w:val="20"/>
          <w:color w:val="auto"/>
        </w:rPr>
      </w:pPr>
    </w:p>
    <w:p>
      <w:pPr>
        <w:jc w:val="both"/>
        <w:ind w:left="160" w:right="219" w:firstLine="646"/>
        <w:spacing w:after="0" w:line="300" w:lineRule="auto"/>
        <w:rPr>
          <w:sz w:val="20"/>
          <w:szCs w:val="20"/>
          <w:color w:val="auto"/>
        </w:rPr>
      </w:pPr>
      <w:r>
        <w:rPr>
          <w:rFonts w:ascii="Arial" w:cs="Arial" w:eastAsia="Arial" w:hAnsi="Arial"/>
          <w:sz w:val="16"/>
          <w:szCs w:val="16"/>
          <w:color w:val="auto"/>
        </w:rPr>
        <w:t>The following graph compares the performance of our common stock to the NASDAQ Composite Index and to the NASDAQ Biotechnology Index from January 27, 2012 (the first date that shares of our common stock were publicly traded) through December 31, 2016. The comparison assumes $100 was invested after the market closed on January 27, 2012 in our common stock and in each of the foregoing indices, and it assumes reinvestment of dividends, if any.</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Among Verastem, Inc.,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141605</wp:posOffset>
            </wp:positionV>
            <wp:extent cx="5230495" cy="2931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30495" cy="2931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right="559" w:hanging="330"/>
        <w:spacing w:after="0" w:line="276" w:lineRule="auto"/>
        <w:tabs>
          <w:tab w:leader="none" w:pos="4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invested on 1/27/12 in stock or 12/31/11 in index, including reinvestment of dividends. Fiscal year ending December 31, 2016.</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Cumulative Total Return Comparison</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January 27,</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740" w:type="dxa"/>
            <w:vAlign w:val="bottom"/>
          </w:tcPr>
          <w:p>
            <w:pPr>
              <w:jc w:val="right"/>
              <w:ind w:right="157"/>
              <w:spacing w:after="0" w:line="141"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620" w:type="dxa"/>
            <w:vAlign w:val="bottom"/>
          </w:tcPr>
          <w:p>
            <w:pPr>
              <w:jc w:val="right"/>
              <w:ind w:right="95"/>
              <w:spacing w:after="0" w:line="141"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2013</w:t>
            </w:r>
          </w:p>
        </w:tc>
        <w:tc>
          <w:tcPr>
            <w:tcW w:w="760" w:type="dxa"/>
            <w:vAlign w:val="bottom"/>
            <w:gridSpan w:val="2"/>
          </w:tcPr>
          <w:p>
            <w:pPr>
              <w:jc w:val="right"/>
              <w:ind w:right="70"/>
              <w:spacing w:after="0" w:line="14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62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60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Verastem, Inc</w:t>
            </w: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102.80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5"/>
        </w:trPr>
        <w:tc>
          <w:tcPr>
            <w:tcW w:w="410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116.41</w:t>
            </w:r>
          </w:p>
        </w:tc>
        <w:tc>
          <w:tcPr>
            <w:tcW w:w="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165.47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188.69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200.32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216.54</w:t>
            </w:r>
          </w:p>
        </w:tc>
        <w:tc>
          <w:tcPr>
            <w:tcW w:w="120" w:type="dxa"/>
            <w:vAlign w:val="bottom"/>
          </w:tcPr>
          <w:p>
            <w:pPr>
              <w:spacing w:after="0"/>
              <w:rPr>
                <w:sz w:val="18"/>
                <w:szCs w:val="18"/>
                <w:color w:val="auto"/>
              </w:rPr>
            </w:pPr>
          </w:p>
        </w:tc>
      </w:tr>
      <w:tr>
        <w:trPr>
          <w:trHeight w:val="215"/>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Biotechnology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134.68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232.37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307.67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328.76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262.08</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PURCHASE OF EQUITY SECURITIES</w:t>
      </w:r>
    </w:p>
    <w:p>
      <w:pPr>
        <w:spacing w:after="0" w:line="228" w:lineRule="exact"/>
        <w:rPr>
          <w:sz w:val="20"/>
          <w:szCs w:val="20"/>
          <w:color w:val="auto"/>
        </w:rPr>
      </w:pPr>
    </w:p>
    <w:p>
      <w:pPr>
        <w:ind w:left="160" w:right="1019" w:firstLine="646"/>
        <w:spacing w:after="0" w:line="223" w:lineRule="exact"/>
        <w:rPr>
          <w:sz w:val="20"/>
          <w:szCs w:val="20"/>
          <w:color w:val="auto"/>
        </w:rPr>
      </w:pPr>
      <w:r>
        <w:rPr>
          <w:rFonts w:ascii="Arial" w:cs="Arial" w:eastAsia="Arial" w:hAnsi="Arial"/>
          <w:sz w:val="18"/>
          <w:szCs w:val="18"/>
          <w:color w:val="auto"/>
        </w:rPr>
        <w:t>We did not purchase any of our equity securities during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6. Selected Financial Data</w:t>
      </w:r>
    </w:p>
    <w:p>
      <w:pPr>
        <w:spacing w:after="0" w:line="228" w:lineRule="exact"/>
        <w:rPr>
          <w:sz w:val="20"/>
          <w:szCs w:val="20"/>
          <w:color w:val="auto"/>
        </w:rPr>
      </w:pPr>
    </w:p>
    <w:p>
      <w:pPr>
        <w:ind w:left="160" w:right="379" w:firstLine="646"/>
        <w:spacing w:after="0" w:line="218" w:lineRule="exact"/>
        <w:rPr>
          <w:sz w:val="20"/>
          <w:szCs w:val="20"/>
          <w:color w:val="auto"/>
        </w:rPr>
      </w:pPr>
      <w:r>
        <w:rPr>
          <w:rFonts w:ascii="Arial" w:cs="Arial" w:eastAsia="Arial" w:hAnsi="Arial"/>
          <w:sz w:val="18"/>
          <w:szCs w:val="18"/>
          <w:color w:val="auto"/>
        </w:rPr>
        <w:t>You should read the following selected financial data together with our consolidated financial statements and the related notes appearing elsewhere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the “Management’s Discussion and Analysis of Financial Condition and Results of Operations” section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selected historical financial information in this section is not intended to replace our financial statements and the related notes therein. Our historical results for any prior period are not necessarily indicative of results to be expected in any future period.</w:t>
      </w:r>
    </w:p>
    <w:p>
      <w:pPr>
        <w:spacing w:after="0" w:line="356"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jc w:val="center"/>
              <w:ind w:right="33"/>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1"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1"/>
              <w:spacing w:after="0" w:line="141"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1"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40" w:type="dxa"/>
            <w:vAlign w:val="bottom"/>
            <w:gridSpan w:val="14"/>
          </w:tcPr>
          <w:p>
            <w:pPr>
              <w:jc w:val="center"/>
              <w:ind w:left="56"/>
              <w:spacing w:after="0" w:line="141"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3"/>
          </w:tcPr>
          <w:p>
            <w:pPr>
              <w:jc w:val="center"/>
              <w:ind w:left="133"/>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19,779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40,565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35,448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17,223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37,002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32,230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(37,002)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(58,199)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(53,607)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(36,440)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(57,865)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(53,365)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 of preferred stock</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loss applicable to common stockholders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(36,440)</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(57,865)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(53,365)</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(41,202)</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(31,990)</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80" w:type="dxa"/>
            <w:vAlign w:val="bottom"/>
            <w:gridSpan w:val="3"/>
          </w:tcPr>
          <w:p>
            <w:pPr>
              <w:spacing w:after="0" w:line="175" w:lineRule="exact"/>
              <w:rPr>
                <w:sz w:val="20"/>
                <w:szCs w:val="20"/>
                <w:color w:val="auto"/>
              </w:rPr>
            </w:pPr>
            <w:r>
              <w:rPr>
                <w:rFonts w:ascii="Arial" w:cs="Arial" w:eastAsia="Arial" w:hAnsi="Arial"/>
                <w:sz w:val="18"/>
                <w:szCs w:val="18"/>
                <w:color w:val="auto"/>
                <w:w w:val="89"/>
              </w:rPr>
              <w:t>Net loss per share applicable to common stockholders</w:t>
            </w:r>
          </w:p>
        </w:tc>
        <w:tc>
          <w:tcPr>
            <w:tcW w:w="360" w:type="dxa"/>
            <w:vAlign w:val="bottom"/>
            <w:gridSpan w:val="3"/>
            <w:vMerge w:val="restart"/>
          </w:tcPr>
          <w:p>
            <w:pPr>
              <w:jc w:val="center"/>
              <w:ind w:left="133"/>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(0.99)</w:t>
            </w:r>
          </w:p>
        </w:tc>
        <w:tc>
          <w:tcPr>
            <w:tcW w:w="320" w:type="dxa"/>
            <w:vAlign w:val="bottom"/>
            <w:gridSpan w:val="2"/>
            <w:vMerge w:val="restart"/>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—basic and diluted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3"/>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880" w:type="dxa"/>
            <w:vAlign w:val="bottom"/>
            <w:tcBorders>
              <w:top w:val="single" w:sz="8" w:color="CCEEFF"/>
            </w:tcBorders>
            <w:gridSpan w:val="3"/>
            <w:shd w:val="clear" w:color="auto" w:fill="CCEEFF"/>
          </w:tcPr>
          <w:p>
            <w:pPr>
              <w:spacing w:after="0" w:line="188" w:lineRule="exact"/>
              <w:rPr>
                <w:sz w:val="20"/>
                <w:szCs w:val="20"/>
                <w:color w:val="auto"/>
              </w:rPr>
            </w:pPr>
            <w:r>
              <w:rPr>
                <w:rFonts w:ascii="Arial" w:cs="Arial" w:eastAsia="Arial" w:hAnsi="Arial"/>
                <w:sz w:val="18"/>
                <w:szCs w:val="18"/>
                <w:color w:val="auto"/>
                <w:w w:val="90"/>
              </w:rPr>
              <w:t>Weighted</w:t>
            </w:r>
            <w:r>
              <w:rPr>
                <w:rFonts w:ascii="MS PGothic" w:cs="MS PGothic" w:eastAsia="MS PGothic" w:hAnsi="MS PGothic"/>
                <w:sz w:val="18"/>
                <w:szCs w:val="18"/>
                <w:color w:val="auto"/>
                <w:w w:val="90"/>
              </w:rPr>
              <w:t>‑</w:t>
            </w:r>
            <w:r>
              <w:rPr>
                <w:rFonts w:ascii="Arial" w:cs="Arial" w:eastAsia="Arial" w:hAnsi="Arial"/>
                <w:sz w:val="18"/>
                <w:szCs w:val="18"/>
                <w:color w:val="auto"/>
                <w:w w:val="90"/>
              </w:rPr>
              <w:t>average number of common shares used in</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net loss per share applicable to common stockholders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36,988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18,765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5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jc w:val="center"/>
              <w:ind w:right="132"/>
              <w:spacing w:after="0" w:line="141"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ind w:left="200"/>
              <w:spacing w:after="0" w:line="141"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311"/>
              <w:spacing w:after="0" w:line="141"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1"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3"/>
              <w:spacing w:after="0" w:line="141"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6"/>
          </w:tcPr>
          <w:p>
            <w:pPr>
              <w:jc w:val="right"/>
              <w:ind w:right="131"/>
              <w:spacing w:after="0" w:line="14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80,897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110,258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7"/>
              </w:rPr>
              <w:t>92,675</w:t>
            </w:r>
          </w:p>
        </w:tc>
        <w:tc>
          <w:tcPr>
            <w:tcW w:w="98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w w:val="97"/>
              </w:rPr>
              <w:t>$ 123,656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91,520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12"/>
              <w:spacing w:after="0"/>
              <w:rPr>
                <w:sz w:val="20"/>
                <w:szCs w:val="20"/>
                <w:color w:val="auto"/>
              </w:rPr>
            </w:pPr>
            <w:r>
              <w:rPr>
                <w:rFonts w:ascii="Arial" w:cs="Arial" w:eastAsia="Arial" w:hAnsi="Arial"/>
                <w:sz w:val="18"/>
                <w:szCs w:val="18"/>
                <w:color w:val="auto"/>
              </w:rPr>
              <w:t>70,304</w:t>
            </w:r>
          </w:p>
        </w:tc>
        <w:tc>
          <w:tcPr>
            <w:tcW w:w="240" w:type="dxa"/>
            <w:vAlign w:val="bottom"/>
          </w:tcPr>
          <w:p>
            <w:pPr>
              <w:spacing w:after="0"/>
              <w:rPr>
                <w:sz w:val="18"/>
                <w:szCs w:val="18"/>
                <w:color w:val="auto"/>
              </w:rPr>
            </w:pPr>
          </w:p>
        </w:tc>
        <w:tc>
          <w:tcPr>
            <w:tcW w:w="940" w:type="dxa"/>
            <w:vAlign w:val="bottom"/>
            <w:gridSpan w:val="3"/>
          </w:tcPr>
          <w:p>
            <w:pPr>
              <w:jc w:val="right"/>
              <w:ind w:right="136"/>
              <w:spacing w:after="0"/>
              <w:rPr>
                <w:sz w:val="20"/>
                <w:szCs w:val="20"/>
                <w:color w:val="auto"/>
              </w:rPr>
            </w:pPr>
            <w:r>
              <w:rPr>
                <w:rFonts w:ascii="Arial" w:cs="Arial" w:eastAsia="Arial" w:hAnsi="Arial"/>
                <w:sz w:val="18"/>
                <w:szCs w:val="18"/>
                <w:color w:val="auto"/>
              </w:rPr>
              <w:t>100,734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91"/>
              <w:spacing w:after="0"/>
              <w:rPr>
                <w:sz w:val="20"/>
                <w:szCs w:val="20"/>
                <w:color w:val="auto"/>
              </w:rPr>
            </w:pPr>
            <w:r>
              <w:rPr>
                <w:rFonts w:ascii="Arial" w:cs="Arial" w:eastAsia="Arial" w:hAnsi="Arial"/>
                <w:sz w:val="18"/>
                <w:szCs w:val="18"/>
                <w:color w:val="auto"/>
                <w:w w:val="87"/>
              </w:rPr>
              <w:t>86,112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94,151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54,683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83,629</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113,094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7"/>
              </w:rPr>
              <w:t>98,649</w:t>
            </w:r>
          </w:p>
        </w:tc>
        <w:tc>
          <w:tcPr>
            <w:tcW w:w="98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125,261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92,923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0"/>
              </w:rPr>
              <w:t>(235,323)</w:t>
            </w:r>
          </w:p>
        </w:tc>
        <w:tc>
          <w:tcPr>
            <w:tcW w:w="240" w:type="dxa"/>
            <w:vAlign w:val="bottom"/>
          </w:tcPr>
          <w:p>
            <w:pPr>
              <w:spacing w:after="0"/>
              <w:rPr>
                <w:sz w:val="18"/>
                <w:szCs w:val="18"/>
                <w:color w:val="auto"/>
              </w:rPr>
            </w:pPr>
          </w:p>
        </w:tc>
        <w:tc>
          <w:tcPr>
            <w:tcW w:w="940" w:type="dxa"/>
            <w:vAlign w:val="bottom"/>
            <w:gridSpan w:val="3"/>
          </w:tcPr>
          <w:p>
            <w:pPr>
              <w:jc w:val="right"/>
              <w:ind w:right="96"/>
              <w:spacing w:after="0"/>
              <w:rPr>
                <w:sz w:val="20"/>
                <w:szCs w:val="20"/>
                <w:color w:val="auto"/>
              </w:rPr>
            </w:pPr>
            <w:r>
              <w:rPr>
                <w:rFonts w:ascii="Arial" w:cs="Arial" w:eastAsia="Arial" w:hAnsi="Arial"/>
                <w:sz w:val="18"/>
                <w:szCs w:val="18"/>
                <w:color w:val="auto"/>
                <w:w w:val="95"/>
              </w:rPr>
              <w:t>(198,883)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1"/>
              <w:spacing w:after="0"/>
              <w:rPr>
                <w:sz w:val="20"/>
                <w:szCs w:val="20"/>
                <w:color w:val="auto"/>
              </w:rPr>
            </w:pPr>
            <w:r>
              <w:rPr>
                <w:rFonts w:ascii="Arial" w:cs="Arial" w:eastAsia="Arial" w:hAnsi="Arial"/>
                <w:sz w:val="18"/>
                <w:szCs w:val="18"/>
                <w:color w:val="auto"/>
                <w:w w:val="93"/>
              </w:rPr>
              <w:t>(141,018)</w:t>
            </w:r>
          </w:p>
        </w:tc>
        <w:tc>
          <w:tcPr>
            <w:tcW w:w="980" w:type="dxa"/>
            <w:vAlign w:val="bottom"/>
            <w:gridSpan w:val="3"/>
          </w:tcPr>
          <w:p>
            <w:pPr>
              <w:jc w:val="right"/>
              <w:ind w:right="33"/>
              <w:spacing w:after="0"/>
              <w:rPr>
                <w:sz w:val="20"/>
                <w:szCs w:val="20"/>
                <w:color w:val="auto"/>
              </w:rPr>
            </w:pPr>
            <w:r>
              <w:rPr>
                <w:rFonts w:ascii="Arial" w:cs="Arial" w:eastAsia="Arial" w:hAnsi="Arial"/>
                <w:sz w:val="18"/>
                <w:szCs w:val="18"/>
                <w:color w:val="auto"/>
              </w:rPr>
              <w:t>(87,653)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(46,451)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72,297</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102,469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7"/>
              </w:rPr>
              <w:t>88,766</w:t>
            </w:r>
          </w:p>
        </w:tc>
        <w:tc>
          <w:tcPr>
            <w:tcW w:w="98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117,446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90,466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3"/>
        </w:trPr>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132"/>
              <w:spacing w:after="0"/>
              <w:rPr>
                <w:sz w:val="20"/>
                <w:szCs w:val="20"/>
                <w:color w:val="auto"/>
              </w:rPr>
            </w:pPr>
            <w:r>
              <w:rPr>
                <w:rFonts w:ascii="Arial" w:cs="Arial" w:eastAsia="Arial" w:hAnsi="Arial"/>
                <w:sz w:val="18"/>
                <w:szCs w:val="18"/>
                <w:color w:val="auto"/>
                <w:w w:val="89"/>
              </w:rPr>
              <w:t>66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66" w:name="page67"/>
    <w:bookmarkEnd w:id="6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8" w:lineRule="exact"/>
        <w:rPr>
          <w:sz w:val="20"/>
          <w:szCs w:val="20"/>
          <w:color w:val="auto"/>
        </w:rPr>
      </w:pPr>
    </w:p>
    <w:p>
      <w:pPr>
        <w:ind w:left="160" w:right="299" w:firstLine="646"/>
        <w:spacing w:after="0" w:line="218" w:lineRule="exact"/>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The following discussion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involve risks and uncertainties. Our actual results and the timing of certain events could differ materially from those anticipated in these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as a result of certain factors, including those discussed below and as set forth under “Risk Factors.” Please also refer to the section under the heading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ind w:left="160" w:right="239" w:firstLine="646"/>
        <w:spacing w:after="0" w:line="253" w:lineRule="auto"/>
        <w:rPr>
          <w:sz w:val="20"/>
          <w:szCs w:val="20"/>
          <w:color w:val="auto"/>
        </w:rPr>
      </w:pPr>
      <w:r>
        <w:rPr>
          <w:rFonts w:ascii="Arial" w:cs="Arial" w:eastAsia="Arial" w:hAnsi="Arial"/>
          <w:sz w:val="18"/>
          <w:szCs w:val="18"/>
          <w:color w:val="auto"/>
        </w:rPr>
        <w:t>We are a biopharmaceutical company focused on discovering and developing drugs to improve outcomes for patients with cancer. Our most advanced product candidates, duvelisib and defactinib (VS-6063), utilize a multi-faceted approach to treat cancers originating either in the blood or major organ systems. We are currently evaluating these compounds in both preclinical and clinical studies as potential therapies for certain cancers, including leukemia, lymphoma, lung cancer, ovarian cancer, mesothelioma, and pancreatic cancer. We believe that these compounds may be beneficial as therapeutics either as single agents or when used in combination with immuno-oncology agents or other current and emerging standard of care treatments in aggressive cancers that are poorly served by currently available therapies.</w:t>
      </w:r>
    </w:p>
    <w:p>
      <w:pPr>
        <w:spacing w:after="0" w:line="192" w:lineRule="exact"/>
        <w:rPr>
          <w:sz w:val="20"/>
          <w:szCs w:val="20"/>
          <w:color w:val="auto"/>
        </w:rPr>
      </w:pPr>
    </w:p>
    <w:p>
      <w:pPr>
        <w:ind w:left="160" w:right="179" w:firstLine="646"/>
        <w:spacing w:after="0" w:line="253" w:lineRule="auto"/>
        <w:rPr>
          <w:sz w:val="20"/>
          <w:szCs w:val="20"/>
          <w:color w:val="auto"/>
        </w:rPr>
      </w:pPr>
      <w:r>
        <w:rPr>
          <w:rFonts w:ascii="Arial" w:cs="Arial" w:eastAsia="Arial" w:hAnsi="Arial"/>
          <w:sz w:val="18"/>
          <w:szCs w:val="18"/>
          <w:color w:val="auto"/>
        </w:rPr>
        <w:t xml:space="preserve">Duvelisib targets the Phosphoinositide 3-kinase (PI3K) and defactinib targets the Focal Adhesion Kinase (FAK) signaling pathways. The PI3K signaling pathway plays a central role in cancer proliferation and survival. Duvelisib is an investigational oral therapy designed to attack both malignant B-cells and T-cells and disrupt the tumor microenvironment to help thwart their growth and proliferation for patients with lymphatic cancers through the dual inhibition of PI3K delta and gamma. FAK is a non-receptor tyrosine kinase encoded by the </w:t>
      </w:r>
      <w:r>
        <w:rPr>
          <w:rFonts w:ascii="Arial" w:cs="Arial" w:eastAsia="Arial" w:hAnsi="Arial"/>
          <w:sz w:val="18"/>
          <w:szCs w:val="18"/>
          <w:i w:val="1"/>
          <w:iCs w:val="1"/>
          <w:color w:val="auto"/>
        </w:rPr>
        <w:t>PTK-2</w:t>
      </w:r>
      <w:r>
        <w:rPr>
          <w:rFonts w:ascii="Arial" w:cs="Arial" w:eastAsia="Arial" w:hAnsi="Arial"/>
          <w:sz w:val="18"/>
          <w:szCs w:val="18"/>
          <w:color w:val="auto"/>
        </w:rPr>
        <w:t xml:space="preserve"> gene that is involved in cellular adhesion and, in cancer, metastatic capability. Defactinib is a targeted inhibitor of the FAK signaling pathway. Similar to duvelisib, defactinib is also orally available and designed to be a potential therapy for patients to take at home under the advice of their physician.</w:t>
      </w:r>
    </w:p>
    <w:p>
      <w:pPr>
        <w:spacing w:after="0" w:line="192" w:lineRule="exact"/>
        <w:rPr>
          <w:sz w:val="20"/>
          <w:szCs w:val="20"/>
          <w:color w:val="auto"/>
        </w:rPr>
      </w:pPr>
    </w:p>
    <w:p>
      <w:pPr>
        <w:ind w:left="160" w:right="159" w:firstLine="646"/>
        <w:spacing w:after="0" w:line="258" w:lineRule="auto"/>
        <w:rPr>
          <w:sz w:val="20"/>
          <w:szCs w:val="20"/>
          <w:color w:val="auto"/>
        </w:rPr>
      </w:pPr>
      <w:r>
        <w:rPr>
          <w:rFonts w:ascii="Arial" w:cs="Arial" w:eastAsia="Arial" w:hAnsi="Arial"/>
          <w:sz w:val="18"/>
          <w:szCs w:val="18"/>
          <w:color w:val="auto"/>
        </w:rPr>
        <w:t>Duvelisib is currently being studied in the DUO™ study, which is a Phase 3, randomized, open-label, two-arm trial of duvelisib versus treatment with ofatumumab. This study will evaluate the safety and efficacy of duvelisib as compared to ofatumumab in approximately 300 patients with relapsed or refractory chronic lymphocytic leukemia (CLL) or small lymphocytic lymphoma (SLL).</w:t>
      </w:r>
    </w:p>
    <w:p>
      <w:pPr>
        <w:spacing w:after="0" w:line="187" w:lineRule="exact"/>
        <w:rPr>
          <w:sz w:val="20"/>
          <w:szCs w:val="20"/>
          <w:color w:val="auto"/>
        </w:rPr>
      </w:pPr>
    </w:p>
    <w:p>
      <w:pPr>
        <w:ind w:left="160" w:right="159" w:firstLine="646"/>
        <w:spacing w:after="0" w:line="258" w:lineRule="auto"/>
        <w:rPr>
          <w:sz w:val="20"/>
          <w:szCs w:val="20"/>
          <w:color w:val="auto"/>
        </w:rPr>
      </w:pPr>
      <w:r>
        <w:rPr>
          <w:rFonts w:ascii="Arial" w:cs="Arial" w:eastAsia="Arial" w:hAnsi="Arial"/>
          <w:sz w:val="18"/>
          <w:szCs w:val="18"/>
          <w:color w:val="auto"/>
        </w:rPr>
        <w:t>Duvelisib has successfully completed the Phase 2 DYNAMO™ study which is an open-label, single-arm trial of duvelisib that evaluated the safety and efficacy of duvelisib in 129 patients with refractory indolent non-Hodgkin lymphoma (iNHL). This study met its primary endpoint of overall response rate (ORR) and the majority of reported side effects were expected, reversible and clinically manageable.</w:t>
      </w:r>
    </w:p>
    <w:p>
      <w:pPr>
        <w:spacing w:after="0" w:line="187" w:lineRule="exact"/>
        <w:rPr>
          <w:sz w:val="20"/>
          <w:szCs w:val="20"/>
          <w:color w:val="auto"/>
        </w:rPr>
      </w:pPr>
    </w:p>
    <w:p>
      <w:pPr>
        <w:ind w:left="160" w:right="299" w:firstLine="646"/>
        <w:spacing w:after="0" w:line="254" w:lineRule="auto"/>
        <w:rPr>
          <w:sz w:val="20"/>
          <w:szCs w:val="20"/>
          <w:color w:val="auto"/>
        </w:rPr>
      </w:pPr>
      <w:r>
        <w:rPr>
          <w:rFonts w:ascii="Arial" w:cs="Arial" w:eastAsia="Arial" w:hAnsi="Arial"/>
          <w:sz w:val="18"/>
          <w:szCs w:val="18"/>
          <w:color w:val="auto"/>
        </w:rPr>
        <w:t>Defactinib is currently being evaluated in a Phase 1b study in combination with Merck &amp; Co.’s PD-1 inhibitor pembrolizumab and gemcitabine in patients with advanced pancreatic cancer, a Phase 1/2 clinical collaboration with Pfizer Inc. (Pfizer) and Merck KGaA to evaluate defactinib in combination with avelumab, an anti-PD-L1 antibody, in patients with ovarian cancer, and a Phase 1/2 study in collaboration with Cancer Research UK and Merck &amp; Co. for the combination of defactinib and pembrolizumab in patients with non-small cell lung cancer (NSCLC), mesothelioma or pancreatic cancer.</w:t>
      </w:r>
    </w:p>
    <w:p>
      <w:pPr>
        <w:spacing w:after="0" w:line="193" w:lineRule="exact"/>
        <w:rPr>
          <w:sz w:val="20"/>
          <w:szCs w:val="20"/>
          <w:color w:val="auto"/>
        </w:rPr>
      </w:pPr>
    </w:p>
    <w:p>
      <w:pPr>
        <w:ind w:left="160" w:right="459" w:firstLine="646"/>
        <w:spacing w:after="0" w:line="278" w:lineRule="auto"/>
        <w:rPr>
          <w:sz w:val="20"/>
          <w:szCs w:val="20"/>
          <w:color w:val="auto"/>
        </w:rPr>
      </w:pPr>
      <w:r>
        <w:rPr>
          <w:rFonts w:ascii="Arial" w:cs="Arial" w:eastAsia="Arial" w:hAnsi="Arial"/>
          <w:sz w:val="17"/>
          <w:szCs w:val="17"/>
          <w:color w:val="auto"/>
        </w:rPr>
        <w:t>In addition to duvelisib and defactinib, we have additional earlier-stage programs that have undergone preliminary clinical testing, including clinical trials of the FAK inhibitor VS-4718 and the PI3K/mTOR inhibitor VS-5584. Though both of these programs are slated to complete their Phase 1 testing, we have no plans for further development at this time as we focus our resources on duvelisib and defactinib.</w:t>
      </w:r>
    </w:p>
    <w:p>
      <w:pPr>
        <w:spacing w:after="0" w:line="171" w:lineRule="exact"/>
        <w:rPr>
          <w:sz w:val="20"/>
          <w:szCs w:val="20"/>
          <w:color w:val="auto"/>
        </w:rPr>
      </w:pPr>
    </w:p>
    <w:p>
      <w:pPr>
        <w:ind w:left="160" w:right="439" w:firstLine="736"/>
        <w:spacing w:after="0" w:line="300" w:lineRule="auto"/>
        <w:rPr>
          <w:sz w:val="20"/>
          <w:szCs w:val="20"/>
          <w:color w:val="auto"/>
        </w:rPr>
      </w:pPr>
      <w:r>
        <w:rPr>
          <w:rFonts w:ascii="Arial" w:cs="Arial" w:eastAsia="Arial" w:hAnsi="Arial"/>
          <w:sz w:val="16"/>
          <w:szCs w:val="16"/>
          <w:color w:val="auto"/>
        </w:rPr>
        <w:t>Our operations to date have been organizing and staffing our company, business planning, raising capital, acquiring and developing our technology, identifying potential product candidates and undertaking preclinical studies and clinical trials for our product candidates. To date, we have not generated any revenues and have financed our operations with net proceeds from the private placement of our preferred stock, our initial public offering in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799"/>
        <w:spacing w:after="0" w:line="223" w:lineRule="exact"/>
        <w:rPr>
          <w:sz w:val="20"/>
          <w:szCs w:val="20"/>
          <w:color w:val="auto"/>
        </w:rPr>
      </w:pPr>
      <w:r>
        <w:rPr>
          <w:rFonts w:ascii="Arial" w:cs="Arial" w:eastAsia="Arial" w:hAnsi="Arial"/>
          <w:sz w:val="18"/>
          <w:szCs w:val="18"/>
          <w:color w:val="auto"/>
        </w:rPr>
        <w:t>February 2012, our follow</w:t>
      </w:r>
      <w:r>
        <w:rPr>
          <w:rFonts w:ascii="MS PGothic" w:cs="MS PGothic" w:eastAsia="MS PGothic" w:hAnsi="MS PGothic"/>
          <w:sz w:val="18"/>
          <w:szCs w:val="18"/>
          <w:color w:val="auto"/>
        </w:rPr>
        <w:t>‑</w:t>
      </w:r>
      <w:r>
        <w:rPr>
          <w:rFonts w:ascii="Arial" w:cs="Arial" w:eastAsia="Arial" w:hAnsi="Arial"/>
          <w:sz w:val="18"/>
          <w:szCs w:val="18"/>
          <w:color w:val="auto"/>
        </w:rPr>
        <w:t>on offerings in July 2013 and January 2015 and sales of our common stock under our at</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market equity offering program.</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of December 31, 2016, we had an accumulated deficit of $235.3 million. Our net loss was $36.4 million,</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$57.9 million and $53.4 million for the years ended December 31, 2016, 2015 and 2014, respectively. We expect to incur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significant expenses and increasing operating losses for the foreseeable future. We expect our expenses to increase in</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connection with our ongoing activities, particularly as we continue the research and development and clinical trials of,</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and seek marketing approval for, our product candidates. In addition, if we obtain marketing approval for any of our</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product candidates, we expect to incur significant commercialization expenses related to product sales, marketing,</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manufacturing and distribution. Accordingly, we will need to obtain substantial additional funding in connection with our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continuing operations. Adequate additional financing may not be available to us on acceptable terms, or at all. If we are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unable to raise capital when needed or on attractive terms, we would be forced to delay, reduce or eliminate our research</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and development programs or any future commercialization efforts. We will need to generate significant revenues to</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achieve profitability, and we may never do so.</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FINANCIAL OPERATIONS OVERVIEW</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w:t>
      </w:r>
    </w:p>
    <w:p>
      <w:pPr>
        <w:spacing w:after="0" w:line="228" w:lineRule="exact"/>
        <w:rPr>
          <w:sz w:val="20"/>
          <w:szCs w:val="20"/>
          <w:color w:val="auto"/>
        </w:rPr>
      </w:pPr>
    </w:p>
    <w:p>
      <w:pPr>
        <w:ind w:left="160" w:right="339" w:firstLine="646"/>
        <w:spacing w:after="0" w:line="276" w:lineRule="auto"/>
        <w:rPr>
          <w:sz w:val="20"/>
          <w:szCs w:val="20"/>
          <w:color w:val="auto"/>
        </w:rPr>
      </w:pPr>
      <w:r>
        <w:rPr>
          <w:rFonts w:ascii="Arial" w:cs="Arial" w:eastAsia="Arial" w:hAnsi="Arial"/>
          <w:sz w:val="18"/>
          <w:szCs w:val="18"/>
          <w:color w:val="auto"/>
        </w:rPr>
        <w:t>To date, we have not generated any revenues. Our ability to generate product revenues will depend heavily on the successful development and potential commercialization of our product candidates.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Research and development expenses</w:t>
      </w:r>
    </w:p>
    <w:p>
      <w:pPr>
        <w:spacing w:after="0" w:line="228" w:lineRule="exact"/>
        <w:rPr>
          <w:sz w:val="20"/>
          <w:szCs w:val="20"/>
          <w:color w:val="auto"/>
        </w:rPr>
      </w:pPr>
    </w:p>
    <w:p>
      <w:pPr>
        <w:ind w:left="160" w:right="259" w:firstLine="646"/>
        <w:spacing w:after="0" w:line="340" w:lineRule="auto"/>
        <w:rPr>
          <w:sz w:val="20"/>
          <w:szCs w:val="20"/>
          <w:color w:val="auto"/>
        </w:rPr>
      </w:pPr>
      <w:r>
        <w:rPr>
          <w:rFonts w:ascii="Arial" w:cs="Arial" w:eastAsia="Arial" w:hAnsi="Arial"/>
          <w:sz w:val="16"/>
          <w:szCs w:val="16"/>
          <w:color w:val="auto"/>
        </w:rPr>
        <w:t>Research and development expenses consist of costs associated with our research activities, including our drug discovery efforts, and the development of our product candidates. Our research and development expenses consist of:</w:t>
      </w:r>
    </w:p>
    <w:p>
      <w:pPr>
        <w:spacing w:after="0" w:line="125" w:lineRule="exact"/>
        <w:rPr>
          <w:sz w:val="20"/>
          <w:szCs w:val="20"/>
          <w:color w:val="auto"/>
        </w:rPr>
      </w:pPr>
    </w:p>
    <w:p>
      <w:pPr>
        <w:ind w:left="1200" w:hanging="81"/>
        <w:spacing w:after="0" w:line="184" w:lineRule="exact"/>
        <w:tabs>
          <w:tab w:leader="none" w:pos="1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employee</w:t>
      </w:r>
      <w:r>
        <w:rPr>
          <w:rFonts w:ascii="MS PGothic" w:cs="MS PGothic" w:eastAsia="MS PGothic" w:hAnsi="MS PGothic"/>
          <w:sz w:val="16"/>
          <w:szCs w:val="16"/>
          <w:color w:val="auto"/>
        </w:rPr>
        <w:t>‑</w:t>
      </w:r>
      <w:r>
        <w:rPr>
          <w:rFonts w:ascii="Arial" w:cs="Arial" w:eastAsia="Arial" w:hAnsi="Arial"/>
          <w:sz w:val="16"/>
          <w:szCs w:val="16"/>
          <w:color w:val="auto"/>
        </w:rPr>
        <w:t>related expenses, including salaries, benefits, travel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w:t>
      </w:r>
    </w:p>
    <w:p>
      <w:pPr>
        <w:spacing w:after="0" w:line="246" w:lineRule="exact"/>
        <w:rPr>
          <w:rFonts w:ascii="Arial" w:cs="Arial" w:eastAsia="Arial" w:hAnsi="Arial"/>
          <w:sz w:val="16"/>
          <w:szCs w:val="16"/>
          <w:color w:val="auto"/>
        </w:rPr>
      </w:pPr>
    </w:p>
    <w:p>
      <w:pPr>
        <w:jc w:val="both"/>
        <w:ind w:left="1200" w:right="639" w:hanging="81"/>
        <w:spacing w:after="0" w:line="262"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contract research organizations (CROs), clinical sites, manufacturing organizations and consultants, including our scientific advisory board;</w:t>
      </w:r>
    </w:p>
    <w:p>
      <w:pPr>
        <w:spacing w:after="0" w:line="183" w:lineRule="exact"/>
        <w:rPr>
          <w:rFonts w:ascii="Arial" w:cs="Arial" w:eastAsia="Arial" w:hAnsi="Arial"/>
          <w:sz w:val="18"/>
          <w:szCs w:val="18"/>
          <w:color w:val="auto"/>
        </w:rPr>
      </w:pPr>
    </w:p>
    <w:p>
      <w:pPr>
        <w:ind w:left="1460" w:hanging="341"/>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license fees; and</w:t>
      </w:r>
    </w:p>
    <w:p>
      <w:pPr>
        <w:spacing w:after="0" w:line="223" w:lineRule="exact"/>
        <w:rPr>
          <w:rFonts w:ascii="Arial" w:cs="Arial" w:eastAsia="Arial" w:hAnsi="Arial"/>
          <w:sz w:val="18"/>
          <w:szCs w:val="18"/>
          <w:color w:val="auto"/>
        </w:rPr>
      </w:pPr>
    </w:p>
    <w:p>
      <w:pPr>
        <w:jc w:val="both"/>
        <w:ind w:left="1200" w:right="239" w:hanging="81"/>
        <w:spacing w:after="0" w:line="262"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and other supplies.</w:t>
      </w:r>
    </w:p>
    <w:p>
      <w:pPr>
        <w:spacing w:after="0" w:line="183" w:lineRule="exact"/>
        <w:rPr>
          <w:sz w:val="20"/>
          <w:szCs w:val="20"/>
          <w:color w:val="auto"/>
        </w:rPr>
      </w:pPr>
    </w:p>
    <w:p>
      <w:pPr>
        <w:ind w:left="160" w:right="339" w:firstLine="646"/>
        <w:spacing w:after="0" w:line="310" w:lineRule="auto"/>
        <w:rPr>
          <w:sz w:val="20"/>
          <w:szCs w:val="20"/>
          <w:color w:val="auto"/>
        </w:rPr>
      </w:pPr>
      <w:r>
        <w:rPr>
          <w:rFonts w:ascii="Arial" w:cs="Arial" w:eastAsia="Arial" w:hAnsi="Arial"/>
          <w:sz w:val="16"/>
          <w:szCs w:val="16"/>
          <w:color w:val="auto"/>
        </w:rPr>
        <w:t>We expense research and development costs to operations as incurred. We account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79" w:firstLine="646"/>
        <w:spacing w:after="0" w:line="217" w:lineRule="exact"/>
        <w:rPr>
          <w:sz w:val="20"/>
          <w:szCs w:val="20"/>
          <w:color w:val="auto"/>
        </w:rPr>
      </w:pPr>
      <w:r>
        <w:rPr>
          <w:rFonts w:ascii="Arial" w:cs="Arial" w:eastAsia="Arial" w:hAnsi="Arial"/>
          <w:sz w:val="17"/>
          <w:szCs w:val="17"/>
          <w:color w:val="auto"/>
        </w:rPr>
        <w:t>We allocate the expenses related to external research and development services, such as CROs, clinical sites, manufacturing organizations and consultants by project. The table below summarizes our external allocation of research and development expenses to our clinical programs, including duvelisib, defactinib, VS</w:t>
      </w:r>
      <w:r>
        <w:rPr>
          <w:rFonts w:ascii="MS PGothic" w:cs="MS PGothic" w:eastAsia="MS PGothic" w:hAnsi="MS PGothic"/>
          <w:sz w:val="17"/>
          <w:szCs w:val="17"/>
          <w:color w:val="auto"/>
        </w:rPr>
        <w:t>‑</w:t>
      </w:r>
      <w:r>
        <w:rPr>
          <w:rFonts w:ascii="Arial" w:cs="Arial" w:eastAsia="Arial" w:hAnsi="Arial"/>
          <w:sz w:val="17"/>
          <w:szCs w:val="17"/>
          <w:color w:val="auto"/>
        </w:rPr>
        <w:t>4718 and VS</w:t>
      </w:r>
      <w:r>
        <w:rPr>
          <w:rFonts w:ascii="MS PGothic" w:cs="MS PGothic" w:eastAsia="MS PGothic" w:hAnsi="MS PGothic"/>
          <w:sz w:val="17"/>
          <w:szCs w:val="17"/>
          <w:color w:val="auto"/>
        </w:rPr>
        <w:t>‑</w:t>
      </w:r>
      <w:r>
        <w:rPr>
          <w:rFonts w:ascii="Arial" w:cs="Arial" w:eastAsia="Arial" w:hAnsi="Arial"/>
          <w:sz w:val="17"/>
          <w:szCs w:val="17"/>
          <w:color w:val="auto"/>
        </w:rPr>
        <w:t>5584, for the years ended December 31, 2016, 2015 and 2014. We use our employee and infrastructure resources across multiple research and development projects. Our project costing methodology does not allocate personnel and other indirect costs to specific clinical programs. These unallocated research and development expenses are summarized in the table below and include $3.9 million, $7.3 million and $5.9 million of personnel costs for the years ended December 31, 2016, 2015 and 2014, respectively.</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left="394"/>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1"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33"/>
              <w:spacing w:after="0" w:line="141"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3"/>
              <w:spacing w:after="0" w:line="141"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1"/>
        </w:trPr>
        <w:tc>
          <w:tcPr>
            <w:tcW w:w="4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2"/>
                <w:szCs w:val="12"/>
                <w:color w:val="auto"/>
              </w:rPr>
            </w:pPr>
          </w:p>
        </w:tc>
        <w:tc>
          <w:tcPr>
            <w:tcW w:w="10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0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2"/>
                <w:szCs w:val="12"/>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Defactinib</w:t>
            </w:r>
          </w:p>
        </w:tc>
        <w:tc>
          <w:tcPr>
            <w:tcW w:w="9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20,713</w:t>
            </w:r>
          </w:p>
        </w:tc>
        <w:tc>
          <w:tcPr>
            <w:tcW w:w="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w:t>
            </w:r>
          </w:p>
        </w:tc>
        <w:tc>
          <w:tcPr>
            <w:tcW w:w="100" w:type="dxa"/>
            <w:vAlign w:val="bottom"/>
            <w:shd w:val="clear" w:color="auto" w:fill="CCEEFF"/>
          </w:tcPr>
          <w:p>
            <w:pPr>
              <w:spacing w:after="0"/>
              <w:rPr>
                <w:sz w:val="18"/>
                <w:szCs w:val="18"/>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Duvelisib</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VS-4718</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CEEFF"/>
          </w:tcPr>
          <w:p>
            <w:pPr>
              <w:spacing w:after="0"/>
              <w:rPr>
                <w:sz w:val="18"/>
                <w:szCs w:val="18"/>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VS-5584</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8"/>
                <w:szCs w:val="18"/>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Unallocated and other research and development expense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100" w:type="dxa"/>
            <w:vAlign w:val="bottom"/>
            <w:shd w:val="clear" w:color="auto" w:fill="CCEEFF"/>
          </w:tcPr>
          <w:p>
            <w:pPr>
              <w:spacing w:after="0"/>
              <w:rPr>
                <w:sz w:val="18"/>
                <w:szCs w:val="18"/>
                <w:color w:val="auto"/>
              </w:rPr>
            </w:pPr>
          </w:p>
        </w:tc>
      </w:tr>
      <w:tr>
        <w:trPr>
          <w:trHeight w:val="215"/>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stock-based compensation expense</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tcPr>
          <w:p>
            <w:pPr>
              <w:spacing w:after="0"/>
              <w:rPr>
                <w:sz w:val="18"/>
                <w:szCs w:val="18"/>
                <w:color w:val="auto"/>
              </w:rPr>
            </w:pPr>
          </w:p>
        </w:tc>
      </w:tr>
      <w:tr>
        <w:trPr>
          <w:trHeight w:val="216"/>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1" w:lineRule="exact"/>
        <w:rPr>
          <w:sz w:val="20"/>
          <w:szCs w:val="20"/>
          <w:color w:val="auto"/>
        </w:rPr>
      </w:pPr>
    </w:p>
    <w:p>
      <w:pPr>
        <w:ind w:left="160" w:right="519" w:firstLine="646"/>
        <w:spacing w:after="0" w:line="285" w:lineRule="auto"/>
        <w:rPr>
          <w:sz w:val="20"/>
          <w:szCs w:val="20"/>
          <w:color w:val="auto"/>
        </w:rPr>
      </w:pPr>
      <w:r>
        <w:rPr>
          <w:rFonts w:ascii="Arial" w:cs="Arial" w:eastAsia="Arial" w:hAnsi="Arial"/>
          <w:sz w:val="17"/>
          <w:szCs w:val="17"/>
          <w:color w:val="auto"/>
        </w:rPr>
        <w:t>Due to the uncertainty in drug development and the stage of development of our product candidates, we are unable to predict the requirements, specific timing and estimated costs to complete the development of our product candidates or the timing of when material cash inflows may commence, if ever.</w:t>
      </w:r>
    </w:p>
    <w:p>
      <w:pPr>
        <w:spacing w:after="0" w:line="165" w:lineRule="exact"/>
        <w:rPr>
          <w:sz w:val="20"/>
          <w:szCs w:val="20"/>
          <w:color w:val="auto"/>
        </w:rPr>
      </w:pPr>
    </w:p>
    <w:p>
      <w:pPr>
        <w:ind w:left="160" w:right="279" w:firstLine="646"/>
        <w:spacing w:after="0" w:line="220" w:lineRule="exact"/>
        <w:rPr>
          <w:sz w:val="20"/>
          <w:szCs w:val="20"/>
          <w:color w:val="auto"/>
        </w:rPr>
      </w:pPr>
      <w:r>
        <w:rPr>
          <w:rFonts w:ascii="Arial" w:cs="Arial" w:eastAsia="Arial" w:hAnsi="Arial"/>
          <w:sz w:val="18"/>
          <w:szCs w:val="18"/>
          <w:color w:val="auto"/>
        </w:rPr>
        <w:t>We anticipate that our research and development expenses will increase significantly in future periods as we undertake costlier development activities for our existing and future product candidates, including larger and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202" w:lineRule="exact"/>
        <w:rPr>
          <w:sz w:val="20"/>
          <w:szCs w:val="20"/>
          <w:color w:val="auto"/>
        </w:rPr>
      </w:pPr>
    </w:p>
    <w:p>
      <w:pPr>
        <w:ind w:left="160" w:right="259" w:firstLine="646"/>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development of our product candidates or the period, if any, in which material net cash inflows from our product candidates may commence. This is due to the numerous risks and uncertainties associated with developing drugs, including the uncertainty of:</w:t>
      </w:r>
    </w:p>
    <w:p>
      <w:pPr>
        <w:spacing w:after="0" w:line="188" w:lineRule="exact"/>
        <w:rPr>
          <w:sz w:val="20"/>
          <w:szCs w:val="20"/>
          <w:color w:val="auto"/>
        </w:rPr>
      </w:pPr>
    </w:p>
    <w:p>
      <w:pPr>
        <w:ind w:left="1420" w:hanging="301"/>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23" w:lineRule="exact"/>
        <w:rPr>
          <w:rFonts w:ascii="Arial" w:cs="Arial" w:eastAsia="Arial" w:hAnsi="Arial"/>
          <w:sz w:val="18"/>
          <w:szCs w:val="18"/>
          <w:color w:val="auto"/>
        </w:rPr>
      </w:pPr>
    </w:p>
    <w:p>
      <w:pPr>
        <w:ind w:left="1200" w:right="359" w:hanging="81"/>
        <w:spacing w:after="0" w:line="276"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 including preclinical research and clinical trials;</w:t>
      </w:r>
    </w:p>
    <w:p>
      <w:pPr>
        <w:spacing w:after="0" w:line="169" w:lineRule="exact"/>
        <w:rPr>
          <w:rFonts w:ascii="Arial" w:cs="Arial" w:eastAsia="Arial" w:hAnsi="Arial"/>
          <w:sz w:val="18"/>
          <w:szCs w:val="18"/>
          <w:color w:val="auto"/>
        </w:rPr>
      </w:pPr>
    </w:p>
    <w:p>
      <w:pPr>
        <w:ind w:left="1220" w:hanging="101"/>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23" w:lineRule="exact"/>
        <w:rPr>
          <w:rFonts w:ascii="Arial" w:cs="Arial" w:eastAsia="Arial" w:hAnsi="Arial"/>
          <w:sz w:val="18"/>
          <w:szCs w:val="18"/>
          <w:color w:val="auto"/>
        </w:rPr>
      </w:pPr>
    </w:p>
    <w:p>
      <w:pPr>
        <w:ind w:left="1200" w:right="199" w:hanging="81"/>
        <w:spacing w:after="0" w:line="276"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that we receive regulatory approval for;</w:t>
      </w:r>
    </w:p>
    <w:p>
      <w:pPr>
        <w:spacing w:after="0" w:line="169" w:lineRule="exact"/>
        <w:rPr>
          <w:rFonts w:ascii="Arial" w:cs="Arial" w:eastAsia="Arial" w:hAnsi="Arial"/>
          <w:sz w:val="18"/>
          <w:szCs w:val="18"/>
          <w:color w:val="auto"/>
        </w:rPr>
      </w:pPr>
    </w:p>
    <w:p>
      <w:pPr>
        <w:ind w:left="1260" w:hanging="141"/>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and timing of regulatory approvals; and</w:t>
      </w:r>
    </w:p>
    <w:p>
      <w:pPr>
        <w:spacing w:after="0" w:line="223" w:lineRule="exact"/>
        <w:rPr>
          <w:rFonts w:ascii="Arial" w:cs="Arial" w:eastAsia="Arial" w:hAnsi="Arial"/>
          <w:sz w:val="18"/>
          <w:szCs w:val="18"/>
          <w:color w:val="auto"/>
        </w:rPr>
      </w:pPr>
    </w:p>
    <w:p>
      <w:pPr>
        <w:ind w:left="1200" w:right="379" w:hanging="81"/>
        <w:spacing w:after="0" w:line="276"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patent claims and other intellectual property rights.</w:t>
      </w:r>
    </w:p>
    <w:p>
      <w:pPr>
        <w:spacing w:after="0" w:line="170" w:lineRule="exact"/>
        <w:rPr>
          <w:sz w:val="20"/>
          <w:szCs w:val="20"/>
          <w:color w:val="auto"/>
        </w:rPr>
      </w:pPr>
    </w:p>
    <w:p>
      <w:pPr>
        <w:ind w:left="160" w:right="139" w:firstLine="646"/>
        <w:spacing w:after="0" w:line="272"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U.S. Food and Drug Administration or other regulatory authority were to require us to conduct clinical trials beyond those which we currently anticipate will be required for the completion of clinical development of a product candidate or if we experience significant delays in enrollment in any clinical trials, we could be required to expend significant additional financial resources and time on the completion of clinical development.</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8" w:lineRule="exact"/>
        <w:rPr>
          <w:sz w:val="20"/>
          <w:szCs w:val="20"/>
          <w:color w:val="auto"/>
        </w:rPr>
      </w:pPr>
    </w:p>
    <w:p>
      <w:pPr>
        <w:ind w:left="160" w:right="479" w:firstLine="646"/>
        <w:spacing w:after="0" w:line="219" w:lineRule="exact"/>
        <w:rPr>
          <w:sz w:val="20"/>
          <w:szCs w:val="20"/>
          <w:color w:val="auto"/>
        </w:rPr>
      </w:pPr>
      <w:r>
        <w:rPr>
          <w:rFonts w:ascii="Arial" w:cs="Arial" w:eastAsia="Arial" w:hAnsi="Arial"/>
          <w:sz w:val="16"/>
          <w:szCs w:val="16"/>
          <w:color w:val="auto"/>
        </w:rPr>
        <w:t>General and administrative expenses consist primarily of salaries and related costs for personnel,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in our executive, finance and business development functions. Other general and administrative expenses include allocated facility costs and professional fees for legal, patent, investor and public relations, consulting, insurance premiums, audit, tax and other public company costs.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8" w:lineRule="exact"/>
        <w:rPr>
          <w:sz w:val="20"/>
          <w:szCs w:val="20"/>
          <w:color w:val="auto"/>
        </w:rPr>
      </w:pPr>
    </w:p>
    <w:p>
      <w:pPr>
        <w:ind w:left="160" w:right="179" w:firstLine="646"/>
        <w:spacing w:after="0" w:line="217" w:lineRule="exact"/>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we have prepared in accordance with U.S. generally accepted accounting principles (GAAP). The preparation of these consolidated financial statements requires us to make estimates and judgments that affect the reported amounts of certain assets, liabilities and expenses and the disclosure of contingent assets and liabilities in our financial statements. On an ongoing basis, we evaluate our estimates and judgments, including those related to accrued expenses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2" w:lineRule="exact"/>
        <w:rPr>
          <w:sz w:val="20"/>
          <w:szCs w:val="20"/>
          <w:color w:val="auto"/>
        </w:rPr>
      </w:pPr>
    </w:p>
    <w:p>
      <w:pPr>
        <w:ind w:left="160" w:right="179" w:firstLine="646"/>
        <w:spacing w:after="0" w:line="219" w:lineRule="exact"/>
        <w:rPr>
          <w:sz w:val="20"/>
          <w:szCs w:val="20"/>
          <w:color w:val="auto"/>
        </w:rPr>
      </w:pPr>
      <w:r>
        <w:rPr>
          <w:rFonts w:ascii="Arial" w:cs="Arial" w:eastAsia="Arial" w:hAnsi="Arial"/>
          <w:sz w:val="18"/>
          <w:szCs w:val="18"/>
          <w:color w:val="auto"/>
        </w:rPr>
        <w:t>Our significant accounting policies are described in more detail in the notes to our consolidated financial statements appearing elsewhere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However, we believe that the following accounting policies are the most critical to aid you in fully understanding and evaluating our financial condition and results of operations.</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228" w:lineRule="exact"/>
        <w:rPr>
          <w:sz w:val="20"/>
          <w:szCs w:val="20"/>
          <w:color w:val="auto"/>
        </w:rPr>
      </w:pPr>
    </w:p>
    <w:p>
      <w:pPr>
        <w:ind w:left="160" w:right="139" w:firstLine="646"/>
        <w:spacing w:after="0" w:line="269"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expenses. This process involves reviewing contracts, identifying services that have been performed on our behalf and estimating the level of service performed and the associated cost incurred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include fees paid to CROs in connection with research and development activities for which we have not yet been invoiced.</w:t>
      </w:r>
    </w:p>
    <w:p>
      <w:pPr>
        <w:spacing w:after="0" w:line="181" w:lineRule="exact"/>
        <w:rPr>
          <w:sz w:val="20"/>
          <w:szCs w:val="20"/>
          <w:color w:val="auto"/>
        </w:rPr>
      </w:pPr>
    </w:p>
    <w:p>
      <w:pPr>
        <w:ind w:left="160" w:right="159" w:firstLine="646"/>
        <w:spacing w:after="0" w:line="286" w:lineRule="auto"/>
        <w:rPr>
          <w:sz w:val="20"/>
          <w:szCs w:val="20"/>
          <w:color w:val="auto"/>
        </w:rPr>
      </w:pPr>
      <w:r>
        <w:rPr>
          <w:rFonts w:ascii="Arial" w:cs="Arial" w:eastAsia="Arial" w:hAnsi="Arial"/>
          <w:sz w:val="16"/>
          <w:szCs w:val="16"/>
          <w:color w:val="auto"/>
        </w:rPr>
        <w:t>We base our expenses related to CROs on our estimates of the services received and efforts expended pursuant to quotes and contracts with CROs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To date, there have been no material differences between our estimates of such expenses and the amounts actually incurred.</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8" w:lineRule="exact"/>
        <w:rPr>
          <w:sz w:val="20"/>
          <w:szCs w:val="20"/>
          <w:color w:val="auto"/>
        </w:rPr>
      </w:pPr>
    </w:p>
    <w:p>
      <w:pPr>
        <w:ind w:left="160" w:right="259" w:firstLine="646"/>
        <w:spacing w:after="0" w:line="219" w:lineRule="exact"/>
        <w:rPr>
          <w:sz w:val="20"/>
          <w:szCs w:val="20"/>
          <w:color w:val="auto"/>
        </w:rPr>
      </w:pPr>
      <w:r>
        <w:rPr>
          <w:rFonts w:ascii="Arial" w:cs="Arial" w:eastAsia="Arial" w:hAnsi="Arial"/>
          <w:sz w:val="18"/>
          <w:szCs w:val="18"/>
          <w:color w:val="auto"/>
        </w:rPr>
        <w:t>We recognize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stock options issued to employees based on the grant date fair value of the awards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requisite service period. We record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stock options issued to non</w:t>
      </w:r>
      <w:r>
        <w:rPr>
          <w:rFonts w:ascii="MS PGothic" w:cs="MS PGothic" w:eastAsia="MS PGothic" w:hAnsi="MS PGothic"/>
          <w:sz w:val="18"/>
          <w:szCs w:val="18"/>
          <w:color w:val="auto"/>
        </w:rPr>
        <w:t>‑</w:t>
      </w:r>
      <w:r>
        <w:rPr>
          <w:rFonts w:ascii="Arial" w:cs="Arial" w:eastAsia="Arial" w:hAnsi="Arial"/>
          <w:sz w:val="18"/>
          <w:szCs w:val="18"/>
          <w:color w:val="auto"/>
        </w:rPr>
        <w:t>employees based on the estimated fair value of the services received or of the equity instruments issued, whichever is more reliably measured, based on the vesting date fair value of the awards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w:t>
      </w:r>
    </w:p>
    <w:p>
      <w:pPr>
        <w:spacing w:after="0" w:line="201" w:lineRule="exact"/>
        <w:rPr>
          <w:sz w:val="20"/>
          <w:szCs w:val="20"/>
          <w:color w:val="auto"/>
        </w:rPr>
      </w:pPr>
    </w:p>
    <w:p>
      <w:pPr>
        <w:ind w:left="160" w:right="179" w:firstLine="646"/>
        <w:spacing w:after="0" w:line="216" w:lineRule="exact"/>
        <w:rPr>
          <w:sz w:val="20"/>
          <w:szCs w:val="20"/>
          <w:color w:val="auto"/>
        </w:rPr>
      </w:pPr>
      <w:r>
        <w:rPr>
          <w:rFonts w:ascii="Arial" w:cs="Arial" w:eastAsia="Arial" w:hAnsi="Arial"/>
          <w:sz w:val="16"/>
          <w:szCs w:val="16"/>
          <w:color w:val="auto"/>
        </w:rPr>
        <w:t>We estimate the fair value of stock option awards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Determining the fair value of share</w:t>
      </w:r>
      <w:r>
        <w:rPr>
          <w:rFonts w:ascii="MS PGothic" w:cs="MS PGothic" w:eastAsia="MS PGothic" w:hAnsi="MS PGothic"/>
          <w:sz w:val="16"/>
          <w:szCs w:val="16"/>
          <w:color w:val="auto"/>
        </w:rPr>
        <w:t>‑</w:t>
      </w:r>
      <w:r>
        <w:rPr>
          <w:rFonts w:ascii="Arial" w:cs="Arial" w:eastAsia="Arial" w:hAnsi="Arial"/>
          <w:sz w:val="16"/>
          <w:szCs w:val="16"/>
          <w:color w:val="auto"/>
        </w:rPr>
        <w:t>based awards requires the use of subjective assumptions, including the expected term of the award and expected stock price volatility. The assumptions used in determining the fair value of share</w:t>
      </w:r>
      <w:r>
        <w:rPr>
          <w:rFonts w:ascii="MS PGothic" w:cs="MS PGothic" w:eastAsia="MS PGothic" w:hAnsi="MS PGothic"/>
          <w:sz w:val="16"/>
          <w:szCs w:val="16"/>
          <w:color w:val="auto"/>
        </w:rPr>
        <w:t>‑</w:t>
      </w:r>
      <w:r>
        <w:rPr>
          <w:rFonts w:ascii="Arial" w:cs="Arial" w:eastAsia="Arial" w:hAnsi="Arial"/>
          <w:sz w:val="16"/>
          <w:szCs w:val="16"/>
          <w:color w:val="auto"/>
        </w:rPr>
        <w:t>based awards represent management’s best estimates, which involve inherent uncertainties and the application of management judgment. As a result, if factors change, and we use different assumptions, our share</w:t>
      </w:r>
      <w:r>
        <w:rPr>
          <w:rFonts w:ascii="MS PGothic" w:cs="MS PGothic" w:eastAsia="MS PGothic" w:hAnsi="MS PGothic"/>
          <w:sz w:val="16"/>
          <w:szCs w:val="16"/>
          <w:color w:val="auto"/>
        </w:rPr>
        <w:t>‑</w:t>
      </w:r>
      <w:r>
        <w:rPr>
          <w:rFonts w:ascii="Arial" w:cs="Arial" w:eastAsia="Arial" w:hAnsi="Arial"/>
          <w:sz w:val="16"/>
          <w:szCs w:val="16"/>
          <w:color w:val="auto"/>
        </w:rPr>
        <w:t>based compensation could be materially different in the future.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used for each grant is based on a U.S. Treasury instrument whose term is consistent with the expected term of the stock option. Because we do not have a sufficient history to estimate the expected term, we use the simplified method as described in Securities and Exchange Commission Staff Accounting Bulletin Topic 14.D.2 for estimating the expected term. The simplified method is based on the average of the vesting tranches and the contractual life of each grant. Because there was no public market for our common stock prior to our initial public offering, we lacked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Therefore, we used the historical volatility of a representative group of public biotechnology and life sciences companies with similar characteristics to us. Our current computation of expected volatility is based on the historical volatility of five companies equally weighted, including our own and a representative group of four public biotechnology and life sciences companies with similar characteristics to us, including similar stage of product development and therapeutic focus. We have not paid and do not anticipate paying cash dividends on our shares of common stock; therefore, the expected dividend yield is assumed to be zero. We also recognize compensation expense for only the portion of options that are expected to vest. Accordingly, we have estimated expected forfeitures of stock options based on our historical forfeiture rate, adjusted for known trends, and used these rates in developing a future forfeiture rate.</w:t>
      </w:r>
    </w:p>
    <w:p>
      <w:pPr>
        <w:spacing w:after="0" w:line="214" w:lineRule="exact"/>
        <w:rPr>
          <w:sz w:val="20"/>
          <w:szCs w:val="20"/>
          <w:color w:val="auto"/>
        </w:rPr>
      </w:pPr>
    </w:p>
    <w:p>
      <w:pPr>
        <w:ind w:left="160" w:right="239" w:firstLine="646"/>
        <w:spacing w:after="0" w:line="217" w:lineRule="exact"/>
        <w:rPr>
          <w:sz w:val="20"/>
          <w:szCs w:val="20"/>
          <w:color w:val="auto"/>
        </w:rPr>
      </w:pPr>
      <w:r>
        <w:rPr>
          <w:rFonts w:ascii="Arial" w:cs="Arial" w:eastAsia="Arial" w:hAnsi="Arial"/>
          <w:sz w:val="16"/>
          <w:szCs w:val="16"/>
          <w:color w:val="auto"/>
        </w:rPr>
        <w:t>We have also granted performance</w:t>
      </w:r>
      <w:r>
        <w:rPr>
          <w:rFonts w:ascii="MS PGothic" w:cs="MS PGothic" w:eastAsia="MS PGothic" w:hAnsi="MS PGothic"/>
          <w:sz w:val="16"/>
          <w:szCs w:val="16"/>
          <w:color w:val="auto"/>
        </w:rPr>
        <w:t>‑</w:t>
      </w:r>
      <w:r>
        <w:rPr>
          <w:rFonts w:ascii="Arial" w:cs="Arial" w:eastAsia="Arial" w:hAnsi="Arial"/>
          <w:sz w:val="16"/>
          <w:szCs w:val="16"/>
          <w:color w:val="auto"/>
        </w:rPr>
        <w:t>based restricted stock units (RSUs) and stock options with terms that allow the recipients to vest in a specific number of shares based upon the achievement of performance</w:t>
      </w:r>
      <w:r>
        <w:rPr>
          <w:rFonts w:ascii="MS PGothic" w:cs="MS PGothic" w:eastAsia="MS PGothic" w:hAnsi="MS PGothic"/>
          <w:sz w:val="16"/>
          <w:szCs w:val="16"/>
          <w:color w:val="auto"/>
        </w:rPr>
        <w:t>‑</w:t>
      </w:r>
      <w:r>
        <w:rPr>
          <w:rFonts w:ascii="Arial" w:cs="Arial" w:eastAsia="Arial" w:hAnsi="Arial"/>
          <w:sz w:val="16"/>
          <w:szCs w:val="16"/>
          <w:color w:val="auto"/>
        </w:rPr>
        <w:t>based milestones as specified in the grants. Share</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associated with these performance</w:t>
      </w:r>
      <w:r>
        <w:rPr>
          <w:rFonts w:ascii="MS PGothic" w:cs="MS PGothic" w:eastAsia="MS PGothic" w:hAnsi="MS PGothic"/>
          <w:sz w:val="16"/>
          <w:szCs w:val="16"/>
          <w:color w:val="auto"/>
        </w:rPr>
        <w:t>‑</w:t>
      </w:r>
      <w:r>
        <w:rPr>
          <w:rFonts w:ascii="Arial" w:cs="Arial" w:eastAsia="Arial" w:hAnsi="Arial"/>
          <w:sz w:val="16"/>
          <w:szCs w:val="16"/>
          <w:color w:val="auto"/>
        </w:rPr>
        <w:t>based RSUs and stock options is recognized if the performance condition is considered probable of achievement using management’s best estimates of the time to vesting for the achievement of the performance</w:t>
      </w:r>
      <w:r>
        <w:rPr>
          <w:rFonts w:ascii="MS PGothic" w:cs="MS PGothic" w:eastAsia="MS PGothic" w:hAnsi="MS PGothic"/>
          <w:sz w:val="16"/>
          <w:szCs w:val="16"/>
          <w:color w:val="auto"/>
        </w:rPr>
        <w:t>‑</w:t>
      </w:r>
      <w:r>
        <w:rPr>
          <w:rFonts w:ascii="Arial" w:cs="Arial" w:eastAsia="Arial" w:hAnsi="Arial"/>
          <w:sz w:val="16"/>
          <w:szCs w:val="16"/>
          <w:color w:val="auto"/>
        </w:rPr>
        <w:t>based milestones. If the actual achievement of the performance</w:t>
      </w:r>
      <w:r>
        <w:rPr>
          <w:rFonts w:ascii="MS PGothic" w:cs="MS PGothic" w:eastAsia="MS PGothic" w:hAnsi="MS PGothic"/>
          <w:sz w:val="16"/>
          <w:szCs w:val="16"/>
          <w:color w:val="auto"/>
        </w:rPr>
        <w:t>‑</w:t>
      </w:r>
      <w:r>
        <w:rPr>
          <w:rFonts w:ascii="Arial" w:cs="Arial" w:eastAsia="Arial" w:hAnsi="Arial"/>
          <w:sz w:val="16"/>
          <w:szCs w:val="16"/>
          <w:color w:val="auto"/>
        </w:rPr>
        <w:t>based milestones varies from our estimates, share</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could be materially different than what is recorded in the period. The cumulative effect on current and prior periods of a change in the estimated time to vesting for performance</w:t>
      </w:r>
      <w:r>
        <w:rPr>
          <w:rFonts w:ascii="MS PGothic" w:cs="MS PGothic" w:eastAsia="MS PGothic" w:hAnsi="MS PGothic"/>
          <w:sz w:val="16"/>
          <w:szCs w:val="16"/>
          <w:color w:val="auto"/>
        </w:rPr>
        <w:t>‑</w:t>
      </w:r>
      <w:r>
        <w:rPr>
          <w:rFonts w:ascii="Arial" w:cs="Arial" w:eastAsia="Arial" w:hAnsi="Arial"/>
          <w:sz w:val="16"/>
          <w:szCs w:val="16"/>
          <w:color w:val="auto"/>
        </w:rPr>
        <w:t>based RSUs and stock options will be recognized as compensation cost in the period of the revision, and recorded as a change in estimate.</w:t>
      </w:r>
    </w:p>
    <w:p>
      <w:pPr>
        <w:spacing w:after="0" w:line="208" w:lineRule="exact"/>
        <w:rPr>
          <w:sz w:val="20"/>
          <w:szCs w:val="20"/>
          <w:color w:val="auto"/>
        </w:rPr>
      </w:pPr>
    </w:p>
    <w:p>
      <w:pPr>
        <w:ind w:left="160" w:right="239" w:firstLine="646"/>
        <w:spacing w:after="0" w:line="219" w:lineRule="exact"/>
        <w:rPr>
          <w:sz w:val="20"/>
          <w:szCs w:val="20"/>
          <w:color w:val="auto"/>
        </w:rPr>
      </w:pPr>
      <w:r>
        <w:rPr>
          <w:rFonts w:ascii="Arial" w:cs="Arial" w:eastAsia="Arial" w:hAnsi="Arial"/>
          <w:sz w:val="18"/>
          <w:szCs w:val="18"/>
          <w:color w:val="auto"/>
        </w:rPr>
        <w:t>While the assumptions used to calculate and account for share</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represent management’s best estimates, these estimates involve inherent uncertainties and the application of management’s judgment. As a result, if revisions are made to our underlying assumptions and estimates, our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could vary significantly from period to period.</w:t>
      </w:r>
    </w:p>
    <w:p>
      <w:pPr>
        <w:spacing w:after="0" w:line="204" w:lineRule="exact"/>
        <w:rPr>
          <w:sz w:val="20"/>
          <w:szCs w:val="20"/>
          <w:color w:val="auto"/>
        </w:rPr>
      </w:pPr>
    </w:p>
    <w:p>
      <w:pPr>
        <w:ind w:left="160" w:right="139" w:firstLine="646"/>
        <w:spacing w:after="0" w:line="218" w:lineRule="exact"/>
        <w:rPr>
          <w:sz w:val="20"/>
          <w:szCs w:val="20"/>
          <w:color w:val="auto"/>
        </w:rPr>
      </w:pPr>
      <w:r>
        <w:rPr>
          <w:rFonts w:ascii="Arial" w:cs="Arial" w:eastAsia="Arial" w:hAnsi="Arial"/>
          <w:sz w:val="18"/>
          <w:szCs w:val="18"/>
          <w:color w:val="auto"/>
        </w:rPr>
        <w:t>As of December 31, 2016, there was approximately $4.9 million of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net of estimated forfeitures, related to stock options, which are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1.5 years. There is no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related to RSUs or restricted common stock. The total unrecognized share</w:t>
      </w:r>
      <w:r>
        <w:rPr>
          <w:rFonts w:ascii="MS PGothic" w:cs="MS PGothic" w:eastAsia="MS PGothic" w:hAnsi="MS PGothic"/>
          <w:sz w:val="18"/>
          <w:szCs w:val="18"/>
          <w:color w:val="auto"/>
        </w:rPr>
        <w:t>‑</w:t>
      </w:r>
      <w:r>
        <w:rPr>
          <w:rFonts w:ascii="Arial" w:cs="Arial" w:eastAsia="Arial" w:hAnsi="Arial"/>
          <w:sz w:val="18"/>
          <w:szCs w:val="18"/>
          <w:color w:val="auto"/>
        </w:rPr>
        <w:t>based compensation cost will be adjusted for future changes in estimated forfeitures. See Notes 2 and 7 to our consolidated financial statements located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further discussion of share</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228" w:lineRule="exact"/>
        <w:rPr>
          <w:sz w:val="20"/>
          <w:szCs w:val="20"/>
          <w:color w:val="auto"/>
        </w:rPr>
      </w:pPr>
    </w:p>
    <w:p>
      <w:pPr>
        <w:ind w:left="160" w:right="659" w:firstLine="646"/>
        <w:spacing w:after="0" w:line="262" w:lineRule="auto"/>
        <w:rPr>
          <w:sz w:val="20"/>
          <w:szCs w:val="20"/>
          <w:color w:val="auto"/>
        </w:rPr>
      </w:pPr>
      <w:r>
        <w:rPr>
          <w:rFonts w:ascii="Arial" w:cs="Arial" w:eastAsia="Arial" w:hAnsi="Arial"/>
          <w:sz w:val="18"/>
          <w:szCs w:val="18"/>
          <w:color w:val="auto"/>
        </w:rPr>
        <w:t>All financial information presented has been consolidated and includes the accounts of our wholly owned subsidiary, Verastem Securities Company. All intercompany balances and transactions have been eliminated in consolidation.</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Comparison of the Year Ended December 31, 2016 to the Year Ended December 31, 2015</w:t>
      </w:r>
    </w:p>
    <w:p>
      <w:pPr>
        <w:spacing w:after="0" w:line="228" w:lineRule="exact"/>
        <w:rPr>
          <w:sz w:val="20"/>
          <w:szCs w:val="20"/>
          <w:color w:val="auto"/>
        </w:rPr>
      </w:pPr>
    </w:p>
    <w:p>
      <w:pPr>
        <w:ind w:left="160" w:right="199" w:firstLine="646"/>
        <w:spacing w:after="0" w:line="270"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for the year ended December 31, 2016</w:t>
      </w:r>
      <w:r>
        <w:rPr>
          <w:rFonts w:ascii="Arial" w:cs="Arial" w:eastAsia="Arial" w:hAnsi="Arial"/>
          <w:sz w:val="17"/>
          <w:szCs w:val="17"/>
          <w:i w:val="1"/>
          <w:iCs w:val="1"/>
          <w:color w:val="auto"/>
        </w:rPr>
        <w:t xml:space="preserve"> </w:t>
      </w:r>
      <w:r>
        <w:rPr>
          <w:rFonts w:ascii="Arial" w:cs="Arial" w:eastAsia="Arial" w:hAnsi="Arial"/>
          <w:sz w:val="17"/>
          <w:szCs w:val="17"/>
          <w:color w:val="auto"/>
        </w:rPr>
        <w:t>(2016 Period) was $19.8 million compared to $40.6 million for the year ended December 31, 2015 (2015 Period). The $20.8 million decrease from the 2015 Period to the 2016 Period was primarily related to a decrease of $15.6 million in external CRO expense for outsourced biology, chemistry, development and clinical services, which includes our clinical trial costs, a $3.4 million decrease in personnel related costs, primarily due to the reduction in workforce in October 2015, a decrease of $1.3 million in stock-based compensation expense and a decrease of $1.5 million in lab supplies, travel and other research and development expense. These decreases were partially offset by an increase of approximately $947,000 in consulting and professional fees.</w:t>
      </w:r>
    </w:p>
    <w:p>
      <w:pPr>
        <w:spacing w:after="0" w:line="179" w:lineRule="exact"/>
        <w:rPr>
          <w:sz w:val="20"/>
          <w:szCs w:val="20"/>
          <w:color w:val="auto"/>
        </w:rPr>
      </w:pPr>
    </w:p>
    <w:p>
      <w:pPr>
        <w:ind w:left="160" w:right="159" w:firstLine="646"/>
        <w:spacing w:after="0" w:line="295"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for the 2016 Period was $17.2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$17.6 million for the 2015 Period. The approximate $411,000 decrease from the 2015 Period to the 2016 Period primarily resulted from a decrease of $2.1 million in stock-based compensation expense. This decrease was partially offset by increases of $1.1 million in consulting and professional fees, approximately $280,000 in personnel costs, and a net increase of approximately $306,000 of other general and administrative costs.</w:t>
      </w:r>
    </w:p>
    <w:p>
      <w:pPr>
        <w:spacing w:after="0" w:line="161" w:lineRule="exact"/>
        <w:rPr>
          <w:sz w:val="20"/>
          <w:szCs w:val="20"/>
          <w:color w:val="auto"/>
        </w:rPr>
      </w:pPr>
    </w:p>
    <w:p>
      <w:pPr>
        <w:jc w:val="both"/>
        <w:ind w:left="160" w:right="239" w:firstLine="646"/>
        <w:spacing w:after="0" w:line="262"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to approximately $562,000 for the 2016 Period from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$334,000 for the 2015 Period. This increase was primarily due to higher interest rates on investments in the 2016 Period compared to the 2015 Period.</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Comparison of the Year Ended December 31, 2015 to the Year Ended December 31, 2014</w:t>
      </w:r>
    </w:p>
    <w:p>
      <w:pPr>
        <w:spacing w:after="0" w:line="228" w:lineRule="exact"/>
        <w:rPr>
          <w:sz w:val="20"/>
          <w:szCs w:val="20"/>
          <w:color w:val="auto"/>
        </w:rPr>
      </w:pPr>
    </w:p>
    <w:p>
      <w:pPr>
        <w:ind w:left="160" w:right="139" w:firstLine="646"/>
        <w:spacing w:after="0" w:line="269"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for the 2015 Period was $40.6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$35.4 million for the year ended December 31, 2014 (2014 Period). The $5.2 million increase from the 2014 Period to the 2015 Period was primarily related to an increase of approximately $5.8 million in external CRO expense for outsourced biology, chemistry, development and clinical services, which includes our clinical trial costs, a $1.4 million increase in personnel related costs, primarily due to increased headcount and salaries (before our restructuring) and to restructuring costs associated with the reduction in workforce in October 2015, and an increase of approximately $558,000 in consulting expense. These increases were partially offset by a decrease of $1.3 million in stock-based compensation expense, $1.2 million in license fees related to the Encarta asset purchase in the 2014 Period and $126,000 in lab supplies.</w:t>
      </w:r>
    </w:p>
    <w:p>
      <w:pPr>
        <w:spacing w:after="0" w:line="181" w:lineRule="exact"/>
        <w:rPr>
          <w:sz w:val="20"/>
          <w:szCs w:val="20"/>
          <w:color w:val="auto"/>
        </w:rPr>
      </w:pPr>
    </w:p>
    <w:p>
      <w:pPr>
        <w:ind w:left="160" w:right="159" w:firstLine="646"/>
        <w:spacing w:after="0" w:line="290"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for the 2015 Period was $17.6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$18.2 million for the 2014 Period. The approximate $525,000 decrease from the 2014 Period to the 2015 Period primarily resulted from a decrease of approximately $1.1 million in stock-based compensation expense and a decrease in professional fees of approximately $446,000, primarily related to lower intellectual property and general legal costs. These decreases were partially offset by an increase of approximately $856,000 in personnel costs, due to increased headcount and salaries (before our restructuring) and to restructuring costs associated with the reduction in workforce in October 2015, and an increase in consulting fees of approximately $189,000.</w:t>
      </w:r>
    </w:p>
    <w:p>
      <w:pPr>
        <w:spacing w:after="0" w:line="166" w:lineRule="exact"/>
        <w:rPr>
          <w:sz w:val="20"/>
          <w:szCs w:val="20"/>
          <w:color w:val="auto"/>
        </w:rPr>
      </w:pPr>
    </w:p>
    <w:p>
      <w:pPr>
        <w:ind w:left="160" w:right="259" w:firstLine="646"/>
        <w:spacing w:after="0" w:line="262"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to approximately $334,000 for the 2015 Period from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$242,000 for the 2014 Period. This increase was primarily due to a higher average investment balance for the 2015 Period compared to the 2014 Period.</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Sources of liquidity</w:t>
      </w:r>
    </w:p>
    <w:p>
      <w:pPr>
        <w:spacing w:after="0" w:line="228" w:lineRule="exact"/>
        <w:rPr>
          <w:sz w:val="20"/>
          <w:szCs w:val="20"/>
          <w:color w:val="auto"/>
        </w:rPr>
      </w:pPr>
    </w:p>
    <w:p>
      <w:pPr>
        <w:ind w:left="160" w:right="179" w:firstLine="646"/>
        <w:spacing w:after="0" w:line="292" w:lineRule="auto"/>
        <w:rPr>
          <w:sz w:val="20"/>
          <w:szCs w:val="20"/>
          <w:color w:val="auto"/>
        </w:rPr>
      </w:pPr>
      <w:r>
        <w:rPr>
          <w:rFonts w:ascii="Arial" w:cs="Arial" w:eastAsia="Arial" w:hAnsi="Arial"/>
          <w:sz w:val="16"/>
          <w:szCs w:val="16"/>
          <w:color w:val="auto"/>
        </w:rPr>
        <w:t>To date, we have not generated any revenues. We have financed our operations to date through private placements of preferred stock, our initial public offering in February 2012, our follow-on offerings in July 2013 and January 2015 and sales of common stock under our at-the market equity offering program. As of December 31, 2016, we had $80.9 million in cash, cash equivalents and investments. We primarily invest our cash, cash equivalents and investments in a U.S. Government money market fund, overnight repurchase agreements collateralized by government agency securities or U.S. Treasury securities, corporate bonds and commercial paper of publicly traded companies.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flows</w:t>
      </w:r>
    </w:p>
    <w:p>
      <w:pPr>
        <w:spacing w:after="0" w:line="228" w:lineRule="exact"/>
        <w:rPr>
          <w:sz w:val="20"/>
          <w:szCs w:val="20"/>
          <w:color w:val="auto"/>
        </w:rPr>
      </w:pPr>
    </w:p>
    <w:p>
      <w:pPr>
        <w:ind w:left="160" w:right="399" w:firstLine="646"/>
        <w:spacing w:after="0" w:line="276" w:lineRule="auto"/>
        <w:rPr>
          <w:sz w:val="20"/>
          <w:szCs w:val="20"/>
          <w:color w:val="auto"/>
        </w:rPr>
      </w:pPr>
      <w:r>
        <w:rPr>
          <w:rFonts w:ascii="Arial" w:cs="Arial" w:eastAsia="Arial" w:hAnsi="Arial"/>
          <w:sz w:val="18"/>
          <w:szCs w:val="18"/>
          <w:color w:val="auto"/>
        </w:rPr>
        <w:t>The following table sets forth the primary sources and uses of cash for each of the periods set forth below (in thousands):</w:t>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8"/>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8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1"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1"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48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(29,484)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(45,559)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(36,902)</w:t>
            </w:r>
          </w:p>
        </w:tc>
        <w:tc>
          <w:tcPr>
            <w:tcW w:w="60" w:type="dxa"/>
            <w:vAlign w:val="bottom"/>
          </w:tcPr>
          <w:p>
            <w:pPr>
              <w:spacing w:after="0"/>
              <w:rPr>
                <w:sz w:val="18"/>
                <w:szCs w:val="18"/>
                <w:color w:val="auto"/>
              </w:rPr>
            </w:pPr>
          </w:p>
        </w:tc>
      </w:tr>
      <w:tr>
        <w:trPr>
          <w:trHeight w:val="215"/>
        </w:trPr>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(27,057)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43,140</w:t>
            </w:r>
          </w:p>
        </w:tc>
        <w:tc>
          <w:tcPr>
            <w:tcW w:w="60" w:type="dxa"/>
            <w:vAlign w:val="bottom"/>
            <w:shd w:val="clear" w:color="auto" w:fill="CCEEFF"/>
          </w:tcPr>
          <w:p>
            <w:pPr>
              <w:spacing w:after="0"/>
              <w:rPr>
                <w:sz w:val="18"/>
                <w:szCs w:val="18"/>
                <w:color w:val="auto"/>
              </w:rPr>
            </w:pPr>
          </w:p>
        </w:tc>
      </w:tr>
      <w:tr>
        <w:trPr>
          <w:trHeight w:val="215"/>
        </w:trPr>
        <w:tc>
          <w:tcPr>
            <w:tcW w:w="4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Financing activities</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8,774</w:t>
            </w:r>
          </w:p>
        </w:tc>
        <w:tc>
          <w:tcPr>
            <w:tcW w:w="60" w:type="dxa"/>
            <w:vAlign w:val="bottom"/>
            <w:tcBorders>
              <w:bottom w:val="single" w:sz="8" w:color="CCEEFF"/>
            </w:tcBorders>
          </w:tcPr>
          <w:p>
            <w:pPr>
              <w:spacing w:after="0"/>
              <w:rPr>
                <w:sz w:val="18"/>
                <w:szCs w:val="18"/>
                <w:color w:val="auto"/>
              </w:rPr>
            </w:pPr>
          </w:p>
        </w:tc>
      </w:tr>
      <w:tr>
        <w:trPr>
          <w:trHeight w:val="216"/>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1" w:lineRule="exact"/>
        <w:rPr>
          <w:sz w:val="20"/>
          <w:szCs w:val="20"/>
          <w:color w:val="auto"/>
        </w:rPr>
      </w:pPr>
    </w:p>
    <w:p>
      <w:pPr>
        <w:ind w:left="160" w:right="239" w:firstLine="646"/>
        <w:spacing w:after="0" w:line="271"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use of cash in all periods resulted primarily from our net losses adjusted for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and changes in the components of working capital. The $16.1 million decrease in cash used in operating activities for the 2016 Period compared to the 2015 Period was primarily due to a decrease in research and development expenses related to our ongoing clinical trials, including the closeout of our COMMAND trial, and development of our lead product candidates. The $8.7 million increase in cash used in operating activities for the 2015 Period compared to the 2014 Period was primarily due to an increase in research and development expenses related to clinical trials and development of our lead product candidates.</w:t>
      </w:r>
    </w:p>
    <w:p>
      <w:pPr>
        <w:spacing w:after="0" w:line="178" w:lineRule="exact"/>
        <w:rPr>
          <w:sz w:val="20"/>
          <w:szCs w:val="20"/>
          <w:color w:val="auto"/>
        </w:rPr>
      </w:pPr>
    </w:p>
    <w:p>
      <w:pPr>
        <w:ind w:left="160" w:right="239" w:firstLine="646"/>
        <w:spacing w:after="0" w:line="292" w:lineRule="auto"/>
        <w:rPr>
          <w:sz w:val="20"/>
          <w:szCs w:val="20"/>
          <w:color w:val="auto"/>
        </w:rPr>
      </w:pPr>
      <w:r>
        <w:rPr>
          <w:rFonts w:ascii="Arial" w:cs="Arial" w:eastAsia="Arial" w:hAnsi="Arial"/>
          <w:sz w:val="16"/>
          <w:szCs w:val="16"/>
          <w:color w:val="auto"/>
        </w:rPr>
        <w:t>In October 2015, we announced a reduction in our workforce of approximately 50% to 20 full time employees. All affected employees received severance pay and outplacement assistance. As a result of the reduction in force and associated costs, we estimated annual savings of approximately $5.1 million in cash operating expenses on a going forward basis, with one-time severance and related costs of $1.1 million. Of these one-time severance and related costs, approximately $349,000 was paid through December 31, 2015 and approximately $713,000 was paid in the 2016 Period. As of December 31, 2016, all one-time severance and related costs have been paid and no liability remains.</w:t>
      </w:r>
    </w:p>
    <w:p>
      <w:pPr>
        <w:spacing w:after="0" w:line="164" w:lineRule="exact"/>
        <w:rPr>
          <w:sz w:val="20"/>
          <w:szCs w:val="20"/>
          <w:color w:val="auto"/>
        </w:rPr>
      </w:pPr>
    </w:p>
    <w:p>
      <w:pPr>
        <w:ind w:left="160" w:right="159" w:firstLine="646"/>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cash provided by investing activities for the 2016 Period reflects net maturities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of $37.0 million. The cash used for investing activities for the 2015 Period primarily reflects the net purchases of investments of $26.8 million. The cash provided by investing activities for the 2014 Period reflects net maturities of investments of $45.7 million, partially offset by $2.4 million of property and equipment purchases primarily associated with the buildout of the Needham facility.</w:t>
      </w:r>
    </w:p>
    <w:p>
      <w:pPr>
        <w:spacing w:after="0" w:line="188" w:lineRule="exact"/>
        <w:rPr>
          <w:sz w:val="20"/>
          <w:szCs w:val="20"/>
          <w:color w:val="auto"/>
        </w:rPr>
      </w:pPr>
    </w:p>
    <w:p>
      <w:pPr>
        <w:ind w:left="160" w:right="179" w:firstLine="646"/>
        <w:spacing w:after="0" w:line="269" w:lineRule="auto"/>
        <w:rPr>
          <w:sz w:val="20"/>
          <w:szCs w:val="20"/>
          <w:color w:val="auto"/>
        </w:rPr>
      </w:pPr>
      <w:r>
        <w:rPr>
          <w:rFonts w:ascii="Arial" w:cs="Arial" w:eastAsia="Arial" w:hAnsi="Arial"/>
          <w:sz w:val="17"/>
          <w:szCs w:val="17"/>
          <w:color w:val="auto"/>
        </w:rPr>
        <w:t>In November 2016, we entered into an amended and restated license agreement with Infinity Pharmaceuticals, Inc. (Infinity), under which we acquired an exclusive worldwide license for the research, development, commercialization, and manufacture of products in oncology indications containing duvelisib. In connection with the license agreement, we assumed operational and financial responsibility for certain activities that were part of Infinity’s duvelisib program, including the DUO study for patients with relapsed/refractory CLL, and Infinity assumed financial responsibility for the shutdown of certain other clinical studies up to a maximum of $4.5 million. We are obligated to use diligent efforts to develop and commercialize a product in an oncology indication containing duvelisib. During the term of the license agreement, Infinity has agreed not to research, develop, manufacture or commercialize duvelisib in any other indication in humans or animals.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59" w:firstLine="646"/>
        <w:spacing w:after="0" w:line="285" w:lineRule="auto"/>
        <w:rPr>
          <w:sz w:val="20"/>
          <w:szCs w:val="20"/>
          <w:color w:val="auto"/>
        </w:rPr>
      </w:pPr>
      <w:r>
        <w:rPr>
          <w:rFonts w:ascii="Arial" w:cs="Arial" w:eastAsia="Arial" w:hAnsi="Arial"/>
          <w:sz w:val="16"/>
          <w:szCs w:val="16"/>
          <w:color w:val="auto"/>
        </w:rPr>
        <w:t>Pursuant to the terms of the license agreement, we are required to make the following payments to Infinity in cash or, at our election, in whole or in part, in shares of our common stock: (i) $6.0 million upon the completion of the DUO study if the results of the DUO study meet certain pre-specified criteria and (ii) $22.0 million upon the approval of a new drug application in the United States or an application for marketing authorization with a regulatory authority outside of the United States for a product in an oncology indication containing duvelisib. For any portion of any of the foregoing payments that we elect to issue in shares of our common stock in lieu of cash, the number of shares of common stock to be issued will be determined by multiplying (1) 1.025 by (2) the number of shares of common stock equal to (a) the amount of the payment to be paid in shares of common stock divided by (b) the average closing price of a share of common stock as quoted on NASDAQ for a twenty day period following the public announcement of the applicable milestone event. The shares of common stock will be issued as unregistered securities, and we will have an obligation to promptly file a registration statement with the SEC to register such shares for resale. Any issuance of shares will be subject to the satisfaction of closing conditions, including that all material authorizations, consents, approvals and the like necessary for such issuance shall have been obtained.</w:t>
      </w:r>
    </w:p>
    <w:p>
      <w:pPr>
        <w:spacing w:after="0" w:line="174" w:lineRule="exact"/>
        <w:rPr>
          <w:sz w:val="20"/>
          <w:szCs w:val="20"/>
          <w:color w:val="auto"/>
        </w:rPr>
      </w:pPr>
    </w:p>
    <w:p>
      <w:pPr>
        <w:ind w:left="160" w:right="179" w:firstLine="646"/>
        <w:spacing w:after="0" w:line="268" w:lineRule="auto"/>
        <w:rPr>
          <w:sz w:val="20"/>
          <w:szCs w:val="20"/>
          <w:color w:val="auto"/>
        </w:rPr>
      </w:pPr>
      <w:r>
        <w:rPr>
          <w:rFonts w:ascii="Arial" w:cs="Arial" w:eastAsia="Arial" w:hAnsi="Arial"/>
          <w:sz w:val="17"/>
          <w:szCs w:val="17"/>
          <w:color w:val="auto"/>
        </w:rPr>
        <w:t>We are also obligated to pay Infinity royalties on worldwide net sales of any products in an oncology indication containing duvelisib ranging from the mid-single digits to the high single-digits. The royalties will expire on a product-by-product and country-by-country basis until the latest to occur of (i) the last-to-expire patent right covering the applicable product in the applicable country, (ii) the last-to-expire patent right covering the manufacture of the applicable product in the country of manufacture of such product, (iii) the expiration of non-patent regulatory exclusivity in such country and (iv) ten years following the first commercial sale of a product in a country, provided that if royalties on net sales for a product in the United States are payable solely on the basis of non-patent regulatory exclusivity, the applicable royalty on net sales for such product in the United States will be reduced by 50%. The royalties are also subject to reduction by 50% of certain third-party royalty payments or patent litigation damages or settlements which might be required to be paid by us if litigation were to arise, with any such reductions capped at 50% of the amounts otherwise payable during the applicable royalty payment period.</w:t>
      </w:r>
    </w:p>
    <w:p>
      <w:pPr>
        <w:spacing w:after="0" w:line="183" w:lineRule="exact"/>
        <w:rPr>
          <w:sz w:val="20"/>
          <w:szCs w:val="20"/>
          <w:color w:val="auto"/>
        </w:rPr>
      </w:pPr>
    </w:p>
    <w:p>
      <w:pPr>
        <w:ind w:left="160" w:right="199" w:firstLine="646"/>
        <w:spacing w:after="0" w:line="268" w:lineRule="auto"/>
        <w:rPr>
          <w:sz w:val="20"/>
          <w:szCs w:val="20"/>
          <w:color w:val="auto"/>
        </w:rPr>
      </w:pPr>
      <w:r>
        <w:rPr>
          <w:rFonts w:ascii="Arial" w:cs="Arial" w:eastAsia="Arial" w:hAnsi="Arial"/>
          <w:sz w:val="17"/>
          <w:szCs w:val="17"/>
          <w:color w:val="auto"/>
        </w:rPr>
        <w:t>In addition to the foregoing, we are obligated to pay Infinity an additional royalty of 4% on worldwide net sales of any products in an oncology indication containing duvelisib to cover the reimbursement of research and development costs owed by Infinity to Mundipharma International Corporation Limited (MICL) and Purdue Pharmaceutical Products L.P. (Purdue). Once Infinity has fully reimbursed MICL and Purdue, the royalty obligations will be reduced to 1% of net sales in the United States. These trailing MICL royalties are payable until the later to occur of the last-to-expire of specified patent rights and the expiration of non-patent regulatory exclusivities in a country. Each of the above royalty rates is reduced by 50% on a product-by-product and country-by-country basis if the applicable royalty is payable solely on the basis of non-patent regulatory exclusivity. In addition, the trailing MICL royalties are subject to reduction by 50% of certain third-party royalty payments or patent litigation damages or settlements which might be required to be paid by the us if litigation were to arise, with any such reductions capped at 50% of the amounts otherwise payable during the applicable royalty payment period.</w:t>
      </w:r>
    </w:p>
    <w:p>
      <w:pPr>
        <w:spacing w:after="0" w:line="183" w:lineRule="exact"/>
        <w:rPr>
          <w:sz w:val="20"/>
          <w:szCs w:val="20"/>
          <w:color w:val="auto"/>
        </w:rPr>
      </w:pPr>
    </w:p>
    <w:p>
      <w:pPr>
        <w:ind w:left="160" w:right="159" w:firstLine="646"/>
        <w:spacing w:after="0" w:line="289"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The cash used in financing activities for the 2016 Period primarily represents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$5,000 used to satisfy the tax withholding obligations on certain RSUs that were net settled by employees. The cash provided by financing activities for the 2015 Period primarily represents net proceeds of $63.9 million from the sale of shares of our common stock in our January 2015 follow-on offering and our at-the-market equity offering program, offset in part by approximately $417,000 of cash used to satisfy the tax withholding obligations on certain RSUs that were net settled by employees. The cash provided by financing activities in the 2014 Period is primarily related to $9.6 million of net proceeds from our at-the-market equity offering program offset by approximately $780,000 of cash used to satisfy the tax withholding obligations on certain RSUs that were net settled by employees.</w:t>
      </w:r>
    </w:p>
    <w:p>
      <w:pPr>
        <w:spacing w:after="0" w:line="166" w:lineRule="exact"/>
        <w:rPr>
          <w:sz w:val="20"/>
          <w:szCs w:val="20"/>
          <w:color w:val="auto"/>
        </w:rPr>
      </w:pPr>
    </w:p>
    <w:p>
      <w:pPr>
        <w:ind w:left="160" w:right="159" w:firstLine="646"/>
        <w:spacing w:after="0" w:line="271" w:lineRule="auto"/>
        <w:rPr>
          <w:sz w:val="20"/>
          <w:szCs w:val="20"/>
          <w:color w:val="auto"/>
        </w:rPr>
      </w:pPr>
      <w:r>
        <w:rPr>
          <w:rFonts w:ascii="Arial" w:cs="Arial" w:eastAsia="Arial" w:hAnsi="Arial"/>
          <w:sz w:val="17"/>
          <w:szCs w:val="17"/>
          <w:color w:val="auto"/>
        </w:rPr>
        <w:t>On March 21, 2017 (Closing Date), Verastem, Inc. (Borrower) entered into a term loan facility of up to $25.0 million (Term Loan) with Hercules Capital, Inc., a Maryland corporation (Hercules), the proceeds of which will be used for its ongoing research and development programs and for general corporate purposes. The Term Loan is governed by a loan and security agreement, dated March 21, 2017 (Loan Agreement), which provides for up to four separate advances. The first tranche of $2.5 million was drawn on the Closing Date. The second tranche of $2.5 million and the third tranche of $5.0 million may be drawn, at the Borrower’s option but subject to the Borrower receiving favorable data from its ongoing Phase III clinical study evaluating the safety and efficacy 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79"/>
        <w:spacing w:after="0" w:line="278" w:lineRule="auto"/>
        <w:rPr>
          <w:sz w:val="20"/>
          <w:szCs w:val="20"/>
          <w:color w:val="auto"/>
        </w:rPr>
      </w:pPr>
      <w:r>
        <w:rPr>
          <w:rFonts w:ascii="Arial" w:cs="Arial" w:eastAsia="Arial" w:hAnsi="Arial"/>
          <w:sz w:val="17"/>
          <w:szCs w:val="17"/>
          <w:color w:val="auto"/>
        </w:rPr>
        <w:t>duvelisib in patients with relapsed/refractory chronic leukemia or small lymphocytic lymphoma on or prior to September 20, 2017 (Milestone Event), during the period beginning on the Closing Date and ending on the earliest to occur of the date that is 90 days after the Milestone Event and December 20, 2017. The fourth tranche of $15.0 million may be drawn, at the Borrower’s option and at the sole discretion of Hercules, on or prior to June 30, 2018.</w:t>
      </w:r>
    </w:p>
    <w:p>
      <w:pPr>
        <w:spacing w:after="0" w:line="171" w:lineRule="exact"/>
        <w:rPr>
          <w:sz w:val="20"/>
          <w:szCs w:val="20"/>
          <w:color w:val="auto"/>
        </w:rPr>
      </w:pPr>
    </w:p>
    <w:p>
      <w:pPr>
        <w:ind w:left="160" w:right="479" w:firstLine="646"/>
        <w:spacing w:after="0" w:line="290" w:lineRule="auto"/>
        <w:rPr>
          <w:sz w:val="20"/>
          <w:szCs w:val="20"/>
          <w:color w:val="auto"/>
        </w:rPr>
      </w:pPr>
      <w:r>
        <w:rPr>
          <w:rFonts w:ascii="Arial" w:cs="Arial" w:eastAsia="Arial" w:hAnsi="Arial"/>
          <w:sz w:val="16"/>
          <w:szCs w:val="16"/>
          <w:color w:val="auto"/>
        </w:rPr>
        <w:t>The Term Loan will mature on December 1, 2020 (Loan Maturity Date). Each advance accrues interest at a floating per annum rate equal to the greater of either (a) 10.5% or (b) the lesser of (i) 12.75% and (ii) the sum of (x)</w:t>
      </w:r>
    </w:p>
    <w:p>
      <w:pPr>
        <w:spacing w:after="0" w:line="1" w:lineRule="exact"/>
        <w:rPr>
          <w:sz w:val="20"/>
          <w:szCs w:val="20"/>
          <w:color w:val="auto"/>
        </w:rPr>
      </w:pPr>
    </w:p>
    <w:p>
      <w:pPr>
        <w:ind w:left="160" w:right="199"/>
        <w:spacing w:after="0" w:line="266" w:lineRule="auto"/>
        <w:rPr>
          <w:sz w:val="20"/>
          <w:szCs w:val="20"/>
          <w:color w:val="auto"/>
        </w:rPr>
      </w:pPr>
      <w:r>
        <w:rPr>
          <w:rFonts w:ascii="Arial" w:cs="Arial" w:eastAsia="Arial" w:hAnsi="Arial"/>
          <w:sz w:val="17"/>
          <w:szCs w:val="17"/>
          <w:color w:val="auto"/>
        </w:rPr>
        <w:t>10.5% plus (y) (A) the prime rate minus (B) 4.5%. The Term Loan provides for interest-only payments until November 1, 2018. The interest-only period may be extended to May 1, 2019 if the Borrower obtains minimum cash proceeds of $20.0 million from a sale of equity securities or subordinated debt and/or ongoing commercial partnerships. Thereafter, amortization payments will be payable monthly in twenty-six installments (or, if the period requiring interest-only payments has been extended to May 1, 2019, in twenty installments) of principal and interest (subject to recalculation upon a change in prime rates). Any advance may be prepaid in whole or in part upon seven business days’ prior written notice to Hercules, subject to a prepayment charge of 3.0%, if such advance is prepaid in any of the first twelve (12) months following the Closing Date, 2.0%, if such advance is prepaid after twelve (12) months following the Closing Date but on or prior to twenty-four (24) months following the Closing Date, and 1.0% thereafter. In addition, a final payment equal to 4.5% of the greater of (a) $5.0 million and (b) the total principal amount of the Term Loan extended by Hercules which is due on the Loan Maturity Date, or such earlier date specified in the Loan Agreement. Amounts outstanding during an event of default shall be payable on demand and shall accrue interest at an additional rate of 5.0% per annum of the past due amount outstanding.</w:t>
      </w:r>
    </w:p>
    <w:p>
      <w:pPr>
        <w:spacing w:after="0" w:line="184" w:lineRule="exact"/>
        <w:rPr>
          <w:sz w:val="20"/>
          <w:szCs w:val="20"/>
          <w:color w:val="auto"/>
        </w:rPr>
      </w:pPr>
    </w:p>
    <w:p>
      <w:pPr>
        <w:ind w:left="160" w:right="539" w:firstLine="646"/>
        <w:spacing w:after="0" w:line="278" w:lineRule="auto"/>
        <w:rPr>
          <w:sz w:val="20"/>
          <w:szCs w:val="20"/>
          <w:color w:val="auto"/>
        </w:rPr>
      </w:pPr>
      <w:r>
        <w:rPr>
          <w:rFonts w:ascii="Arial" w:cs="Arial" w:eastAsia="Arial" w:hAnsi="Arial"/>
          <w:sz w:val="17"/>
          <w:szCs w:val="17"/>
          <w:color w:val="auto"/>
        </w:rPr>
        <w:t>The Term Loan is secured by a lien on substantially all of the assets of the Borrower,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w:t>
      </w:r>
    </w:p>
    <w:p>
      <w:pPr>
        <w:spacing w:after="0" w:line="171" w:lineRule="exact"/>
        <w:rPr>
          <w:sz w:val="20"/>
          <w:szCs w:val="20"/>
          <w:color w:val="auto"/>
        </w:rPr>
      </w:pPr>
    </w:p>
    <w:p>
      <w:pPr>
        <w:ind w:left="160" w:right="239" w:firstLine="646"/>
        <w:spacing w:after="0" w:line="284" w:lineRule="auto"/>
        <w:rPr>
          <w:sz w:val="20"/>
          <w:szCs w:val="20"/>
          <w:color w:val="auto"/>
        </w:rPr>
      </w:pPr>
      <w:r>
        <w:rPr>
          <w:rFonts w:ascii="Arial" w:cs="Arial" w:eastAsia="Arial" w:hAnsi="Arial"/>
          <w:sz w:val="16"/>
          <w:szCs w:val="16"/>
          <w:color w:val="auto"/>
        </w:rPr>
        <w:t>The events of default under the Loan Agreement include, without limitation, and subject to customary grace periods, (1) the Borrower’s failure to make any payments of principal or interest under the Loan Agreement, promissory notes or other loan documents, (2) the Borrower’s breach or default in the performance of any covenant under the Loan Agreement, (3) the Borrower making a false or misleading representation or warranty in any material respect, (4) the Borrower’s insolvency or bankruptcy, (5) certain attachments or judgments on the Borrower’s assets, or (6) the occurrence of any material default under certain agreements or obligations of the Borrower involving indebtedness, or</w:t>
      </w:r>
    </w:p>
    <w:p>
      <w:pPr>
        <w:ind w:left="160" w:right="519" w:hanging="10"/>
        <w:spacing w:after="0" w:line="259" w:lineRule="auto"/>
        <w:tabs>
          <w:tab w:leader="none" w:pos="4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occurrence of a material adverse effect. If an event of default occurs, Hercules is entitled to take enforcement action, including acceleration of amounts due under the Loan Agreement.</w:t>
      </w:r>
    </w:p>
    <w:p>
      <w:pPr>
        <w:spacing w:after="0" w:line="185" w:lineRule="exact"/>
        <w:rPr>
          <w:sz w:val="20"/>
          <w:szCs w:val="20"/>
          <w:color w:val="auto"/>
        </w:rPr>
      </w:pPr>
    </w:p>
    <w:p>
      <w:pPr>
        <w:ind w:left="160" w:right="1059" w:firstLine="646"/>
        <w:spacing w:after="0" w:line="340" w:lineRule="auto"/>
        <w:rPr>
          <w:sz w:val="20"/>
          <w:szCs w:val="20"/>
          <w:color w:val="auto"/>
        </w:rPr>
      </w:pPr>
      <w:r>
        <w:rPr>
          <w:rFonts w:ascii="Arial" w:cs="Arial" w:eastAsia="Arial" w:hAnsi="Arial"/>
          <w:sz w:val="16"/>
          <w:szCs w:val="16"/>
          <w:color w:val="auto"/>
        </w:rPr>
        <w:t>The Loan Agreement also contains other customary provisions, such as expense reimbursement and confidentiality. Hercules has indemnification rights and the right to assign the Term Loan.</w:t>
      </w:r>
    </w:p>
    <w:p>
      <w:pPr>
        <w:spacing w:after="0" w:line="125" w:lineRule="exact"/>
        <w:rPr>
          <w:sz w:val="20"/>
          <w:szCs w:val="20"/>
          <w:color w:val="auto"/>
        </w:rPr>
      </w:pPr>
    </w:p>
    <w:p>
      <w:pPr>
        <w:ind w:left="160" w:right="139" w:firstLine="646"/>
        <w:spacing w:after="0" w:line="252" w:lineRule="auto"/>
        <w:rPr>
          <w:sz w:val="20"/>
          <w:szCs w:val="20"/>
          <w:color w:val="auto"/>
        </w:rPr>
      </w:pPr>
      <w:r>
        <w:rPr>
          <w:rFonts w:ascii="Arial" w:cs="Arial" w:eastAsia="Arial" w:hAnsi="Arial"/>
          <w:sz w:val="18"/>
          <w:szCs w:val="18"/>
          <w:color w:val="auto"/>
        </w:rPr>
        <w:t>In December 2013, we established an at-the-market equity offering program pursuant to which we are able to offer and sell up to $35.0 million of our common stock at then current market prices from time to time through Cantor Fitzgerald &amp; Co., as sales agent. In November 2014, we commenced sales under this program. Through December 31, 2015, we sold 2,536,155 shares under this program for net proceeds of approximately $22.5 million (after deducting commissions and other offering expenses), of which 1,189,479 shares were sold in the 2015 Period for net proceeds of $10.9 million (after deducting commissions and other offering expenses). Of the cumulative net proceeds through December 31, 2015, $9.6 million was received in the 2014 Period and $12.9 million was received in the 2015 Period. No proceeds were received and no additional sales of our common stock were made under this program during the 2016 Period.</w:t>
      </w:r>
    </w:p>
    <w:p>
      <w:pPr>
        <w:spacing w:after="0" w:line="197" w:lineRule="exact"/>
        <w:rPr>
          <w:sz w:val="20"/>
          <w:szCs w:val="20"/>
          <w:color w:val="auto"/>
        </w:rPr>
      </w:pPr>
    </w:p>
    <w:p>
      <w:pPr>
        <w:ind w:left="160" w:right="199" w:firstLine="646"/>
        <w:spacing w:after="0" w:line="258" w:lineRule="auto"/>
        <w:rPr>
          <w:sz w:val="20"/>
          <w:szCs w:val="20"/>
          <w:color w:val="auto"/>
        </w:rPr>
      </w:pPr>
      <w:r>
        <w:rPr>
          <w:rFonts w:ascii="Arial" w:cs="Arial" w:eastAsia="Arial" w:hAnsi="Arial"/>
          <w:sz w:val="18"/>
          <w:szCs w:val="18"/>
          <w:color w:val="auto"/>
        </w:rPr>
        <w:t>In January 2015, we completed a follow-on offering in which we sold 8,337,500 shares of our common stock to the public at a price of $6.50 per share, including 1,087,500 shares issued pursuant to the exercise of the underwriters’ option to purchase additional shares. The net proceeds from this offering were $50.9 million, after deducting underwriting discounts and commissions.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Funding requirements</w:t>
      </w:r>
    </w:p>
    <w:p>
      <w:pPr>
        <w:spacing w:after="0" w:line="228" w:lineRule="exact"/>
        <w:rPr>
          <w:sz w:val="20"/>
          <w:szCs w:val="20"/>
          <w:color w:val="auto"/>
        </w:rPr>
      </w:pPr>
    </w:p>
    <w:p>
      <w:pPr>
        <w:ind w:left="160" w:right="859" w:firstLine="646"/>
        <w:spacing w:after="0" w:line="306" w:lineRule="auto"/>
        <w:rPr>
          <w:sz w:val="20"/>
          <w:szCs w:val="20"/>
          <w:color w:val="auto"/>
        </w:rPr>
      </w:pPr>
      <w:r>
        <w:rPr>
          <w:rFonts w:ascii="Arial" w:cs="Arial" w:eastAsia="Arial" w:hAnsi="Arial"/>
          <w:sz w:val="17"/>
          <w:szCs w:val="17"/>
          <w:color w:val="auto"/>
        </w:rPr>
        <w:t>We expect to continue to incur significant expenses and operating losses for the foreseeable future. We anticipate that our expenses and operating losses will increase substantially if and as we:</w:t>
      </w:r>
    </w:p>
    <w:p>
      <w:pPr>
        <w:spacing w:after="0" w:line="148" w:lineRule="exact"/>
        <w:rPr>
          <w:sz w:val="20"/>
          <w:szCs w:val="20"/>
          <w:color w:val="auto"/>
        </w:rPr>
      </w:pPr>
    </w:p>
    <w:p>
      <w:pPr>
        <w:ind w:left="1200" w:right="379" w:hanging="81"/>
        <w:spacing w:after="0" w:line="276"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 our ongoing clinical trials, including with our most advanced product candidates duvelisib and defactinib;</w:t>
      </w:r>
    </w:p>
    <w:p>
      <w:pPr>
        <w:spacing w:after="0" w:line="169" w:lineRule="exact"/>
        <w:rPr>
          <w:rFonts w:ascii="Arial" w:cs="Arial" w:eastAsia="Arial" w:hAnsi="Arial"/>
          <w:sz w:val="18"/>
          <w:szCs w:val="18"/>
          <w:color w:val="auto"/>
        </w:rPr>
      </w:pPr>
    </w:p>
    <w:p>
      <w:pPr>
        <w:ind w:left="1240" w:hanging="12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initiate additional clinical trials for our product candidates;</w:t>
      </w:r>
    </w:p>
    <w:p>
      <w:pPr>
        <w:spacing w:after="0" w:line="223" w:lineRule="exact"/>
        <w:rPr>
          <w:rFonts w:ascii="Arial" w:cs="Arial" w:eastAsia="Arial" w:hAnsi="Arial"/>
          <w:sz w:val="18"/>
          <w:szCs w:val="18"/>
          <w:color w:val="auto"/>
        </w:rPr>
      </w:pPr>
    </w:p>
    <w:p>
      <w:pPr>
        <w:ind w:left="1220" w:hanging="101"/>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3" w:lineRule="exact"/>
        <w:rPr>
          <w:rFonts w:ascii="Arial" w:cs="Arial" w:eastAsia="Arial" w:hAnsi="Arial"/>
          <w:sz w:val="18"/>
          <w:szCs w:val="18"/>
          <w:color w:val="auto"/>
        </w:rPr>
      </w:pPr>
    </w:p>
    <w:p>
      <w:pPr>
        <w:ind w:left="1240" w:hanging="12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acquire or in-license other products and technologies;</w:t>
      </w:r>
    </w:p>
    <w:p>
      <w:pPr>
        <w:spacing w:after="0" w:line="223" w:lineRule="exact"/>
        <w:rPr>
          <w:rFonts w:ascii="Arial" w:cs="Arial" w:eastAsia="Arial" w:hAnsi="Arial"/>
          <w:sz w:val="18"/>
          <w:szCs w:val="18"/>
          <w:color w:val="auto"/>
        </w:rPr>
      </w:pPr>
    </w:p>
    <w:p>
      <w:pPr>
        <w:ind w:left="1220" w:hanging="101"/>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hire additional clinical, development and scientific personnel;</w:t>
      </w:r>
    </w:p>
    <w:p>
      <w:pPr>
        <w:spacing w:after="0" w:line="223" w:lineRule="exact"/>
        <w:rPr>
          <w:rFonts w:ascii="Arial" w:cs="Arial" w:eastAsia="Arial" w:hAnsi="Arial"/>
          <w:sz w:val="18"/>
          <w:szCs w:val="18"/>
          <w:color w:val="auto"/>
        </w:rPr>
      </w:pPr>
    </w:p>
    <w:p>
      <w:pPr>
        <w:ind w:left="1200" w:right="479" w:hanging="81"/>
        <w:spacing w:after="0" w:line="306" w:lineRule="auto"/>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 and planned future commercialization efforts; and</w:t>
      </w:r>
    </w:p>
    <w:p>
      <w:pPr>
        <w:spacing w:after="0" w:line="147" w:lineRule="exact"/>
        <w:rPr>
          <w:rFonts w:ascii="Arial" w:cs="Arial" w:eastAsia="Arial" w:hAnsi="Arial"/>
          <w:sz w:val="17"/>
          <w:szCs w:val="17"/>
          <w:color w:val="auto"/>
        </w:rPr>
      </w:pPr>
    </w:p>
    <w:p>
      <w:pPr>
        <w:ind w:left="1200" w:right="399" w:hanging="81"/>
        <w:spacing w:after="0" w:line="276"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w:t>
      </w:r>
    </w:p>
    <w:p>
      <w:pPr>
        <w:spacing w:after="0" w:line="385" w:lineRule="exact"/>
        <w:rPr>
          <w:sz w:val="20"/>
          <w:szCs w:val="20"/>
          <w:color w:val="auto"/>
        </w:rPr>
      </w:pPr>
    </w:p>
    <w:p>
      <w:pPr>
        <w:ind w:left="160" w:right="239" w:firstLine="646"/>
        <w:spacing w:after="0" w:line="289" w:lineRule="auto"/>
        <w:rPr>
          <w:sz w:val="20"/>
          <w:szCs w:val="20"/>
          <w:color w:val="auto"/>
        </w:rPr>
      </w:pPr>
      <w:r>
        <w:rPr>
          <w:rFonts w:ascii="Arial" w:cs="Arial" w:eastAsia="Arial" w:hAnsi="Arial"/>
          <w:sz w:val="16"/>
          <w:szCs w:val="16"/>
          <w:color w:val="auto"/>
        </w:rPr>
        <w:t>We expect our existing cash, cash equivalents and investments will be sufficient to fund our current operating plan for at least the next twelve months from the date of filing of this Annual Report on Form 10-K and into 2018. We have based this estimate on assumptions that may prove to be wrong and we could use our available capital resources sooner than we currently expect. Because of the numerous risks and uncertainties associated with the development and commercialization of our product candidates, and the extent to which we may enter into collaborations with third parties for development and commercialization of our product candidates, we are unable to estimate the amounts of increased capital outlays and operating expenses associated with completing the development of our current product candidates. Our future capital requirements will depend on many factors, including:</w:t>
      </w:r>
    </w:p>
    <w:p>
      <w:pPr>
        <w:spacing w:after="0" w:line="166" w:lineRule="exact"/>
        <w:rPr>
          <w:sz w:val="20"/>
          <w:szCs w:val="20"/>
          <w:color w:val="auto"/>
        </w:rPr>
      </w:pPr>
    </w:p>
    <w:p>
      <w:pPr>
        <w:ind w:left="1200" w:hanging="81"/>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rate and size of enrollment, results and cost of completing our ongoing clinical trials;</w:t>
      </w:r>
    </w:p>
    <w:p>
      <w:pPr>
        <w:spacing w:after="0" w:line="223" w:lineRule="exact"/>
        <w:rPr>
          <w:rFonts w:ascii="Arial" w:cs="Arial" w:eastAsia="Arial" w:hAnsi="Arial"/>
          <w:sz w:val="18"/>
          <w:szCs w:val="18"/>
          <w:color w:val="auto"/>
        </w:rPr>
      </w:pPr>
    </w:p>
    <w:p>
      <w:pPr>
        <w:ind w:left="1220" w:hanging="101"/>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progress and results of our ongoing and potential future clinical trials;</w:t>
      </w:r>
    </w:p>
    <w:p>
      <w:pPr>
        <w:spacing w:after="0" w:line="223" w:lineRule="exact"/>
        <w:rPr>
          <w:rFonts w:ascii="Arial" w:cs="Arial" w:eastAsia="Arial" w:hAnsi="Arial"/>
          <w:sz w:val="18"/>
          <w:szCs w:val="18"/>
          <w:color w:val="auto"/>
        </w:rPr>
      </w:pPr>
    </w:p>
    <w:p>
      <w:pPr>
        <w:ind w:left="1220" w:hanging="101"/>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223" w:lineRule="exact"/>
        <w:rPr>
          <w:rFonts w:ascii="Arial" w:cs="Arial" w:eastAsia="Arial" w:hAnsi="Arial"/>
          <w:sz w:val="18"/>
          <w:szCs w:val="18"/>
          <w:color w:val="auto"/>
        </w:rPr>
      </w:pPr>
    </w:p>
    <w:p>
      <w:pPr>
        <w:ind w:left="1200" w:hanging="81"/>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and/or approval of our product candidates;</w:t>
      </w:r>
    </w:p>
    <w:p>
      <w:pPr>
        <w:spacing w:after="0" w:line="223" w:lineRule="exact"/>
        <w:rPr>
          <w:rFonts w:ascii="Arial" w:cs="Arial" w:eastAsia="Arial" w:hAnsi="Arial"/>
          <w:sz w:val="18"/>
          <w:szCs w:val="18"/>
          <w:color w:val="auto"/>
        </w:rPr>
      </w:pPr>
    </w:p>
    <w:p>
      <w:pPr>
        <w:ind w:left="1200" w:right="679" w:hanging="81"/>
        <w:spacing w:after="0" w:line="276"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for our product candidates, for which we receive marketing approval;</w:t>
      </w:r>
    </w:p>
    <w:p>
      <w:pPr>
        <w:spacing w:after="0" w:line="169" w:lineRule="exact"/>
        <w:rPr>
          <w:rFonts w:ascii="Arial" w:cs="Arial" w:eastAsia="Arial" w:hAnsi="Arial"/>
          <w:sz w:val="18"/>
          <w:szCs w:val="18"/>
          <w:color w:val="auto"/>
        </w:rPr>
      </w:pPr>
    </w:p>
    <w:p>
      <w:pPr>
        <w:ind w:left="1200" w:right="179" w:hanging="81"/>
        <w:spacing w:after="0" w:line="276"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for which we receive marketing approval;</w:t>
      </w:r>
    </w:p>
    <w:p>
      <w:pPr>
        <w:spacing w:after="0" w:line="169" w:lineRule="exact"/>
        <w:rPr>
          <w:rFonts w:ascii="Arial" w:cs="Arial" w:eastAsia="Arial" w:hAnsi="Arial"/>
          <w:sz w:val="18"/>
          <w:szCs w:val="18"/>
          <w:color w:val="auto"/>
        </w:rPr>
      </w:pPr>
    </w:p>
    <w:p>
      <w:pPr>
        <w:ind w:left="1200" w:right="939" w:hanging="81"/>
        <w:spacing w:after="0" w:line="306" w:lineRule="auto"/>
        <w:tabs>
          <w:tab w:leader="none" w:pos="12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7" w:lineRule="exact"/>
        <w:rPr>
          <w:rFonts w:ascii="Arial" w:cs="Arial" w:eastAsia="Arial" w:hAnsi="Arial"/>
          <w:sz w:val="17"/>
          <w:szCs w:val="17"/>
          <w:color w:val="auto"/>
        </w:rPr>
      </w:pPr>
    </w:p>
    <w:p>
      <w:pPr>
        <w:ind w:left="1220" w:hanging="101"/>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00" w:lineRule="exact"/>
        <w:rPr>
          <w:sz w:val="20"/>
          <w:szCs w:val="20"/>
          <w:color w:val="auto"/>
        </w:rPr>
      </w:pPr>
    </w:p>
    <w:p>
      <w:pPr>
        <w:spacing w:after="0" w:line="239" w:lineRule="exact"/>
        <w:rPr>
          <w:sz w:val="20"/>
          <w:szCs w:val="20"/>
          <w:color w:val="auto"/>
        </w:rPr>
      </w:pPr>
    </w:p>
    <w:p>
      <w:pPr>
        <w:ind w:left="160" w:right="159" w:firstLine="646"/>
        <w:spacing w:after="0" w:line="285"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19"/>
        <w:spacing w:after="0" w:line="288" w:lineRule="auto"/>
        <w:rPr>
          <w:sz w:val="20"/>
          <w:szCs w:val="20"/>
          <w:color w:val="auto"/>
        </w:rPr>
      </w:pPr>
      <w:r>
        <w:rPr>
          <w:rFonts w:ascii="Arial" w:cs="Arial" w:eastAsia="Arial" w:hAnsi="Arial"/>
          <w:sz w:val="16"/>
          <w:szCs w:val="16"/>
          <w:color w:val="auto"/>
        </w:rPr>
        <w:t>the ownership interest of our existing stockholders will be diluted, and the terms of these securities may include liquidation or other preferences that adversely affect the rights of our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our contractual obligations at December 31, 2016:</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4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620" w:type="dxa"/>
            <w:vAlign w:val="bottom"/>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2018 - 2019</w:t>
            </w: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2020 - 2021</w:t>
            </w:r>
          </w:p>
        </w:tc>
        <w:tc>
          <w:tcPr>
            <w:tcW w:w="1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$ 1,484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527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License agreements (1)</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59055</wp:posOffset>
            </wp:positionV>
            <wp:extent cx="13843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180" w:lineRule="exact"/>
        <w:rPr>
          <w:sz w:val="20"/>
          <w:szCs w:val="20"/>
          <w:color w:val="auto"/>
        </w:rPr>
      </w:pPr>
    </w:p>
    <w:p>
      <w:pPr>
        <w:ind w:left="680" w:right="179" w:hanging="214"/>
        <w:spacing w:after="0" w:line="288" w:lineRule="auto"/>
        <w:rPr>
          <w:sz w:val="20"/>
          <w:szCs w:val="20"/>
          <w:color w:val="auto"/>
        </w:rPr>
      </w:pPr>
      <w:r>
        <w:rPr>
          <w:rFonts w:ascii="Arial" w:cs="Arial" w:eastAsia="Arial" w:hAnsi="Arial"/>
          <w:sz w:val="16"/>
          <w:szCs w:val="16"/>
          <w:color w:val="auto"/>
        </w:rPr>
        <w:t>(1)As discussed in Note 10 to the consolidated financial statements appearing elsewhere in this Annual Report on Form 10 K, we are party to several agreements to license intellectual property. The license agreements may require us to pay upfront license fees, ongoing annual license maintenance fees, milestone payments, minimum royalty payments, as well as reimbursement of certain patent costs incurred by the licensors, as applicable. We have not included these payments in the table above as: there were no upfront license fees payable in future periods; annual license maintenance fees, which total $15,000 per year beginning in 2017, are perpetual and the agreements are cancelable by us at any time upon prior written notice to the licensor; we cannot estimate if milestone and/or royalty payments will occur in future periods; and patent cost reimbursement costs are perpetual and the agreements are cancelable by us at any time upon prior written notice to the licensor.</w:t>
      </w:r>
    </w:p>
    <w:p>
      <w:pPr>
        <w:spacing w:after="0" w:line="166" w:lineRule="exact"/>
        <w:rPr>
          <w:sz w:val="20"/>
          <w:szCs w:val="20"/>
          <w:color w:val="auto"/>
        </w:rPr>
      </w:pPr>
    </w:p>
    <w:p>
      <w:pPr>
        <w:ind w:left="160" w:right="179" w:firstLine="646"/>
        <w:spacing w:after="0" w:line="289" w:lineRule="auto"/>
        <w:rPr>
          <w:sz w:val="20"/>
          <w:szCs w:val="20"/>
          <w:color w:val="auto"/>
        </w:rPr>
      </w:pPr>
      <w:r>
        <w:rPr>
          <w:rFonts w:ascii="Arial" w:cs="Arial" w:eastAsia="Arial" w:hAnsi="Arial"/>
          <w:sz w:val="16"/>
          <w:szCs w:val="16"/>
          <w:color w:val="auto"/>
        </w:rPr>
        <w:t>In November 2016, we entered into an amended and restated license agreement with Infinity, under which we acquired an exclusive worldwide license for the research, development, commercialization, and manufacture of products in oncology indications containing duvelisib. In connection with the license agreement, we assumed operational and financial responsibility for certain activities that were part of Infinity’s duvelisib program, including the DUO study for patients with relapsed/refractory CLL, and Infinity assumed financial responsibility for the shutdown of certain other clinical studies up to a maximum of $4.5 million. We are obligated to use diligent efforts to develop and commercialize a product in an oncology indication containing duvelisib. During the term of the license agreement, Infinity has agreed not to research, develop, manufacture or commercialize duvelisib in any other indication in humans or animals.</w:t>
      </w:r>
    </w:p>
    <w:p>
      <w:pPr>
        <w:spacing w:after="0" w:line="166" w:lineRule="exact"/>
        <w:rPr>
          <w:sz w:val="20"/>
          <w:szCs w:val="20"/>
          <w:color w:val="auto"/>
        </w:rPr>
      </w:pPr>
    </w:p>
    <w:p>
      <w:pPr>
        <w:ind w:left="160" w:right="159" w:firstLine="646"/>
        <w:spacing w:after="0" w:line="285" w:lineRule="auto"/>
        <w:rPr>
          <w:sz w:val="20"/>
          <w:szCs w:val="20"/>
          <w:color w:val="auto"/>
        </w:rPr>
      </w:pPr>
      <w:r>
        <w:rPr>
          <w:rFonts w:ascii="Arial" w:cs="Arial" w:eastAsia="Arial" w:hAnsi="Arial"/>
          <w:sz w:val="16"/>
          <w:szCs w:val="16"/>
          <w:color w:val="auto"/>
        </w:rPr>
        <w:t>Pursuant to the terms of the license agreement, we are required to make the following payments to Infinity in cash or, at our election, in whole or in part, in shares of our common stock: (i) $6.0 million upon the completion of the DUO study if the results of the DUO study meet certain pre-specified criteria and (ii) $22.0 million upon the approval of a new drug application in the United States or an application for marketing authorization with a regulatory authority outside of the United States for a product in an oncology indication containing duvelisib. For any portion of any of the foregoing payments that we elect to issue in shares of our common stock in lieu of cash, the number of shares of common stock to be issued will be determined by multiplying (1) 1.025 by (2) the number of shares of common stock equal to (a) the amount of the payment to be paid in shares of common stock divided by (b) the average closing price of a share of common stock as quoted on NASDAQ for a twenty day period following the public announcement of the applicable milestone event. The shares of common stock will be issued as unregistered securities, and we will have an obligation to promptly file a registration statement with the SEC to register such shares for resale. Any issuance of shares will be subject to the satisfaction of closing conditions, including that all material authorizations, consents, approvals and the like necessary for such issuance shall have been obtained.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79" w:firstLine="646"/>
        <w:spacing w:after="0" w:line="268" w:lineRule="auto"/>
        <w:rPr>
          <w:sz w:val="20"/>
          <w:szCs w:val="20"/>
          <w:color w:val="auto"/>
        </w:rPr>
      </w:pPr>
      <w:r>
        <w:rPr>
          <w:rFonts w:ascii="Arial" w:cs="Arial" w:eastAsia="Arial" w:hAnsi="Arial"/>
          <w:sz w:val="17"/>
          <w:szCs w:val="17"/>
          <w:color w:val="auto"/>
        </w:rPr>
        <w:t>We are also obligated to pay Infinity royalties on worldwide net sales of any products in an oncology indication containing duvelisib ranging from the mid-single digits to the high single-digits. The royalties will expire on a product-by-product and country-by-country basis until the latest to occur of (i) the last-to-expire patent right covering the applicable product in the applicable country, (ii) the last-to-expire patent right covering the manufacture of the applicable product in the country of manufacture of such product, (iii) the expiration of non-patent regulatory exclusivity in such country and (iv) ten years following the first commercial sale of a product in a country, provided that if royalties on net sales for a product in the United States are payable solely on the basis of non-patent regulatory exclusivity, the applicable royalty on net sales for such product in the United States will be reduced by 50%. The royalties are also subject to reduction by 50% of certain third-party royalty payments or patent litigation damages or settlements which might be required to be paid by us if litigation were to arise, with any such reductions capped at 50% of the amounts otherwise payable during the applicable royalty payment period.</w:t>
      </w:r>
    </w:p>
    <w:p>
      <w:pPr>
        <w:spacing w:after="0" w:line="183" w:lineRule="exact"/>
        <w:rPr>
          <w:sz w:val="20"/>
          <w:szCs w:val="20"/>
          <w:color w:val="auto"/>
        </w:rPr>
      </w:pPr>
    </w:p>
    <w:p>
      <w:pPr>
        <w:ind w:left="160" w:right="199" w:firstLine="646"/>
        <w:spacing w:after="0" w:line="268" w:lineRule="auto"/>
        <w:rPr>
          <w:sz w:val="20"/>
          <w:szCs w:val="20"/>
          <w:color w:val="auto"/>
        </w:rPr>
      </w:pPr>
      <w:r>
        <w:rPr>
          <w:rFonts w:ascii="Arial" w:cs="Arial" w:eastAsia="Arial" w:hAnsi="Arial"/>
          <w:sz w:val="17"/>
          <w:szCs w:val="17"/>
          <w:color w:val="auto"/>
        </w:rPr>
        <w:t>In addition to the foregoing, we are obligated to pay Infinity an additional royalty of 4% on worldwide net sales of any products in an oncology indication containing duvelisib to cover the reimbursement of research and development costs owed by Infinity to Mundipharma International Corporation Limited (MICL) and Purdue Pharmaceutical Products L.P. (Purdue). Once Infinity has fully reimbursed MICL and Purdue, the royalty obligations will be reduced to 1% of net sales in the United States. These trailing MICL royalties are payable until the later to occur of the last-to-expire of specified patent rights and the expiration of non-patent regulatory exclusivities in a country. Each of the above royalty rates is reduced by 50% on a product-by-product and country-by-country basis if the applicable royalty is payable solely on the basis of non-patent regulatory exclusivity. In addition, the trailing MICL royalties are subject to reduction by 50% of certain third-party royalty payments or patent litigation damages or settlements which might be required to be paid by the us if litigation were to arise, with any such reductions capped at 50% of the amounts otherwise payable during the applicable royalty payment period.</w:t>
      </w:r>
    </w:p>
    <w:p>
      <w:pPr>
        <w:spacing w:after="0" w:line="183" w:lineRule="exact"/>
        <w:rPr>
          <w:sz w:val="20"/>
          <w:szCs w:val="20"/>
          <w:color w:val="auto"/>
        </w:rPr>
      </w:pPr>
    </w:p>
    <w:p>
      <w:pPr>
        <w:ind w:left="160" w:right="139" w:firstLine="646"/>
        <w:spacing w:after="0" w:line="217" w:lineRule="exact"/>
        <w:rPr>
          <w:sz w:val="20"/>
          <w:szCs w:val="20"/>
          <w:color w:val="auto"/>
        </w:rPr>
      </w:pPr>
      <w:r>
        <w:rPr>
          <w:rFonts w:ascii="Arial" w:cs="Arial" w:eastAsia="Arial" w:hAnsi="Arial"/>
          <w:sz w:val="16"/>
          <w:szCs w:val="16"/>
          <w:color w:val="auto"/>
        </w:rPr>
        <w:t>In July 2012, we entered into a license agreement with Pfizer under which Pfizer granted us worldwide, exclusive rights to research, develop, manufacture and commercialize products containing certain of Pfizer’s inhibitors of FAK (the FAK Products), including defactinib (VS</w:t>
      </w:r>
      <w:r>
        <w:rPr>
          <w:rFonts w:ascii="MS PGothic" w:cs="MS PGothic" w:eastAsia="MS PGothic" w:hAnsi="MS PGothic"/>
          <w:sz w:val="16"/>
          <w:szCs w:val="16"/>
          <w:color w:val="auto"/>
        </w:rPr>
        <w:t>‑</w:t>
      </w:r>
      <w:r>
        <w:rPr>
          <w:rFonts w:ascii="Arial" w:cs="Arial" w:eastAsia="Arial" w:hAnsi="Arial"/>
          <w:sz w:val="16"/>
          <w:szCs w:val="16"/>
          <w:color w:val="auto"/>
        </w:rPr>
        <w:t>6063), for all therapeutic, diagnostic and prophylactic uses in humans. We have the right to grant sublicenses under the foregoing licensed rights, subject to certain restrictions. We are solely responsible, at our own expense, for the clinical development of the FAK Products, which is to be conducted in accordance with an agreed</w:t>
      </w:r>
      <w:r>
        <w:rPr>
          <w:rFonts w:ascii="MS PGothic" w:cs="MS PGothic" w:eastAsia="MS PGothic" w:hAnsi="MS PGothic"/>
          <w:sz w:val="16"/>
          <w:szCs w:val="16"/>
          <w:color w:val="auto"/>
        </w:rPr>
        <w:t>‑</w:t>
      </w:r>
      <w:r>
        <w:rPr>
          <w:rFonts w:ascii="Arial" w:cs="Arial" w:eastAsia="Arial" w:hAnsi="Arial"/>
          <w:sz w:val="16"/>
          <w:szCs w:val="16"/>
          <w:color w:val="auto"/>
        </w:rPr>
        <w:t>upon development plan. We are also responsible for all manufacturing and commercialization activities at our own expense. Pfizer was required to provide us with an initial quantity of clinical supply of one of the FAK Products for an agreed upon price. We made a one</w:t>
      </w:r>
      <w:r>
        <w:rPr>
          <w:rFonts w:ascii="MS PGothic" w:cs="MS PGothic" w:eastAsia="MS PGothic" w:hAnsi="MS PGothic"/>
          <w:sz w:val="16"/>
          <w:szCs w:val="16"/>
          <w:color w:val="auto"/>
        </w:rPr>
        <w:t>‑</w:t>
      </w:r>
      <w:r>
        <w:rPr>
          <w:rFonts w:ascii="Arial" w:cs="Arial" w:eastAsia="Arial" w:hAnsi="Arial"/>
          <w:sz w:val="16"/>
          <w:szCs w:val="16"/>
          <w:color w:val="auto"/>
        </w:rPr>
        <w:t>time cash payment to Pfizer in the amount of $1.5 million and issued 192,012 shares of our common stock. Pfizer is also eligible to receive up to $2.0 million in developmental milestones and up to an additional $125.0 million based on the successful attainment of regulatory and commercial sales milestones. Pfizer is also eligible to receive high single to mid double digit royalties on future net sales of the FAK Products. Our royalty obligations with respect to each of the FAK Product in each country begin on the date of first commercial sale of the FAK Product in that country, and end on the later of 10 years after the date of first commercial sale of the FAK Product in that country or the date of expiration or abandonment of the last claim contained in any issued patent or patent application licensed by Pfizer to us that covers the Product in that country.</w:t>
      </w:r>
    </w:p>
    <w:p>
      <w:pPr>
        <w:spacing w:after="0" w:line="203"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Under our license agreement with Poniard that we entered into in November 2011 relating to VS</w:t>
      </w:r>
      <w:r>
        <w:rPr>
          <w:rFonts w:ascii="MS PGothic" w:cs="MS PGothic" w:eastAsia="MS PGothic" w:hAnsi="MS PGothic"/>
          <w:sz w:val="16"/>
          <w:szCs w:val="16"/>
          <w:color w:val="auto"/>
        </w:rPr>
        <w:t>‑</w:t>
      </w:r>
      <w:r>
        <w:rPr>
          <w:rFonts w:ascii="Arial" w:cs="Arial" w:eastAsia="Arial" w:hAnsi="Arial"/>
          <w:sz w:val="16"/>
          <w:szCs w:val="16"/>
          <w:color w:val="auto"/>
        </w:rPr>
        <w:t>4718 and certain other compounds, we paid an upfront license fee and agreed to pay Poniard milestone payments upon the achievement of specified development and regulatory milestones. In February 2014, we purchased the assets which were the subject of our license agreement with Poniard from Encarta, Inc. (Encarta), who had previously purchased those assets in 2013. In consideration for the assets, we issued 97,500 shares of common stock, a warrant to purchase 142,857 shares of common stock with an exercise price equal to $17.16 per share and paid $25,000. All existing obligations under the license agreement, including an achieved development milestone and an obligation to issue a warrant, were settled as part of this transaction. In connection with the asset purchase agreement, we also assumed the rights and obligations under the Scripps License Agreement. Pursuant to the Scripps License Agreement, we are obligated to pay Scripps potential product development milestone payments of up to an aggregate of $3.0 million upon the achievement of specified development and regulatory milestones. In addition, we are obligated to pay Scripps low single</w:t>
      </w:r>
      <w:r>
        <w:rPr>
          <w:rFonts w:ascii="MS PGothic" w:cs="MS PGothic" w:eastAsia="MS PGothic" w:hAnsi="MS PGothic"/>
          <w:sz w:val="16"/>
          <w:szCs w:val="16"/>
          <w:color w:val="auto"/>
        </w:rPr>
        <w:t>‑</w:t>
      </w:r>
      <w:r>
        <w:rPr>
          <w:rFonts w:ascii="Arial" w:cs="Arial" w:eastAsia="Arial" w:hAnsi="Arial"/>
          <w:sz w:val="16"/>
          <w:szCs w:val="16"/>
          <w:color w:val="auto"/>
        </w:rPr>
        <w:t>digit royalties as a percentage of net sales of licensed products, subject to adjustments in certain circumstances. Our obligation to pay royalties on net sales is on a country-by-country basis.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8" w:lineRule="exact"/>
        <w:rPr>
          <w:sz w:val="20"/>
          <w:szCs w:val="20"/>
          <w:color w:val="auto"/>
        </w:rPr>
      </w:pPr>
    </w:p>
    <w:p>
      <w:pPr>
        <w:ind w:left="160" w:right="1179" w:firstLine="646"/>
        <w:spacing w:after="0" w:line="22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Securities and Exchange Commission rules.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TAX LOSS CARRYFORWARDS</w:t>
      </w:r>
    </w:p>
    <w:p>
      <w:pPr>
        <w:spacing w:after="0" w:line="228"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As of December 31, 2016, we had federal and state net operating loss carryforwards of $184.2 million and $182.8 million, respectively, which are available to reduce future taxable income. We also had federal and state tax credits of $7.4 million and $1.4 million, respectively, which may be used to offset future tax liabilities. The net operating loss and tax credit carryforwards will expire at various dates through 2035. Net operating loss and tax credit carryforwards are subject to review and possible adjustment by the Internal Revenue Service and state tax authorities and may become subject to an annual limitation in the event of certain cumulative changes in the ownership interest of significant stockholders over a three</w:t>
      </w:r>
      <w:r>
        <w:rPr>
          <w:rFonts w:ascii="MS PGothic" w:cs="MS PGothic" w:eastAsia="MS PGothic" w:hAnsi="MS PGothic"/>
          <w:sz w:val="16"/>
          <w:szCs w:val="16"/>
          <w:color w:val="auto"/>
        </w:rPr>
        <w:t>‑</w:t>
      </w:r>
      <w:r>
        <w:rPr>
          <w:rFonts w:ascii="Arial" w:cs="Arial" w:eastAsia="Arial" w:hAnsi="Arial"/>
          <w:sz w:val="16"/>
          <w:szCs w:val="16"/>
          <w:color w:val="auto"/>
        </w:rPr>
        <w:t>year period in excess of 50%, as defined under Sections 382 and 383 of the Internal Revenue Code, as well as similar state provisions. This could limit the amount of tax attributes that can be utilized annually to offset future taxable income or tax liabilities. The amount of the annual limitation is determined based on the value of our company immediately prior to the ownership change. Subsequent ownership changes may further affect the limitation in future years. At December 31, 2016, we recorded a 100% valuation allowance against our net operating loss and tax credit carryforwards of $85.9 million, as we believe it is more likely than not that the tax benefits will not be fully realized. In the future, if we determine that a portion or all of the tax benefits associated with our tax carryforwards will be realized, net income would increase in the period of determination.</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5" w:lineRule="exact"/>
        <w:rPr>
          <w:sz w:val="20"/>
          <w:szCs w:val="20"/>
          <w:color w:val="auto"/>
        </w:rPr>
      </w:pPr>
    </w:p>
    <w:p>
      <w:pPr>
        <w:ind w:left="160" w:right="199" w:firstLine="710"/>
        <w:spacing w:after="0" w:line="292" w:lineRule="auto"/>
        <w:rPr>
          <w:sz w:val="20"/>
          <w:szCs w:val="20"/>
          <w:color w:val="auto"/>
        </w:rPr>
      </w:pPr>
      <w:r>
        <w:rPr>
          <w:rFonts w:ascii="Arial" w:cs="Arial" w:eastAsia="Arial" w:hAnsi="Arial"/>
          <w:sz w:val="16"/>
          <w:szCs w:val="16"/>
          <w:color w:val="auto"/>
        </w:rPr>
        <w:t xml:space="preserve">In January 2017, the Financial Accounting Standards Board (FASB) issued Accounting Standard Update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clarifies the definition of a business, provides a screen to determine when a set of assets is not a business and narrows the definition of the term output. ASU 2017-01 is effective for the interim and annual periods after December 15, 2016. Early adoption is permitted. We have elected to early adopt ASU 2017-01 and to apply it to any transactions which occurred prior to the issuance date that have not been reported in financial statements that have been issued or made available for issuance.</w:t>
      </w:r>
    </w:p>
    <w:p>
      <w:pPr>
        <w:spacing w:after="0" w:line="272" w:lineRule="exact"/>
        <w:rPr>
          <w:sz w:val="20"/>
          <w:szCs w:val="20"/>
          <w:color w:val="auto"/>
        </w:rPr>
      </w:pPr>
    </w:p>
    <w:p>
      <w:pPr>
        <w:ind w:left="160" w:right="279" w:firstLine="710"/>
        <w:spacing w:after="0" w:line="26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of Uncertainties about an Entity's Ability to Continue as a Going Concern </w:t>
      </w:r>
      <w:r>
        <w:rPr>
          <w:rFonts w:ascii="Arial" w:cs="Arial" w:eastAsia="Arial" w:hAnsi="Arial"/>
          <w:sz w:val="17"/>
          <w:szCs w:val="17"/>
          <w:color w:val="auto"/>
        </w:rPr>
        <w:t>(Subtopic 205-40). ASU 2014-15</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management to assess an entity’s ability to continue as a going concern every reporting period, and provide certain disclosures if management has substantial doubt about the entity’s ability to operate as a going concern, or an express statement if not, by incorporating and expanding upon certain principles that are currently in U.S. auditing standards. ASU 2014-15 is effective for the interim and annual periods after December 15, 2016. Early adoption is permitted. The Company adopted ASU 2014-15 effective October 1, 2016. We have evaluated the impact of the adoption of ASU 2014-15 on our year ended December 31, 2016 consolidated financial statements and determined that there is not substantial doubt about our ability to continue as a going concern for at least one year from the issuance of the December 31, 2016 consolidated financial statements.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0" w:lineRule="exact"/>
        <w:rPr>
          <w:sz w:val="20"/>
          <w:szCs w:val="20"/>
          <w:color w:val="auto"/>
        </w:rPr>
      </w:pPr>
    </w:p>
    <w:p>
      <w:pPr>
        <w:ind w:left="160" w:right="219" w:firstLine="646"/>
        <w:spacing w:after="0" w:line="217" w:lineRule="exact"/>
        <w:rPr>
          <w:sz w:val="20"/>
          <w:szCs w:val="20"/>
          <w:color w:val="auto"/>
        </w:rPr>
      </w:pPr>
      <w:r>
        <w:rPr>
          <w:rFonts w:ascii="Arial" w:cs="Arial" w:eastAsia="Arial" w:hAnsi="Arial"/>
          <w:sz w:val="17"/>
          <w:szCs w:val="17"/>
          <w:color w:val="auto"/>
        </w:rPr>
        <w:t>We are exposed to market risk related to changes in interest rates. We had cash, cash equivalents and investments of $80.9 million and $110.3 million as of December 31, 2016 and 2015, respectively, consisting of cash, U.S. Government money market funds, overnight repurchase agreements collateralized by government agency securities or U.S. Treasury securities, corporate bonds and commercial paper of publicly traded companies. Our primary exposure to market risk is interest rate sensitivity, which is affected by changes in the general level of U.S. interest rates, particularly because most of our investments are interest bearing. Our available for sale securities are subject to interest rate risk and will fall in value if market interest rates increase. Due to the short</w:t>
      </w:r>
      <w:r>
        <w:rPr>
          <w:rFonts w:ascii="MS PGothic" w:cs="MS PGothic" w:eastAsia="MS PGothic" w:hAnsi="MS PGothic"/>
          <w:sz w:val="17"/>
          <w:szCs w:val="17"/>
          <w:color w:val="auto"/>
        </w:rPr>
        <w:t>‑</w:t>
      </w:r>
      <w:r>
        <w:rPr>
          <w:rFonts w:ascii="Arial" w:cs="Arial" w:eastAsia="Arial" w:hAnsi="Arial"/>
          <w:sz w:val="17"/>
          <w:szCs w:val="17"/>
          <w:color w:val="auto"/>
        </w:rPr>
        <w:t>term duration most of our investment portfolio and the low risk profile of our investments, an immediate 100 basis point change in interest rates would not have a material effect on the fair market value of our portfolio.</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19" w:firstLine="646"/>
        <w:spacing w:after="0" w:line="256" w:lineRule="auto"/>
        <w:rPr>
          <w:sz w:val="20"/>
          <w:szCs w:val="20"/>
          <w:color w:val="auto"/>
        </w:rPr>
      </w:pPr>
      <w:r>
        <w:rPr>
          <w:rFonts w:ascii="Arial" w:cs="Arial" w:eastAsia="Arial" w:hAnsi="Arial"/>
          <w:sz w:val="18"/>
          <w:szCs w:val="18"/>
          <w:color w:val="auto"/>
        </w:rPr>
        <w:t>We contract with CROs and contract manufacturers globally which may be denominated in foreign currencies. We may be subject to fluctuations in foreign currency rates in connection with these agreements. Transactions denominated in currencies other than the functional currency are recorded based on exchange rates at the time such transactions arise. As of December 31, 2016, an immaterial amount of our total liabilities was denominated in currencies other than the functional currency.</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87" w:lineRule="exact"/>
        <w:rPr>
          <w:sz w:val="20"/>
          <w:szCs w:val="20"/>
          <w:color w:val="auto"/>
        </w:rPr>
      </w:pPr>
    </w:p>
    <w:p>
      <w:pPr>
        <w:ind w:left="160" w:right="259" w:firstLine="646"/>
        <w:spacing w:after="0" w:line="223" w:lineRule="exact"/>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on pages F</w:t>
      </w:r>
      <w:r>
        <w:rPr>
          <w:rFonts w:ascii="MS PGothic" w:cs="MS PGothic" w:eastAsia="MS PGothic" w:hAnsi="MS PGothic"/>
          <w:sz w:val="18"/>
          <w:szCs w:val="18"/>
          <w:color w:val="auto"/>
        </w:rPr>
        <w:t>‑</w:t>
      </w:r>
      <w:r>
        <w:rPr>
          <w:rFonts w:ascii="Arial" w:cs="Arial" w:eastAsia="Arial" w:hAnsi="Arial"/>
          <w:sz w:val="18"/>
          <w:szCs w:val="18"/>
          <w:color w:val="auto"/>
        </w:rPr>
        <w:t>1 through F</w:t>
      </w:r>
      <w:r>
        <w:rPr>
          <w:rFonts w:ascii="MS PGothic" w:cs="MS PGothic" w:eastAsia="MS PGothic" w:hAnsi="MS PGothic"/>
          <w:sz w:val="18"/>
          <w:szCs w:val="18"/>
          <w:color w:val="auto"/>
        </w:rPr>
        <w:t>‑</w:t>
      </w:r>
      <w:r>
        <w:rPr>
          <w:rFonts w:ascii="Arial" w:cs="Arial" w:eastAsia="Arial" w:hAnsi="Arial"/>
          <w:sz w:val="18"/>
          <w:szCs w:val="18"/>
          <w:color w:val="auto"/>
        </w:rPr>
        <w:t>25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9A. Controls and Procedures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7" w:lineRule="exact"/>
        <w:rPr>
          <w:sz w:val="20"/>
          <w:szCs w:val="20"/>
          <w:color w:val="auto"/>
        </w:rPr>
      </w:pPr>
    </w:p>
    <w:p>
      <w:pPr>
        <w:ind w:left="160" w:right="139" w:firstLine="646"/>
        <w:spacing w:after="0" w:line="219" w:lineRule="exact"/>
        <w:rPr>
          <w:sz w:val="20"/>
          <w:szCs w:val="20"/>
          <w:color w:val="auto"/>
        </w:rPr>
      </w:pPr>
      <w:r>
        <w:rPr>
          <w:rFonts w:ascii="Arial" w:cs="Arial" w:eastAsia="Arial" w:hAnsi="Arial"/>
          <w:sz w:val="18"/>
          <w:szCs w:val="18"/>
          <w:color w:val="auto"/>
        </w:rPr>
        <w:t>Our Chief Executive Officer and our principal financial and accounting officer evaluated the effectiveness of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Exchange Act, as of the end of the period covered by this report. Based on that evaluation, our Chief Executive Officer and our principal financial and accounting officer concluded that our disclosure controls and procedures as of the end of the period covered by this report were effective.</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1" w:lineRule="exact"/>
        <w:rPr>
          <w:sz w:val="20"/>
          <w:szCs w:val="20"/>
          <w:color w:val="auto"/>
        </w:rPr>
      </w:pPr>
    </w:p>
    <w:p>
      <w:pPr>
        <w:ind w:left="160" w:right="159" w:firstLine="646"/>
        <w:spacing w:after="0" w:line="218" w:lineRule="exact"/>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Internal control over financial reporting is defined in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under the Exchange Act as the process designed by, or under the supervision of, our Chief Executive Officer and our principal financial and accounting officer, and effected by our board of directors, management and other personnel, to provide reasonable assurance regarding the reliability of our financial reporting and the preparation of our financial statements for external purposes in accordance with GAAP, and includes those policies and procedures that:</w:t>
      </w:r>
    </w:p>
    <w:p>
      <w:pPr>
        <w:spacing w:after="0" w:line="162" w:lineRule="exact"/>
        <w:rPr>
          <w:sz w:val="20"/>
          <w:szCs w:val="20"/>
          <w:color w:val="auto"/>
        </w:rPr>
      </w:pPr>
    </w:p>
    <w:p>
      <w:pPr>
        <w:ind w:left="1340" w:right="899" w:hanging="214"/>
        <w:spacing w:after="0" w:line="276" w:lineRule="auto"/>
        <w:rPr>
          <w:sz w:val="20"/>
          <w:szCs w:val="20"/>
          <w:color w:val="auto"/>
        </w:rPr>
      </w:pPr>
      <w:r>
        <w:rPr>
          <w:rFonts w:ascii="Arial" w:cs="Arial" w:eastAsia="Arial" w:hAnsi="Arial"/>
          <w:sz w:val="18"/>
          <w:szCs w:val="18"/>
          <w:color w:val="auto"/>
        </w:rPr>
        <w:t>(1)pertain to the maintenance of records that, in reasonable detail, accurately and fairly reflect the transactions and dispositions of assets;</w:t>
      </w:r>
    </w:p>
    <w:p>
      <w:pPr>
        <w:spacing w:after="0" w:line="130" w:lineRule="exact"/>
        <w:rPr>
          <w:sz w:val="20"/>
          <w:szCs w:val="20"/>
          <w:color w:val="auto"/>
        </w:rPr>
      </w:pPr>
    </w:p>
    <w:p>
      <w:pPr>
        <w:ind w:left="1340" w:right="299" w:hanging="214"/>
        <w:spacing w:after="0" w:line="285" w:lineRule="auto"/>
        <w:rPr>
          <w:sz w:val="20"/>
          <w:szCs w:val="20"/>
          <w:color w:val="auto"/>
        </w:rPr>
      </w:pPr>
      <w:r>
        <w:rPr>
          <w:rFonts w:ascii="Arial" w:cs="Arial" w:eastAsia="Arial" w:hAnsi="Arial"/>
          <w:sz w:val="17"/>
          <w:szCs w:val="17"/>
          <w:color w:val="auto"/>
        </w:rPr>
        <w:t>(2)provide reasonable assurance that transactions are recorded as necessary to permit preparation of financial statements in accordance with GAAP, and that receipts and expenditures are being made only in accordance with the authorizations of management and directors; and</w:t>
      </w:r>
    </w:p>
    <w:p>
      <w:pPr>
        <w:spacing w:after="0" w:line="125" w:lineRule="exact"/>
        <w:rPr>
          <w:sz w:val="20"/>
          <w:szCs w:val="20"/>
          <w:color w:val="auto"/>
        </w:rPr>
      </w:pPr>
    </w:p>
    <w:p>
      <w:pPr>
        <w:ind w:left="1340" w:right="319" w:hanging="214"/>
        <w:spacing w:after="0" w:line="340" w:lineRule="auto"/>
        <w:rPr>
          <w:sz w:val="20"/>
          <w:szCs w:val="20"/>
          <w:color w:val="auto"/>
        </w:rPr>
      </w:pPr>
      <w:r>
        <w:rPr>
          <w:rFonts w:ascii="Arial" w:cs="Arial" w:eastAsia="Arial" w:hAnsi="Arial"/>
          <w:sz w:val="16"/>
          <w:szCs w:val="16"/>
          <w:color w:val="auto"/>
        </w:rPr>
        <w:t>(3)provide reasonable assurance regarding the prevention or timely detection of unauthorized acquisition, use or disposition of assets that could have a material effect on our financial statements.</w:t>
      </w:r>
    </w:p>
    <w:p>
      <w:pPr>
        <w:spacing w:after="0" w:line="84" w:lineRule="exact"/>
        <w:rPr>
          <w:sz w:val="20"/>
          <w:szCs w:val="20"/>
          <w:color w:val="auto"/>
        </w:rPr>
      </w:pPr>
    </w:p>
    <w:p>
      <w:pPr>
        <w:ind w:left="160" w:right="199" w:firstLine="646"/>
        <w:spacing w:after="0" w:line="295"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our principal financial and accounting officer, we conducted an evaluation of the effectiveness of our internal control over financial reporting based on the framework provided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(2013 Framework). Based on this evaluation, our management concluded that our internal control over financial reporting was effective as of December 31, 2016.</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7" w:lineRule="exact"/>
        <w:rPr>
          <w:sz w:val="20"/>
          <w:szCs w:val="20"/>
          <w:color w:val="auto"/>
        </w:rPr>
      </w:pPr>
    </w:p>
    <w:p>
      <w:pPr>
        <w:ind w:left="160" w:right="139" w:firstLine="646"/>
        <w:spacing w:after="0" w:line="262" w:lineRule="auto"/>
        <w:rPr>
          <w:sz w:val="20"/>
          <w:szCs w:val="20"/>
          <w:color w:val="auto"/>
        </w:rPr>
      </w:pPr>
      <w:r>
        <w:rPr>
          <w:rFonts w:ascii="Arial" w:cs="Arial" w:eastAsia="Arial" w:hAnsi="Arial"/>
          <w:sz w:val="18"/>
          <w:szCs w:val="18"/>
          <w:color w:val="auto"/>
        </w:rPr>
        <w:t>There has been no change in our internal control over financial reporting occurred during the fiscal quarter ended December 31, 2016 that has materially affected, or is reasonably likely to materially affect, the Company’s internal control over financial reporting.</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9B. Other Information</w:t>
      </w:r>
    </w:p>
    <w:p>
      <w:pPr>
        <w:spacing w:after="0" w:line="228" w:lineRule="exact"/>
        <w:rPr>
          <w:sz w:val="20"/>
          <w:szCs w:val="20"/>
          <w:color w:val="auto"/>
        </w:rPr>
      </w:pPr>
    </w:p>
    <w:p>
      <w:pPr>
        <w:ind w:left="160" w:right="219" w:firstLine="646"/>
        <w:spacing w:after="0" w:line="268" w:lineRule="auto"/>
        <w:rPr>
          <w:sz w:val="20"/>
          <w:szCs w:val="20"/>
          <w:color w:val="auto"/>
        </w:rPr>
      </w:pPr>
      <w:r>
        <w:rPr>
          <w:rFonts w:ascii="Arial" w:cs="Arial" w:eastAsia="Arial" w:hAnsi="Arial"/>
          <w:sz w:val="17"/>
          <w:szCs w:val="17"/>
          <w:color w:val="auto"/>
        </w:rPr>
        <w:t>On March 21, 2017 (Closing Date), Verastem, Inc. (Borrower) entered into a term loan facility of up to $25.0 million (Term Loan) with Hercules Capital, Inc., a Maryland corporation (Hercules), the proceeds of which will be used for its ongoing research and development programs and for general corporate purposes. The Term Loan is governed by a loan and security agreement, dated March 21, 2017 (Loan Agreement), which provides for up to four separate advances. The first tranche of $2.5 million was drawn on the Closing Date. The second tranche of $2.5 million and the third tranche of $5.0 million may be drawn, at the Borrower’s option but subject to the Borrower receiving favorable data from its ongoing Phase III clinical study evaluating the safety and efficacy of duvelisib in patients with relapsed/refractory chronic leukemia or small lymphocytic lymphoma on or prior to September 20, 2017 (Milestone Event), during the period beginning on the Closing Date and ending on the earliest to occur of the date that is 90 days after the Milestone Event and December 20, 2017. The fourth tranche of $15.0 million may be drawn, at the Borrower’s option and at the sole discretion of Hercules, on or prior to June 30, 2018.</w:t>
      </w:r>
    </w:p>
    <w:p>
      <w:pPr>
        <w:spacing w:after="0" w:line="183" w:lineRule="exact"/>
        <w:rPr>
          <w:sz w:val="20"/>
          <w:szCs w:val="20"/>
          <w:color w:val="auto"/>
        </w:rPr>
      </w:pPr>
    </w:p>
    <w:p>
      <w:pPr>
        <w:ind w:left="160" w:right="219" w:firstLine="646"/>
        <w:spacing w:after="0" w:line="290" w:lineRule="auto"/>
        <w:rPr>
          <w:sz w:val="20"/>
          <w:szCs w:val="20"/>
          <w:color w:val="auto"/>
        </w:rPr>
      </w:pPr>
      <w:r>
        <w:rPr>
          <w:rFonts w:ascii="Arial" w:cs="Arial" w:eastAsia="Arial" w:hAnsi="Arial"/>
          <w:sz w:val="16"/>
          <w:szCs w:val="16"/>
          <w:color w:val="auto"/>
        </w:rPr>
        <w:t>The Term Loan will mature on December 1, 2020 (the Loan Maturity Date). Each advance accrues interest at a floating per annum rate equal to the greater of either (a) 10.5% or (b) the lesser of (i) 12.75% and (ii) the sum of (x)</w:t>
      </w:r>
    </w:p>
    <w:p>
      <w:pPr>
        <w:spacing w:after="0" w:line="1" w:lineRule="exact"/>
        <w:rPr>
          <w:sz w:val="20"/>
          <w:szCs w:val="20"/>
          <w:color w:val="auto"/>
        </w:rPr>
      </w:pPr>
    </w:p>
    <w:p>
      <w:pPr>
        <w:ind w:left="160" w:right="199"/>
        <w:spacing w:after="0" w:line="266" w:lineRule="auto"/>
        <w:rPr>
          <w:sz w:val="20"/>
          <w:szCs w:val="20"/>
          <w:color w:val="auto"/>
        </w:rPr>
      </w:pPr>
      <w:r>
        <w:rPr>
          <w:rFonts w:ascii="Arial" w:cs="Arial" w:eastAsia="Arial" w:hAnsi="Arial"/>
          <w:sz w:val="17"/>
          <w:szCs w:val="17"/>
          <w:color w:val="auto"/>
        </w:rPr>
        <w:t>10.5% plus (y) (A) the prime rate minus (B) 4.5%. The Term Loan provides for interest-only payments until November 1, 2018. The interest-only period may be extended to May 1, 2019 if the Borrower obtains minimum cash proceeds of $20.0 million from a sale of equity securities or subordinated debt and/or ongoing commercial partnerships. Thereafter, amortization payments will be payable monthly in twenty-six installments (or, if the period requiring interest-only payments has been extended to May 1, 2019, in twenty installments) of principal and interest (subject to recalculation upon a change in prime rates). Any advance may be prepaid in whole or in part upon seven business days’ prior written notice to Hercules, subject to a prepayment charge of 3.0%, if such advance is prepaid in any of the first twelve (12) months following the Closing Date, 2.0%, if such advance is prepaid after twelve (12) months following the Closing Date but on or prior to twenty-four (24) months following the Closing Date, and 1.0% thereafter. In addition, a final payment equal to 4.5% of the greater of (a) $5.0 million and (b) the total principal amount of the Term Loan extended by Hercules which is due on the Loan Maturity Date, or such earlier date specified in the Loan Agreement. Amounts outstanding during an event of default shall be payable on demand and shall accrue interest at an additional rate of 5.0% per annum of the past due amount outstanding.</w:t>
      </w:r>
    </w:p>
    <w:p>
      <w:pPr>
        <w:spacing w:after="0" w:line="184" w:lineRule="exact"/>
        <w:rPr>
          <w:sz w:val="20"/>
          <w:szCs w:val="20"/>
          <w:color w:val="auto"/>
        </w:rPr>
      </w:pPr>
    </w:p>
    <w:p>
      <w:pPr>
        <w:ind w:left="160" w:right="539" w:firstLine="646"/>
        <w:spacing w:after="0" w:line="278" w:lineRule="auto"/>
        <w:rPr>
          <w:sz w:val="20"/>
          <w:szCs w:val="20"/>
          <w:color w:val="auto"/>
        </w:rPr>
      </w:pPr>
      <w:r>
        <w:rPr>
          <w:rFonts w:ascii="Arial" w:cs="Arial" w:eastAsia="Arial" w:hAnsi="Arial"/>
          <w:sz w:val="17"/>
          <w:szCs w:val="17"/>
          <w:color w:val="auto"/>
        </w:rPr>
        <w:t>The Term Loan is secured by a lien on substantially all of the assets of the Borrower,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w:t>
      </w:r>
    </w:p>
    <w:p>
      <w:pPr>
        <w:spacing w:after="0" w:line="171" w:lineRule="exact"/>
        <w:rPr>
          <w:sz w:val="20"/>
          <w:szCs w:val="20"/>
          <w:color w:val="auto"/>
        </w:rPr>
      </w:pPr>
    </w:p>
    <w:p>
      <w:pPr>
        <w:ind w:left="160" w:right="239" w:firstLine="646"/>
        <w:spacing w:after="0" w:line="270" w:lineRule="auto"/>
        <w:rPr>
          <w:sz w:val="20"/>
          <w:szCs w:val="20"/>
          <w:color w:val="auto"/>
        </w:rPr>
      </w:pPr>
      <w:r>
        <w:rPr>
          <w:rFonts w:ascii="Arial" w:cs="Arial" w:eastAsia="Arial" w:hAnsi="Arial"/>
          <w:sz w:val="17"/>
          <w:szCs w:val="17"/>
          <w:color w:val="auto"/>
        </w:rPr>
        <w:t>The events of default under the Loan Agreement include, without limitation, and subject to customary grace periods, (1) the Borrower’s failure to make any payments of principal or interest under the Loan Agreement, promissory notes or other loan documents, (2) the Borrower’s breach or default in the performance of any covenant under the Loan Agreement, (3) the Borrower making a false or misleading representation or warranty in any material respect, (4) the Borrower’s insolvency or bankruptcy, (5) certain attachments or judgments on the Borrower’s assets, (6) the occurrence of any material default under certain agreements or obligations of the Borrower involving indebtedness, or (7) the occurrence of a material adverse effect. If an event of default occurs, Hercules is entitled to take enforcement action, including acceleration of amounts due under the Loan Agreement.</w:t>
      </w:r>
    </w:p>
    <w:p>
      <w:pPr>
        <w:spacing w:after="0" w:line="179" w:lineRule="exact"/>
        <w:rPr>
          <w:sz w:val="20"/>
          <w:szCs w:val="20"/>
          <w:color w:val="auto"/>
        </w:rPr>
      </w:pPr>
    </w:p>
    <w:p>
      <w:pPr>
        <w:ind w:left="160" w:right="1059" w:firstLine="646"/>
        <w:spacing w:after="0" w:line="340" w:lineRule="auto"/>
        <w:rPr>
          <w:sz w:val="20"/>
          <w:szCs w:val="20"/>
          <w:color w:val="auto"/>
        </w:rPr>
      </w:pPr>
      <w:r>
        <w:rPr>
          <w:rFonts w:ascii="Arial" w:cs="Arial" w:eastAsia="Arial" w:hAnsi="Arial"/>
          <w:sz w:val="16"/>
          <w:szCs w:val="16"/>
          <w:color w:val="auto"/>
        </w:rPr>
        <w:t>The Loan Agreement also contains other customary provisions, such as expense reimbursement and confidentiality. Hercules has indemnification rights and the right to assign the Term Loan.</w:t>
      </w:r>
    </w:p>
    <w:p>
      <w:pPr>
        <w:spacing w:after="0" w:line="125" w:lineRule="exact"/>
        <w:rPr>
          <w:sz w:val="20"/>
          <w:szCs w:val="20"/>
          <w:color w:val="auto"/>
        </w:rPr>
      </w:pPr>
    </w:p>
    <w:p>
      <w:pPr>
        <w:ind w:left="160" w:right="319"/>
        <w:spacing w:after="0" w:line="262" w:lineRule="auto"/>
        <w:rPr>
          <w:sz w:val="20"/>
          <w:szCs w:val="20"/>
          <w:color w:val="auto"/>
        </w:rPr>
      </w:pPr>
      <w:r>
        <w:rPr>
          <w:rFonts w:ascii="Arial" w:cs="Arial" w:eastAsia="Arial" w:hAnsi="Arial"/>
          <w:sz w:val="18"/>
          <w:szCs w:val="18"/>
          <w:color w:val="auto"/>
        </w:rPr>
        <w:t>The foregoing description of the Term Loan does not purport to be complete and is qualified in its entirety by reference to the Loan Agreement, a copy of which is filed as Exhibit 10.26 to this Annual Report on Form 10-K and is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DIRECTORS AND EXECUTIVE OFFICERS</w:t>
      </w:r>
    </w:p>
    <w:p>
      <w:pPr>
        <w:spacing w:after="0" w:line="228" w:lineRule="exact"/>
        <w:rPr>
          <w:sz w:val="20"/>
          <w:szCs w:val="20"/>
          <w:color w:val="auto"/>
        </w:rPr>
      </w:pPr>
    </w:p>
    <w:p>
      <w:pPr>
        <w:ind w:left="160" w:right="399" w:firstLine="646"/>
        <w:spacing w:after="0" w:line="276" w:lineRule="auto"/>
        <w:rPr>
          <w:sz w:val="20"/>
          <w:szCs w:val="20"/>
          <w:color w:val="auto"/>
        </w:rPr>
      </w:pPr>
      <w:r>
        <w:rPr>
          <w:rFonts w:ascii="Arial" w:cs="Arial" w:eastAsia="Arial" w:hAnsi="Arial"/>
          <w:sz w:val="18"/>
          <w:szCs w:val="18"/>
          <w:color w:val="auto"/>
        </w:rPr>
        <w:t>The following table sets forth the name, age and position of each of our directors and executive officers as of March 15, 2017.</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4"/>
                <w:szCs w:val="14"/>
                <w:color w:val="auto"/>
              </w:rPr>
            </w:pPr>
          </w:p>
        </w:tc>
        <w:tc>
          <w:tcPr>
            <w:tcW w:w="4360" w:type="dxa"/>
            <w:vAlign w:val="bottom"/>
          </w:tcPr>
          <w:p>
            <w:pPr>
              <w:ind w:left="192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Forrester</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Michael Kauffman, M.D., Ph.D.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Lead Director</w:t>
            </w:r>
          </w:p>
        </w:tc>
      </w:tr>
      <w:tr>
        <w:trPr>
          <w:trHeight w:val="21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Barberich</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Paul A. Friedman, M.D.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1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Alison Lawton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S. Louise Phanstiel</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1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Wendel</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Daniel Paterson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Chief Operating Officer</w:t>
            </w:r>
          </w:p>
        </w:tc>
      </w:tr>
    </w:tbl>
    <w:p>
      <w:pPr>
        <w:spacing w:after="0" w:line="186" w:lineRule="exact"/>
        <w:rPr>
          <w:sz w:val="20"/>
          <w:szCs w:val="20"/>
          <w:color w:val="auto"/>
        </w:rPr>
      </w:pPr>
    </w:p>
    <w:p>
      <w:pPr>
        <w:ind w:left="160" w:right="139" w:firstLine="646"/>
        <w:spacing w:after="0" w:line="267" w:lineRule="auto"/>
        <w:rPr>
          <w:sz w:val="20"/>
          <w:szCs w:val="20"/>
          <w:color w:val="auto"/>
        </w:rPr>
      </w:pPr>
      <w:r>
        <w:rPr>
          <w:rFonts w:ascii="Arial" w:cs="Arial" w:eastAsia="Arial" w:hAnsi="Arial"/>
          <w:sz w:val="17"/>
          <w:szCs w:val="17"/>
          <w:b w:val="1"/>
          <w:bCs w:val="1"/>
          <w:i w:val="1"/>
          <w:iCs w:val="1"/>
          <w:color w:val="auto"/>
        </w:rPr>
        <w:t>Robert Forrester</w:t>
      </w:r>
      <w:r>
        <w:rPr>
          <w:rFonts w:ascii="Arial" w:cs="Arial" w:eastAsia="Arial" w:hAnsi="Arial"/>
          <w:sz w:val="17"/>
          <w:szCs w:val="17"/>
          <w:color w:val="auto"/>
        </w:rPr>
        <w:t>, age 53, is a Class III director who has served as a member of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2013. Mr. Forrester has served as our Chief Executive Officer since July 2013, as our Chief Operating Officer from March 2011 until July 2013 and as our President since January 2013. Mr. Forrester has previously held executive level positions at both private and public life sciences companies. Prior to joining us, Mr. Forrester served as Chief Operating Officer of Forma Therapeutics, Inc. from 2010 until 2011. Previously, he served as Interim President and Chief Executive Officer of CombinatoRx, Inc. from 2009 until 2010 and as its Executive Vice President and Chief Financial Officer from 2004 to 2009. Mr. Forrester served as Senior Vice President, Finance and Corporate Development at Coley Pharmaceuticals Group, Inc. from 2000 to 2003. Prior to his operating roles, Mr. Forrester was a managing director of the Proprietary Investment Group at MeesPierson, part of the Fortis Group, investing in life science companies. Prior to MeesPierson, Mr. Forrester worked for the investment banks, BZW (now Barclays Capital) and UBS, in the corporate finance groups undertaking mergers and acquisitions and public and private financing transactions. Mr. Forrester started his career as a lawyer with Clifford Chance in London and Singapore. He earned his LL.B. from Bristol University in England. The Board of Directors believes that Mr. Forrester’s qualifications to sit on the Board include his previous experience serving in leadership positions within the biopharmaceutical industry and his position as our President and Chief Executive Officer.</w:t>
      </w:r>
    </w:p>
    <w:p>
      <w:pPr>
        <w:spacing w:after="0" w:line="183" w:lineRule="exact"/>
        <w:rPr>
          <w:sz w:val="20"/>
          <w:szCs w:val="20"/>
          <w:color w:val="auto"/>
        </w:rPr>
      </w:pPr>
    </w:p>
    <w:p>
      <w:pPr>
        <w:ind w:left="160" w:right="159" w:firstLine="646"/>
        <w:spacing w:after="0" w:line="266" w:lineRule="auto"/>
        <w:rPr>
          <w:sz w:val="20"/>
          <w:szCs w:val="20"/>
          <w:color w:val="auto"/>
        </w:rPr>
      </w:pPr>
      <w:r>
        <w:rPr>
          <w:rFonts w:ascii="Arial" w:cs="Arial" w:eastAsia="Arial" w:hAnsi="Arial"/>
          <w:sz w:val="17"/>
          <w:szCs w:val="17"/>
          <w:b w:val="1"/>
          <w:bCs w:val="1"/>
          <w:i w:val="1"/>
          <w:iCs w:val="1"/>
          <w:color w:val="auto"/>
        </w:rPr>
        <w:t>Michael Kauffman M.D</w:t>
      </w:r>
      <w:r>
        <w:rPr>
          <w:rFonts w:ascii="Arial" w:cs="Arial" w:eastAsia="Arial" w:hAnsi="Arial"/>
          <w:sz w:val="17"/>
          <w:szCs w:val="17"/>
          <w:color w:val="auto"/>
        </w:rPr>
        <w:t>., age 53, is a Class I director who has served as a member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November 2012. Dr. Kauffman has been the President and Chief Executive Officer of Karyopharm Therapeutics Inc., a publicly traded biotechnology company, since January 2011 and was a Science Advisor to Bessemer Venture Partners from 2008 to 2011. Dr. Kauffman was the Chief Medical Officer of Onyx Pharmaceuticals, Inc., a publicly traded biotechnology company, from November 2009 until December 2010. Dr. Kauffman was the Chief Medical Officer of Proteolix, Inc., a privately held pharmaceutical company, from April 2009 until November 2009, when it was acquired by Onyx. From September 2002 until July 2008, Dr. Kauffman was the President and Chief Executive Officer of EPIX Pharmaceuticals, Inc., a publicly traded biotechnology company that underwent liquidation proceedings in 2009. Dr. Kauffman joined Predix Pharmaceuticals, Inc., the predecessor to EPIX, in September 2002, as President and Chief Executive Officer. From 1997 to 2002, he held a number of senior medical and program leadership positions at Millennium Pharmaceuticals, Inc., then a publicly traded biotechnology company, including Vice President, Medicine and VELCADE Program Leader as well as co-founder and Vice President of Medicine at Millennium Predictive Medicine, a wholly-owned subsidiary of Millennium. Dr. Kauffman also served as Medical Director at Biogen Corporation (now Biogen Inc., a publicly traded biotechnology company). Dr. Kauffman has served on the board of directors of Zalicus, Inc., on the board of directors of Karyopharm since January 2011, and on the board of directors of Kezar Life Sciences Inc. In the past five years, Dr. Kauffman has also served on the board of directors of EPIX. Dr. Kauffman received an M.D. and Ph.D. in molecular biology and biochemistry from Johns Hopkins University and holds a B.A. in biochemistry from Amherst College. Dr. Kauffman trained in Internal Medicine at Beth Israel Deaconess and Massachusetts General Hospitals. He is board certified in internal medicine. The Board of Directors believes that Dr. Kauffman’s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259"/>
        <w:spacing w:after="0" w:line="276" w:lineRule="auto"/>
        <w:rPr>
          <w:sz w:val="20"/>
          <w:szCs w:val="20"/>
          <w:color w:val="auto"/>
        </w:rPr>
      </w:pPr>
      <w:r>
        <w:rPr>
          <w:rFonts w:ascii="Arial" w:cs="Arial" w:eastAsia="Arial" w:hAnsi="Arial"/>
          <w:sz w:val="18"/>
          <w:szCs w:val="18"/>
          <w:color w:val="auto"/>
        </w:rPr>
        <w:t>qualifications to sit on the Board include the combination of his significant business and leadership experience at public life sciences companies and his medical and scientific background.</w:t>
      </w:r>
    </w:p>
    <w:p>
      <w:pPr>
        <w:spacing w:after="0" w:line="170" w:lineRule="exact"/>
        <w:rPr>
          <w:sz w:val="20"/>
          <w:szCs w:val="20"/>
          <w:color w:val="auto"/>
        </w:rPr>
      </w:pPr>
    </w:p>
    <w:p>
      <w:pPr>
        <w:ind w:left="160" w:right="199" w:firstLine="646"/>
        <w:spacing w:after="0" w:line="267" w:lineRule="auto"/>
        <w:rPr>
          <w:sz w:val="20"/>
          <w:szCs w:val="20"/>
          <w:color w:val="auto"/>
        </w:rPr>
      </w:pPr>
      <w:r>
        <w:rPr>
          <w:rFonts w:ascii="Arial" w:cs="Arial" w:eastAsia="Arial" w:hAnsi="Arial"/>
          <w:sz w:val="17"/>
          <w:szCs w:val="17"/>
          <w:b w:val="1"/>
          <w:bCs w:val="1"/>
          <w:i w:val="1"/>
          <w:iCs w:val="1"/>
          <w:color w:val="auto"/>
        </w:rPr>
        <w:t>Timothy Barberich</w:t>
      </w:r>
      <w:r>
        <w:rPr>
          <w:rFonts w:ascii="Arial" w:cs="Arial" w:eastAsia="Arial" w:hAnsi="Arial"/>
          <w:sz w:val="17"/>
          <w:szCs w:val="17"/>
          <w:color w:val="auto"/>
        </w:rPr>
        <w:t>, age 69, is a Class II director who has served as a member of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2014. Mr. Barberich is founder and former Chairman and Chief Executive Officer of Sepracor Inc., a publicly traded, research-based, pharmaceutical company based in Marlborough, Massachusetts, which was acquired by Dainippon Sumitomo Pharma Co., Ltd. in 2009. He founded Sepracor in 1984 and served as Chief Executive Officer from 1984 to May 2007 and as Chairman of the Board from 1990 to 2009. Mr. Barberich has been Chairman of BioNevia Pharmaceuticals since June 2008 and Chief Executive Officer since 2014. He currently serves on the boards of directors of publicly traded GI Dynamics, Inotek Pharmaceuticals Corporation and Verastem, and on the boards of directors of the privately held companies Neurovance Inc. and Frequency, Inc. He has also served on the boards of directors of HeartWare, International, Inc., Tokai Pharmaceuticals, BioSphere Medical, Inc. and GeminX Pharmaceuticals. Mr. Barberich has also served on the board of trustees of Boston Medical Center and the board of the Pharmaceutical Research and Manufacturers’ Association (PhRMA). Prior to founding Sepracor, Mr. Barberich spent 10 years as a senior executive at Bedford, Massachusetts-based Millipore Corporation. Mr. Barberich is a graduate of Kings College and holds a Bachelors of Science degree in Chemistry. The Board of Directors believes that Mr. Barberich’s qualifications to sit on the Board include his significant experience in the development and commercialization of pharmaceutical products, his leadership experience at other pharmaceutical companies and his service on other boards of directors.</w:t>
      </w:r>
    </w:p>
    <w:p>
      <w:pPr>
        <w:spacing w:after="0" w:line="181" w:lineRule="exact"/>
        <w:rPr>
          <w:sz w:val="20"/>
          <w:szCs w:val="20"/>
          <w:color w:val="auto"/>
        </w:rPr>
      </w:pPr>
    </w:p>
    <w:p>
      <w:pPr>
        <w:ind w:left="160" w:right="139" w:firstLine="646"/>
        <w:spacing w:after="0" w:line="284" w:lineRule="auto"/>
        <w:rPr>
          <w:sz w:val="20"/>
          <w:szCs w:val="20"/>
          <w:color w:val="auto"/>
        </w:rPr>
      </w:pPr>
      <w:r>
        <w:rPr>
          <w:rFonts w:ascii="Arial" w:cs="Arial" w:eastAsia="Arial" w:hAnsi="Arial"/>
          <w:sz w:val="16"/>
          <w:szCs w:val="16"/>
          <w:b w:val="1"/>
          <w:bCs w:val="1"/>
          <w:i w:val="1"/>
          <w:iCs w:val="1"/>
          <w:color w:val="auto"/>
        </w:rPr>
        <w:t>Paul A. Friedman M.D.</w:t>
      </w:r>
      <w:r>
        <w:rPr>
          <w:rFonts w:ascii="Arial" w:cs="Arial" w:eastAsia="Arial" w:hAnsi="Arial"/>
          <w:sz w:val="16"/>
          <w:szCs w:val="16"/>
          <w:color w:val="auto"/>
        </w:rPr>
        <w:t>, age 74, is a Class I director who has served as a member of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May 2014. Dr. Friedman was the Chief Executive Officer of Incyte Corporation from November 2001 until his retirement in January 2014 and oversaw the development and commercialization of Jakafi®. Dr. Friedman joined Incyte from DuPont Pharmaceuticals Research Laboratories where he served as President. Previously, he served as President of Research and Development of The DuPont Merck Pharmaceutical Company and Senior Vice President at Merck Research Laboratories. During his career, Dr. Friedman was involved in the discovery and/or development of a number of successful pharmaceutical products, including Jakafi®, Aggrastat®, Trusopt®, Crixivan®, Sustiva®, Pedvax®, Pneumovax®, Vaqta®, Varivax® Cozaar®/Hyzaar® and Fosamax®. Dr. Friedman earned his M.D. from Harvard Medical School where he subsequently became an Associate Professor of Medicine and Pharmacology and was a practicing physician at New York-Presbyterian Hospital, College of Physicians and Surgeons. Dr. Friedman currently serves as Chairman and Chief Executive Officer of Madrigal Pharmaceuticals and also serves on the boards of directors of two other publicly traded companies, Incyte and Cerulean Pharma, Inc., and on the boards of directors of two privately held companies, Gliknik, Inc. and Navitor Pharmaceuticals, Inc. Dr. Friedman also currently serves as a diplomat of the American Board of Internal Medicine and a Member of the American Society of Clinical Investigation. He has authored or co-authored over 100 scientific publications. The Board of Directors believes that Dr. Friedman’s qualifications to sit on the Board include his medical background, his significant experience in the development and commercialization of pharmaceutical products and his leadership experience at other pharmaceutical companies.</w:t>
      </w:r>
    </w:p>
    <w:p>
      <w:pPr>
        <w:spacing w:after="0" w:line="175" w:lineRule="exact"/>
        <w:rPr>
          <w:sz w:val="20"/>
          <w:szCs w:val="20"/>
          <w:color w:val="auto"/>
        </w:rPr>
      </w:pPr>
    </w:p>
    <w:p>
      <w:pPr>
        <w:ind w:left="160" w:right="199" w:firstLine="646"/>
        <w:spacing w:after="0" w:line="267" w:lineRule="auto"/>
        <w:rPr>
          <w:sz w:val="20"/>
          <w:szCs w:val="20"/>
          <w:color w:val="auto"/>
        </w:rPr>
      </w:pPr>
      <w:r>
        <w:rPr>
          <w:rFonts w:ascii="Arial" w:cs="Arial" w:eastAsia="Arial" w:hAnsi="Arial"/>
          <w:sz w:val="17"/>
          <w:szCs w:val="17"/>
          <w:b w:val="1"/>
          <w:bCs w:val="1"/>
          <w:i w:val="1"/>
          <w:iCs w:val="1"/>
          <w:color w:val="auto"/>
        </w:rPr>
        <w:t>Alison Lawton</w:t>
      </w:r>
      <w:r>
        <w:rPr>
          <w:rFonts w:ascii="Arial" w:cs="Arial" w:eastAsia="Arial" w:hAnsi="Arial"/>
          <w:sz w:val="17"/>
          <w:szCs w:val="17"/>
          <w:color w:val="auto"/>
        </w:rPr>
        <w:t>, age 55, is a Class II director who has served as a member of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2012. Ms. Lawton has been Chief Operating Officer at Aura Biosciences since January 2015 and prior to this was Chief Operating Officer of OvaScience, Inc., a publicly traded life sciences company, from January 2013 until December 2013. From 1991 to 2012, Ms. Lawton worked at various positions of increasing responsibility at Genzyme Corporation (Genzyme) and subsequently at Sanofi-Aventis, following its 2011 acquisition of Genzyme, each a global biopharmaceutical company. Ms. Lawton served as head of Genzyme Biosurgery, where she was responsible for Genzyme’s global orthopedics, surgical and cell therapy and regenerative medicine businesses. Prior to that, Ms. Lawton oversaw Global Market Access at Genzyme, which included Global Regulatory Affairs, Global Health Outcomes and Strategic Pricing, Global Public Policy, and Global Product Safety &amp; Risk Management. Before joining Genzyme, Ms. Lawton worked for seven years in the United Kingdom at Parke-Davis, a pharmaceutical company. Ms. Lawton serves on the boards of directors of ProQR Therapeutics and CoLucid Pharmaceuticals, Inc., both publicly traded biopharmaceutical companies. She also served on the board of directors of Cubist Pharmaceuticals for three years until its acquisition by Merck &amp; Co., Inc. in 2015. Ms. Lawton also serves on the board of a private biotechnology company, Follica, the Scientific Advisory Board of the private biotechnology company X4 Pharmaceuticals and is a corporate advisor to PIC Therapeutics Inc. She is a former President and Chair of the Board of Regulatory Affairs Professional Society and former FDA Advisory Committee member for Cell and Gene Therapy Committee. The Board of Directors believes that Ms. Lawton’s qualifications to</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339"/>
        <w:spacing w:after="0" w:line="340" w:lineRule="auto"/>
        <w:rPr>
          <w:sz w:val="20"/>
          <w:szCs w:val="20"/>
          <w:color w:val="auto"/>
        </w:rPr>
      </w:pPr>
      <w:r>
        <w:rPr>
          <w:rFonts w:ascii="Arial" w:cs="Arial" w:eastAsia="Arial" w:hAnsi="Arial"/>
          <w:sz w:val="16"/>
          <w:szCs w:val="16"/>
          <w:color w:val="auto"/>
        </w:rPr>
        <w:t>sit on the Board include significant operational, international, regulatory and senior management experience within the pharmaceutical and biotechnology industries and her experience serving on boards of directors within the industry.</w:t>
      </w:r>
    </w:p>
    <w:p>
      <w:pPr>
        <w:spacing w:after="0" w:line="125" w:lineRule="exact"/>
        <w:rPr>
          <w:sz w:val="20"/>
          <w:szCs w:val="20"/>
          <w:color w:val="auto"/>
        </w:rPr>
      </w:pPr>
    </w:p>
    <w:p>
      <w:pPr>
        <w:ind w:left="160" w:right="159" w:firstLine="646"/>
        <w:spacing w:after="0" w:line="268" w:lineRule="auto"/>
        <w:rPr>
          <w:sz w:val="20"/>
          <w:szCs w:val="20"/>
          <w:color w:val="auto"/>
        </w:rPr>
      </w:pPr>
      <w:r>
        <w:rPr>
          <w:rFonts w:ascii="Arial" w:cs="Arial" w:eastAsia="Arial" w:hAnsi="Arial"/>
          <w:sz w:val="17"/>
          <w:szCs w:val="17"/>
          <w:b w:val="1"/>
          <w:bCs w:val="1"/>
          <w:i w:val="1"/>
          <w:iCs w:val="1"/>
          <w:color w:val="auto"/>
        </w:rPr>
        <w:t>S. Louise Phanstiel</w:t>
      </w:r>
      <w:r>
        <w:rPr>
          <w:rFonts w:ascii="Arial" w:cs="Arial" w:eastAsia="Arial" w:hAnsi="Arial"/>
          <w:sz w:val="17"/>
          <w:szCs w:val="17"/>
          <w:color w:val="auto"/>
        </w:rPr>
        <w:t>, age 58, is a Class I director who has served as a member of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2012. Ms. Phanstiel held several important positions at WellPoint, Inc. from 1996 to 2007, including President, Specialty Products (2003 to 2007), Senior Vice President, Chief of Staff and Corporate Planning in the Office of the Chairman (2000 to 2003), and Senior Vice President, Chief Accounting Officer, Controller, and Chief Financial Officer for all WellPoint, Inc. subsidiaries, including Blue Cross of California (1996 to 2000). Previously, Ms. Phanstiel was a partner at the international services firm of Coopers &amp; Lybrand, where she served clients in life and property/casualty insurance, high technology, and higher education. Ms. Phanstiel has served on the board of directors of Myriad Genetics since September 2009, and formerly served on the boards of directors of Inveresk Research Group, Inc. and Charles River Laboratories, Inc. Ms. Phanstiel received a B.A. degree in Accounting from Golden Gate University and is a Certified Public Accountant. The Board of Directors believes that Ms. Phanstiel’s qualifications to sit on the Board include her significant financial, investment, and management expertise, and her experience managing and serving as a director of publicly traded companies.</w:t>
      </w:r>
    </w:p>
    <w:p>
      <w:pPr>
        <w:spacing w:after="0" w:line="180" w:lineRule="exact"/>
        <w:rPr>
          <w:sz w:val="20"/>
          <w:szCs w:val="20"/>
          <w:color w:val="auto"/>
        </w:rPr>
      </w:pPr>
    </w:p>
    <w:p>
      <w:pPr>
        <w:ind w:left="160" w:right="219" w:firstLine="646"/>
        <w:spacing w:after="0" w:line="287" w:lineRule="auto"/>
        <w:rPr>
          <w:sz w:val="20"/>
          <w:szCs w:val="20"/>
          <w:color w:val="auto"/>
        </w:rPr>
      </w:pPr>
      <w:r>
        <w:rPr>
          <w:rFonts w:ascii="Arial" w:cs="Arial" w:eastAsia="Arial" w:hAnsi="Arial"/>
          <w:sz w:val="16"/>
          <w:szCs w:val="16"/>
          <w:b w:val="1"/>
          <w:bCs w:val="1"/>
          <w:i w:val="1"/>
          <w:iCs w:val="1"/>
          <w:color w:val="auto"/>
        </w:rPr>
        <w:t>Bruce Wendel</w:t>
      </w:r>
      <w:r>
        <w:rPr>
          <w:rFonts w:ascii="Arial" w:cs="Arial" w:eastAsia="Arial" w:hAnsi="Arial"/>
          <w:sz w:val="16"/>
          <w:szCs w:val="16"/>
          <w:color w:val="auto"/>
        </w:rPr>
        <w:t>, age 63, is a Class III director who has served as a member of our Board of Directors since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Mr. Wendel has been Chief Strategic Officer of Hepalink USA, the U.S. subsidiary of Shenzhen Hepalink Pharmaceutical Company, since June 2012. Prior to this, Mr. Wendel served as Vice Chairman and Chief Executive Officer of Abraxis BioScience, LLC, from January 2010 to December 2010, where he oversaw the development and commercialization of Abraxane®. He also led the negotiations that culminated in the acquisition of Abraxis by Celgene in a deal valued at over $2.9 billion. Prior to Abraxis, Mr. Wendel served in business and corporate development roles of increasing responsibility at American Pharmaceutical Partners, IVAX Corporation and Bristol-Myers Squibb. Mr. Wendel currently serves on the board of directors of ProMetic Life Sciences, Inc., a publically traded biopharmaceutical company. Mr. Wendel earned a juris doctorate degree from Georgetown University Law School, and a B.S. from Cornell University. The Board of Directors believes that Mr. Wendel's qualifications to sit on the Board include his experience building companies and bringing oncology drugs to the market, his oversight of the development and commercialization of Abraxane®, and his life sciences industry experience and knowledge.</w:t>
      </w:r>
    </w:p>
    <w:p>
      <w:pPr>
        <w:spacing w:after="0" w:line="173" w:lineRule="exact"/>
        <w:rPr>
          <w:sz w:val="20"/>
          <w:szCs w:val="20"/>
          <w:color w:val="auto"/>
        </w:rPr>
      </w:pPr>
    </w:p>
    <w:p>
      <w:pPr>
        <w:ind w:left="160" w:right="179" w:firstLine="646"/>
        <w:spacing w:after="0" w:line="272" w:lineRule="auto"/>
        <w:rPr>
          <w:sz w:val="20"/>
          <w:szCs w:val="20"/>
          <w:color w:val="auto"/>
        </w:rPr>
      </w:pPr>
      <w:r>
        <w:rPr>
          <w:rFonts w:ascii="Arial" w:cs="Arial" w:eastAsia="Arial" w:hAnsi="Arial"/>
          <w:sz w:val="17"/>
          <w:szCs w:val="17"/>
          <w:b w:val="1"/>
          <w:bCs w:val="1"/>
          <w:i w:val="1"/>
          <w:iCs w:val="1"/>
          <w:color w:val="auto"/>
        </w:rPr>
        <w:t>Dan Paterson</w:t>
      </w:r>
      <w:r>
        <w:rPr>
          <w:rFonts w:ascii="Arial" w:cs="Arial" w:eastAsia="Arial" w:hAnsi="Arial"/>
          <w:sz w:val="17"/>
          <w:szCs w:val="17"/>
          <w:color w:val="auto"/>
        </w:rPr>
        <w:t>, age 56, has served as our Chief Operating Officer since December 2014, our Chief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from July 2013 to December 2014 and as our Vice President, Head of Corporate Development and Diagnostics from March 2012 until July 2013. Prior to joining us in March 2012, Mr. Paterson was a consultant in 2011. From 2009 through 2010, Mr. Paterson was the Chief Operating Officer of On-Q-ity. Mr. Paterson was the President and Chief Executive Officer of The DNA Repair Company from 2006 until 2009, when it was acquired by On-Q-ity. Previously, he held senior level positions at IMS Health, CareTools, OnCare, and Axion.</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07" w:lineRule="exact"/>
        <w:rPr>
          <w:sz w:val="20"/>
          <w:szCs w:val="20"/>
          <w:color w:val="auto"/>
        </w:rPr>
      </w:pPr>
    </w:p>
    <w:p>
      <w:pPr>
        <w:ind w:left="160" w:right="139" w:firstLine="646"/>
        <w:spacing w:after="0" w:line="274" w:lineRule="auto"/>
        <w:rPr>
          <w:sz w:val="20"/>
          <w:szCs w:val="20"/>
          <w:color w:val="auto"/>
        </w:rPr>
      </w:pPr>
      <w:r>
        <w:rPr>
          <w:rFonts w:ascii="Arial" w:cs="Arial" w:eastAsia="Arial" w:hAnsi="Arial"/>
          <w:sz w:val="17"/>
          <w:szCs w:val="17"/>
          <w:color w:val="auto"/>
        </w:rPr>
        <w:t>Our directors, executive officers and beneficial owners of more than 10% of our common stock are required under Section 16(a) of the Securities Exchange Act of 1934, as amended, to file reports of ownership and changes in ownership of our securities with the Securities and Exchange Commission (SEC). We believe that, during the year ended December 31, 2016, our directors, executive officers and beneficial owners of more than 10% of the Company’s common stock complied with all Section 16(a) filing requirements.</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8" w:lineRule="exact"/>
        <w:rPr>
          <w:sz w:val="20"/>
          <w:szCs w:val="20"/>
          <w:color w:val="auto"/>
        </w:rPr>
      </w:pPr>
    </w:p>
    <w:p>
      <w:pPr>
        <w:ind w:left="160" w:right="159" w:firstLine="646"/>
        <w:spacing w:after="0" w:line="254"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“Investors — Corporate Governance” section of our website, which is located at www.verastem.com. In addition, we intend to post on our website all disclosures that are required by law, the rules of the SEC or NASDAQ stock market listing standards concerning any amendments to, or waivers from, any provision of the code.</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Board Committees</w:t>
      </w:r>
    </w:p>
    <w:p>
      <w:pPr>
        <w:spacing w:after="0" w:line="228" w:lineRule="exact"/>
        <w:rPr>
          <w:sz w:val="20"/>
          <w:szCs w:val="20"/>
          <w:color w:val="auto"/>
        </w:rPr>
      </w:pPr>
    </w:p>
    <w:p>
      <w:pPr>
        <w:ind w:left="160" w:right="299" w:firstLine="646"/>
        <w:spacing w:after="0" w:line="290" w:lineRule="auto"/>
        <w:rPr>
          <w:sz w:val="20"/>
          <w:szCs w:val="20"/>
          <w:color w:val="auto"/>
        </w:rPr>
      </w:pPr>
      <w:r>
        <w:rPr>
          <w:rFonts w:ascii="Arial" w:cs="Arial" w:eastAsia="Arial" w:hAnsi="Arial"/>
          <w:sz w:val="16"/>
          <w:szCs w:val="16"/>
          <w:color w:val="auto"/>
        </w:rPr>
        <w:t>Our board of directors has established an audit committee, a nominating and corporate governance committee, and a compensation committee, each of which operates under a charter that has been approved by our board. Our board of directors has determined that all of the members of the audit committee, the compensation committee and the nominating and corporate governance committee are independent as defined under NASDAQ Marketplace Rules, including, in the case of all the members of our audit committee, the independence requirements contemplated by Rule 10A-3 under the Securities Exchange Act of 1934. No changes have been made to the procedures by which our stockholders may recommend nominees to our board of directors.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Audit committee</w:t>
      </w:r>
    </w:p>
    <w:p>
      <w:pPr>
        <w:spacing w:after="0" w:line="217" w:lineRule="exact"/>
        <w:rPr>
          <w:sz w:val="20"/>
          <w:szCs w:val="20"/>
          <w:color w:val="auto"/>
        </w:rPr>
      </w:pPr>
    </w:p>
    <w:p>
      <w:pPr>
        <w:ind w:left="160" w:right="419" w:firstLine="646"/>
        <w:spacing w:after="0" w:line="262" w:lineRule="auto"/>
        <w:rPr>
          <w:sz w:val="20"/>
          <w:szCs w:val="20"/>
          <w:color w:val="auto"/>
        </w:rPr>
      </w:pPr>
      <w:r>
        <w:rPr>
          <w:rFonts w:ascii="Arial" w:cs="Arial" w:eastAsia="Arial" w:hAnsi="Arial"/>
          <w:sz w:val="18"/>
          <w:szCs w:val="18"/>
          <w:color w:val="auto"/>
        </w:rPr>
        <w:t>The members of our audit committee are Louise Phanstiel, Timothy Barberich, and Michael Kauffman</w:t>
      </w:r>
      <w:r>
        <w:rPr>
          <w:rFonts w:ascii="Arial" w:cs="Arial" w:eastAsia="Arial" w:hAnsi="Arial"/>
          <w:sz w:val="21"/>
          <w:szCs w:val="21"/>
          <w:color w:val="auto"/>
        </w:rPr>
        <w:t>.</w:t>
      </w:r>
      <w:r>
        <w:rPr>
          <w:rFonts w:ascii="Arial" w:cs="Arial" w:eastAsia="Arial" w:hAnsi="Arial"/>
          <w:sz w:val="18"/>
          <w:szCs w:val="18"/>
          <w:color w:val="auto"/>
        </w:rPr>
        <w:t xml:space="preserve"> Our board of directors has determined that Louise Phanstiel is an “audit committee financial expert” as defined in the applicable SEC rules.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4" w:lineRule="exact"/>
        <w:rPr>
          <w:sz w:val="20"/>
          <w:szCs w:val="20"/>
          <w:color w:val="auto"/>
        </w:rPr>
      </w:pPr>
    </w:p>
    <w:p>
      <w:pPr>
        <w:ind w:left="160" w:right="919" w:firstLine="646"/>
        <w:spacing w:after="0" w:line="276" w:lineRule="auto"/>
        <w:rPr>
          <w:sz w:val="20"/>
          <w:szCs w:val="20"/>
          <w:color w:val="auto"/>
        </w:rPr>
      </w:pPr>
      <w:r>
        <w:rPr>
          <w:rFonts w:ascii="Arial" w:cs="Arial" w:eastAsia="Arial" w:hAnsi="Arial"/>
          <w:sz w:val="18"/>
          <w:szCs w:val="18"/>
          <w:color w:val="auto"/>
        </w:rPr>
        <w:t>The members of our nominating and corporate governance committee are Paul A. Friedman, Timothy Barberich, and Bruce Wendel.</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Compensation committee</w:t>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members of our compensation committee are Alison Lawton, Michael Kauffman, and Bruce Wendel</w:t>
      </w:r>
      <w:r>
        <w:rPr>
          <w:rFonts w:ascii="Arial" w:cs="Arial" w:eastAsia="Arial" w:hAnsi="Arial"/>
          <w:sz w:val="20"/>
          <w:szCs w:val="20"/>
          <w:color w:val="auto"/>
        </w:rPr>
        <w:t>.</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11. EXECUTIVE COMPENSATION</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NAMED EXECUTIVE OFFICER COMPENSATION,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0" w:lineRule="exact"/>
        <w:rPr>
          <w:sz w:val="20"/>
          <w:szCs w:val="20"/>
          <w:color w:val="auto"/>
        </w:rPr>
      </w:pP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named executive officers for the fiscal year ended December 31, 2016 were:</w:t>
      </w:r>
    </w:p>
    <w:p>
      <w:pPr>
        <w:spacing w:after="0" w:line="224" w:lineRule="exact"/>
        <w:rPr>
          <w:sz w:val="20"/>
          <w:szCs w:val="20"/>
          <w:color w:val="auto"/>
        </w:rPr>
      </w:pPr>
    </w:p>
    <w:p>
      <w:pPr>
        <w:ind w:left="920" w:hanging="12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Robert Forrester, our President and Chief Executive Officer;</w:t>
      </w:r>
    </w:p>
    <w:p>
      <w:pPr>
        <w:spacing w:after="0" w:line="223" w:lineRule="exact"/>
        <w:rPr>
          <w:rFonts w:ascii="Arial" w:cs="Arial" w:eastAsia="Arial" w:hAnsi="Arial"/>
          <w:sz w:val="18"/>
          <w:szCs w:val="18"/>
          <w:color w:val="auto"/>
        </w:rPr>
      </w:pPr>
    </w:p>
    <w:p>
      <w:pPr>
        <w:ind w:left="940" w:hanging="14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Daniel Paterson, our Chief Operating Officer; and</w:t>
      </w:r>
    </w:p>
    <w:p>
      <w:pPr>
        <w:spacing w:after="0" w:line="223" w:lineRule="exact"/>
        <w:rPr>
          <w:rFonts w:ascii="Arial" w:cs="Arial" w:eastAsia="Arial" w:hAnsi="Arial"/>
          <w:sz w:val="18"/>
          <w:szCs w:val="18"/>
          <w:color w:val="auto"/>
        </w:rPr>
      </w:pPr>
    </w:p>
    <w:p>
      <w:pPr>
        <w:ind w:left="920" w:hanging="12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Gregory Berk, M.D., our former Chief Medical Officer.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2016 Summary Compensation Table</w:t>
      </w:r>
    </w:p>
    <w:p>
      <w:pPr>
        <w:spacing w:after="0" w:line="228" w:lineRule="exact"/>
        <w:rPr>
          <w:sz w:val="20"/>
          <w:szCs w:val="20"/>
          <w:color w:val="auto"/>
        </w:rPr>
      </w:pPr>
    </w:p>
    <w:p>
      <w:pPr>
        <w:ind w:left="160" w:right="139" w:firstLine="646"/>
        <w:spacing w:after="0" w:line="276"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during the fiscal year indicated by our named executive officers for 2016.</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Non-Equity</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5"/>
              </w:rPr>
              <w:t>Incentive</w:t>
            </w:r>
          </w:p>
        </w:tc>
        <w:tc>
          <w:tcPr>
            <w:tcW w:w="10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0"/>
              </w:rPr>
              <w:t>Compensation</w:t>
            </w:r>
          </w:p>
        </w:tc>
        <w:tc>
          <w:tcPr>
            <w:tcW w:w="8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xml:space="preserve">Plans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)(2)</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Forrester</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525,000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245,844</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321,000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1,104,534</w:t>
            </w:r>
          </w:p>
        </w:tc>
        <w:tc>
          <w:tcPr>
            <w:tcW w:w="0" w:type="dxa"/>
            <w:vAlign w:val="bottom"/>
          </w:tcPr>
          <w:p>
            <w:pPr>
              <w:spacing w:after="0"/>
              <w:rPr>
                <w:sz w:val="1"/>
                <w:szCs w:val="1"/>
                <w:color w:val="auto"/>
              </w:rPr>
            </w:pPr>
          </w:p>
        </w:tc>
      </w:tr>
      <w:tr>
        <w:trPr>
          <w:trHeight w:val="215"/>
        </w:trPr>
        <w:tc>
          <w:tcPr>
            <w:tcW w:w="3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Executive Officer</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524,385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1,972,828</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12,504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2,509,717</w:t>
            </w:r>
          </w:p>
        </w:tc>
        <w:tc>
          <w:tcPr>
            <w:tcW w:w="0" w:type="dxa"/>
            <w:vAlign w:val="bottom"/>
          </w:tcPr>
          <w:p>
            <w:pPr>
              <w:spacing w:after="0"/>
              <w:rPr>
                <w:sz w:val="1"/>
                <w:szCs w:val="1"/>
                <w:color w:val="auto"/>
              </w:rPr>
            </w:pPr>
          </w:p>
        </w:tc>
      </w:tr>
      <w:tr>
        <w:trPr>
          <w:trHeight w:val="215"/>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Paterson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377,000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708,702</w:t>
            </w:r>
          </w:p>
        </w:tc>
        <w:tc>
          <w:tcPr>
            <w:tcW w:w="0" w:type="dxa"/>
            <w:vAlign w:val="bottom"/>
          </w:tcPr>
          <w:p>
            <w:pPr>
              <w:spacing w:after="0"/>
              <w:rPr>
                <w:sz w:val="1"/>
                <w:szCs w:val="1"/>
                <w:color w:val="auto"/>
              </w:rPr>
            </w:pPr>
          </w:p>
        </w:tc>
      </w:tr>
      <w:tr>
        <w:trPr>
          <w:trHeight w:val="215"/>
        </w:trPr>
        <w:tc>
          <w:tcPr>
            <w:tcW w:w="3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Operating Officer</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376,169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1,042,812</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12,504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1,431,485</w:t>
            </w:r>
          </w:p>
        </w:tc>
        <w:tc>
          <w:tcPr>
            <w:tcW w:w="0" w:type="dxa"/>
            <w:vAlign w:val="bottom"/>
          </w:tcPr>
          <w:p>
            <w:pPr>
              <w:spacing w:after="0"/>
              <w:rPr>
                <w:sz w:val="1"/>
                <w:szCs w:val="1"/>
                <w:color w:val="auto"/>
              </w:rPr>
            </w:pPr>
          </w:p>
        </w:tc>
      </w:tr>
      <w:tr>
        <w:trPr>
          <w:trHeight w:val="215"/>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Berk</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270,769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452,472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187,893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1,017,801</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Medical Officer (4)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59055</wp:posOffset>
            </wp:positionV>
            <wp:extent cx="13843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180" w:lineRule="exact"/>
        <w:rPr>
          <w:sz w:val="20"/>
          <w:szCs w:val="20"/>
          <w:color w:val="auto"/>
        </w:rPr>
      </w:pPr>
    </w:p>
    <w:p>
      <w:pPr>
        <w:ind w:left="360" w:right="279" w:hanging="214"/>
        <w:spacing w:after="0" w:line="292" w:lineRule="auto"/>
        <w:rPr>
          <w:sz w:val="20"/>
          <w:szCs w:val="20"/>
          <w:color w:val="auto"/>
        </w:rPr>
      </w:pPr>
      <w:r>
        <w:rPr>
          <w:rFonts w:ascii="Arial" w:cs="Arial" w:eastAsia="Arial" w:hAnsi="Arial"/>
          <w:sz w:val="16"/>
          <w:szCs w:val="16"/>
          <w:color w:val="auto"/>
        </w:rPr>
        <w:t>(1)The amounts reflect the aggregate grant date fair value of option awards granted during the year computed in accordance with the provisions of Financial Accounting Standards Board Accounting Standard Codification Topic 718 (FASB ASC Topic 718), excluding the effect of estimated forfeitures. For information regarding assumptions underlying the value of stock awards, see Note 7 to our financial statements and the discussion under Part II, Item 7 “Management’s Discussion and Analysis of Financial Condition and Results of Operations—Critical Accounting Policies—Stock-Based Compensation,” of this Annual Report on Form 10-K for the year ended December 31, 2016.</w:t>
      </w:r>
    </w:p>
    <w:p>
      <w:pPr>
        <w:spacing w:after="0" w:line="164" w:lineRule="exact"/>
        <w:rPr>
          <w:sz w:val="20"/>
          <w:szCs w:val="20"/>
          <w:color w:val="auto"/>
        </w:rPr>
      </w:pPr>
    </w:p>
    <w:p>
      <w:pPr>
        <w:jc w:val="both"/>
        <w:ind w:left="360" w:right="319" w:hanging="214"/>
        <w:spacing w:after="0" w:line="262" w:lineRule="auto"/>
        <w:rPr>
          <w:sz w:val="20"/>
          <w:szCs w:val="20"/>
          <w:color w:val="auto"/>
        </w:rPr>
      </w:pPr>
      <w:r>
        <w:rPr>
          <w:rFonts w:ascii="Arial" w:cs="Arial" w:eastAsia="Arial" w:hAnsi="Arial"/>
          <w:sz w:val="18"/>
          <w:szCs w:val="18"/>
          <w:color w:val="auto"/>
        </w:rPr>
        <w:t>(2)The amounts shown for non-equity incentive plan compensation represent amounts earned for the fiscal years ended December 31, 2016 and 2015. No bonuses were granted to our executives, including our named executive officers, for 2015. Amounts earned for 2016 were paid in 2017.</w:t>
      </w:r>
    </w:p>
    <w:p>
      <w:pPr>
        <w:spacing w:after="0" w:line="183" w:lineRule="exact"/>
        <w:rPr>
          <w:sz w:val="20"/>
          <w:szCs w:val="20"/>
          <w:color w:val="auto"/>
        </w:rPr>
      </w:pPr>
    </w:p>
    <w:p>
      <w:pPr>
        <w:ind w:left="360" w:right="179" w:hanging="214"/>
        <w:spacing w:after="0" w:line="258" w:lineRule="auto"/>
        <w:rPr>
          <w:sz w:val="20"/>
          <w:szCs w:val="20"/>
          <w:color w:val="auto"/>
        </w:rPr>
      </w:pPr>
      <w:r>
        <w:rPr>
          <w:rFonts w:ascii="Arial" w:cs="Arial" w:eastAsia="Arial" w:hAnsi="Arial"/>
          <w:sz w:val="18"/>
          <w:szCs w:val="18"/>
          <w:color w:val="auto"/>
        </w:rPr>
        <w:t>(3)The amounts shown represent the sum of 401(k) contributions, Health Savings Account contributions, and the dollar value of life insurance premiums paid by the Company for the applicable named executive officer. The amount for Dr. Berk also includes $175,000 of fees paid in connection with consulting services provided prior to joining us in April 2016.</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 Dr. Berk served as our Chief Medical Officer from April 15, 2016 to January 19, 2017.</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Narrative Discussion of Summary Compensation Table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Agreements</w:t>
      </w:r>
    </w:p>
    <w:p>
      <w:pPr>
        <w:spacing w:after="0" w:line="228" w:lineRule="exact"/>
        <w:rPr>
          <w:sz w:val="20"/>
          <w:szCs w:val="20"/>
          <w:color w:val="auto"/>
        </w:rPr>
      </w:pPr>
    </w:p>
    <w:p>
      <w:pPr>
        <w:ind w:left="160" w:right="219" w:firstLine="646"/>
        <w:spacing w:after="0" w:line="285" w:lineRule="auto"/>
        <w:rPr>
          <w:sz w:val="20"/>
          <w:szCs w:val="20"/>
          <w:color w:val="auto"/>
        </w:rPr>
      </w:pPr>
      <w:r>
        <w:rPr>
          <w:rFonts w:ascii="Arial" w:cs="Arial" w:eastAsia="Arial" w:hAnsi="Arial"/>
          <w:sz w:val="17"/>
          <w:szCs w:val="17"/>
          <w:color w:val="auto"/>
        </w:rPr>
        <w:t>We have entered into an employment agreement with each of our named executive officers. Each of the employment agreements provides that employment will continue for an indefinite period until either the Company or the employee provides written notice of termination in accordance with the terms of the agreement.</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Robert Forrester</w:t>
      </w:r>
    </w:p>
    <w:p>
      <w:pPr>
        <w:spacing w:after="0" w:line="224" w:lineRule="exact"/>
        <w:rPr>
          <w:sz w:val="20"/>
          <w:szCs w:val="20"/>
          <w:color w:val="auto"/>
        </w:rPr>
      </w:pPr>
    </w:p>
    <w:p>
      <w:pPr>
        <w:ind w:left="160" w:right="179" w:firstLine="646"/>
        <w:spacing w:after="0" w:line="292" w:lineRule="auto"/>
        <w:rPr>
          <w:sz w:val="20"/>
          <w:szCs w:val="20"/>
          <w:color w:val="auto"/>
        </w:rPr>
      </w:pPr>
      <w:r>
        <w:rPr>
          <w:rFonts w:ascii="Arial" w:cs="Arial" w:eastAsia="Arial" w:hAnsi="Arial"/>
          <w:sz w:val="16"/>
          <w:szCs w:val="16"/>
          <w:color w:val="auto"/>
        </w:rPr>
        <w:t>Pursuant to his amended and restated employment agreement, as of July 1, 2013, Mr. Forrester was entitled to an initial base salary of $490,000, subject to increase from time to time by the Board of Directors. As of January 1, 2017, Mr. Forrester’s annual base salary is $535,000. Mr. Forrester is eligible to receive a bonus of 60% of his current annual base salary. Subject to Mr. Forrester’s execution of an effective release of claims, Mr. Forrester would be entitled to the severance payments described below if we terminate his employment without cause, as defined in his employment agreement, or if Mr. Forrester terminates his employment for good reason, as defined in his employment agreement.</w:t>
      </w:r>
    </w:p>
    <w:p>
      <w:pPr>
        <w:spacing w:after="0" w:line="164" w:lineRule="exact"/>
        <w:rPr>
          <w:sz w:val="20"/>
          <w:szCs w:val="20"/>
          <w:color w:val="auto"/>
        </w:rPr>
      </w:pPr>
    </w:p>
    <w:p>
      <w:pPr>
        <w:ind w:left="160" w:right="359" w:firstLine="646"/>
        <w:spacing w:after="0" w:line="310" w:lineRule="auto"/>
        <w:rPr>
          <w:sz w:val="20"/>
          <w:szCs w:val="20"/>
          <w:color w:val="auto"/>
        </w:rPr>
      </w:pPr>
      <w:r>
        <w:rPr>
          <w:rFonts w:ascii="Arial" w:cs="Arial" w:eastAsia="Arial" w:hAnsi="Arial"/>
          <w:sz w:val="16"/>
          <w:szCs w:val="16"/>
          <w:color w:val="auto"/>
        </w:rPr>
        <w:t>If Mr. Forrester’s employment is terminated by us without cause or by Mr. Forrester for good reason, absent a change in control, as defined in his employment agreement, we would be obligated, (1) to pay Mr. Forrester his base salary for a period of 12 months following the termination of his employment, (2) to accelerate the vesting</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39"/>
        <w:spacing w:after="0" w:line="254" w:lineRule="auto"/>
        <w:rPr>
          <w:sz w:val="20"/>
          <w:szCs w:val="20"/>
          <w:color w:val="auto"/>
        </w:rPr>
      </w:pPr>
      <w:r>
        <w:rPr>
          <w:rFonts w:ascii="Arial" w:cs="Arial" w:eastAsia="Arial" w:hAnsi="Arial"/>
          <w:sz w:val="18"/>
          <w:szCs w:val="18"/>
          <w:color w:val="auto"/>
        </w:rPr>
        <w:t>of the portion of any equity awards granted prior to the date of his amended and restated employment agreement that would have vested during the 12-month period following the termination of his employment and (3) to the extent allowed by applicable law and the applicable plan documents, to continue to provide Mr. Forrester with all health and dental benefits that he was receiving at the time of the termination of his employment for a period of 12 months following termination (or, if earlier, until the time when Mr. Forrester becomes eligible to enroll in the health or dental plan of a new employer).</w:t>
      </w:r>
    </w:p>
    <w:p>
      <w:pPr>
        <w:spacing w:after="0" w:line="193" w:lineRule="exact"/>
        <w:rPr>
          <w:sz w:val="20"/>
          <w:szCs w:val="20"/>
          <w:color w:val="auto"/>
        </w:rPr>
      </w:pPr>
    </w:p>
    <w:p>
      <w:pPr>
        <w:ind w:left="160" w:right="219" w:firstLine="646"/>
        <w:spacing w:after="0" w:line="253" w:lineRule="auto"/>
        <w:rPr>
          <w:sz w:val="20"/>
          <w:szCs w:val="20"/>
          <w:color w:val="auto"/>
        </w:rPr>
      </w:pPr>
      <w:r>
        <w:rPr>
          <w:rFonts w:ascii="Arial" w:cs="Arial" w:eastAsia="Arial" w:hAnsi="Arial"/>
          <w:sz w:val="18"/>
          <w:szCs w:val="18"/>
          <w:color w:val="auto"/>
        </w:rPr>
        <w:t>If Mr. Forrester’s employment is terminated by us without cause or by Mr. Forrester for good reason, in each case within 90 days prior to, or within one year following, a change in control, we would be obligated (1) to pay Mr. Forrester a lump sum amount equal to two times the sum of his then current annual base salary plus an amount equal to his target bonus, (2) to accelerate the vesting of all outstanding equity awards and (3) to the extent allowed by applicable law and the applicable plan documents, continue to provide Mr. Forrester with all health and dental benefits that he was receiving at the time of the termination of his employment for a period of 24 months following such termination (provided that such benefits shall end when Mr. Forrester becomes eligible to enroll in the health or dental plan of a new employer).</w:t>
      </w:r>
    </w:p>
    <w:p>
      <w:pPr>
        <w:spacing w:after="0" w:line="192" w:lineRule="exact"/>
        <w:rPr>
          <w:sz w:val="20"/>
          <w:szCs w:val="20"/>
          <w:color w:val="auto"/>
        </w:rPr>
      </w:pPr>
    </w:p>
    <w:p>
      <w:pPr>
        <w:ind w:left="160" w:right="159" w:firstLine="646"/>
        <w:spacing w:after="0" w:line="268" w:lineRule="auto"/>
        <w:rPr>
          <w:sz w:val="20"/>
          <w:szCs w:val="20"/>
          <w:color w:val="auto"/>
        </w:rPr>
      </w:pPr>
      <w:r>
        <w:rPr>
          <w:rFonts w:ascii="Arial" w:cs="Arial" w:eastAsia="Arial" w:hAnsi="Arial"/>
          <w:sz w:val="17"/>
          <w:szCs w:val="17"/>
          <w:color w:val="auto"/>
        </w:rPr>
        <w:t>To the extent that any severance or compensation payable to Mr. Forrester pursuant to his employment agreement or otherwise in connection with a change in control of the Company would be subject to the excise tax imposed under Section 4999 of the Internal Revenue Code, Mr. Forrester would be entitled to an additional cash payment equal to an amount calculated by multiplying the grossed-up amount of such payments (i.e., an amount such that net amount retained by Mr. Forrester after payment of all applicable taxes, interest and penalties thereon is equal to the total payments payable to him) by a fraction, the numerator of which is the portion of such payments related to equity awards granted prior to the execution of his employment agreement and the denominator of which is the portion of such payments related to all equity awards granted to him. However, if it would result in a greater amount payable to Mr. Forrester, Mr. Forrester would instead be entitled to either the full amount of the total payments payable in connection with a change in control or a reduced amount of the total payments payable in connection with a change in control, whichever results in the greater economic benefit for Mr. Forrester.</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Daniel Paterson</w:t>
      </w:r>
    </w:p>
    <w:p>
      <w:pPr>
        <w:spacing w:after="0" w:line="224" w:lineRule="exact"/>
        <w:rPr>
          <w:sz w:val="20"/>
          <w:szCs w:val="20"/>
          <w:color w:val="auto"/>
        </w:rPr>
      </w:pPr>
    </w:p>
    <w:p>
      <w:pPr>
        <w:ind w:left="160" w:right="299" w:firstLine="646"/>
        <w:spacing w:after="0" w:line="292" w:lineRule="auto"/>
        <w:rPr>
          <w:sz w:val="20"/>
          <w:szCs w:val="20"/>
          <w:color w:val="auto"/>
        </w:rPr>
      </w:pPr>
      <w:r>
        <w:rPr>
          <w:rFonts w:ascii="Arial" w:cs="Arial" w:eastAsia="Arial" w:hAnsi="Arial"/>
          <w:sz w:val="16"/>
          <w:szCs w:val="16"/>
          <w:color w:val="auto"/>
        </w:rPr>
        <w:t>Pursuant to his employment agreement, Mr. Paterson was entitled to an initial base salary of $300,000, subject to increase from time to time by the Board of Directors. As of January 1, 2017, Mr. Paterson’s annual base salary is $390,000. Mr. Paterson is also eligible to receive a bonus of 40% of his current annual base salary. Subject to Mr. Paterson’s execution of an effective release of claims, Mr. Paterson would be entitled to the severance payments described below if we terminate his employment without cause, as defined in his employment agreement, or if Mr. Paterson terminates his employment for good reason, as defined in his employment agreement.</w:t>
      </w:r>
    </w:p>
    <w:p>
      <w:pPr>
        <w:spacing w:after="0" w:line="164" w:lineRule="exact"/>
        <w:rPr>
          <w:sz w:val="20"/>
          <w:szCs w:val="20"/>
          <w:color w:val="auto"/>
        </w:rPr>
      </w:pPr>
    </w:p>
    <w:p>
      <w:pPr>
        <w:ind w:left="160" w:right="159" w:firstLine="646"/>
        <w:spacing w:after="0" w:line="289" w:lineRule="auto"/>
        <w:rPr>
          <w:sz w:val="20"/>
          <w:szCs w:val="20"/>
          <w:color w:val="auto"/>
        </w:rPr>
      </w:pPr>
      <w:r>
        <w:rPr>
          <w:rFonts w:ascii="Arial" w:cs="Arial" w:eastAsia="Arial" w:hAnsi="Arial"/>
          <w:sz w:val="16"/>
          <w:szCs w:val="16"/>
          <w:color w:val="auto"/>
        </w:rPr>
        <w:t>If Mr. Paterson’s employment is terminated by us without cause or by Mr. Paterson for good reason, absent a change in control, as defined in his employment agreement, we would be obligated (1) to pay Mr. Paterson his base salary for a period of nine months following such termination of employment, (2) to accelerate the vesting of the portion of any equity awards granted prior to the Company’s initial public offering that would have vested during the nine-month period following such termination and (3) to the extent allowed by applicable law and the applicable plan documents, to continue to provide Mr. Paterson with all health and dental benefits that he was receiving at the time of the termination of his employment for a period of nine months following such termination (provided that such benefits shall end when Mr. Paterson becomes eligible to enroll in the health or dental plan of a new employer).</w:t>
      </w:r>
    </w:p>
    <w:p>
      <w:pPr>
        <w:spacing w:after="0" w:line="166" w:lineRule="exact"/>
        <w:rPr>
          <w:sz w:val="20"/>
          <w:szCs w:val="20"/>
          <w:color w:val="auto"/>
        </w:rPr>
      </w:pPr>
    </w:p>
    <w:p>
      <w:pPr>
        <w:ind w:left="160" w:right="139" w:firstLine="646"/>
        <w:spacing w:after="0" w:line="271" w:lineRule="auto"/>
        <w:rPr>
          <w:sz w:val="20"/>
          <w:szCs w:val="20"/>
          <w:color w:val="auto"/>
        </w:rPr>
      </w:pPr>
      <w:r>
        <w:rPr>
          <w:rFonts w:ascii="Arial" w:cs="Arial" w:eastAsia="Arial" w:hAnsi="Arial"/>
          <w:sz w:val="17"/>
          <w:szCs w:val="17"/>
          <w:color w:val="auto"/>
        </w:rPr>
        <w:t>If Mr. Paterson’s employment is terminated by us without cause or by Mr. Paterson for good reason, in each case within 90 days prior to, or within 18 months following, a change in control, we would be obligated (1) to pay Mr. Paterson a lump sum amount equal to his then current annual base salary, (2) to accelerate the vesting of all outstanding equity awards and (3) to the extent allowed by applicable law and the applicable plan documents, to continue to provide Mr. Paterson with all health and dental benefits that he was receiving at the time of the termination of his employment for a period of 12 months following such termination (provided that such benefits shall end when Mr. Paterson becomes eligible to enroll in the health or dental plan of a new employer).</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Gregory Berk, M.D.</w:t>
      </w:r>
    </w:p>
    <w:p>
      <w:pPr>
        <w:spacing w:after="0" w:line="224" w:lineRule="exact"/>
        <w:rPr>
          <w:sz w:val="20"/>
          <w:szCs w:val="20"/>
          <w:color w:val="auto"/>
        </w:rPr>
      </w:pPr>
    </w:p>
    <w:p>
      <w:pPr>
        <w:ind w:left="160" w:right="219" w:firstLine="646"/>
        <w:spacing w:after="0" w:line="254" w:lineRule="auto"/>
        <w:rPr>
          <w:sz w:val="20"/>
          <w:szCs w:val="20"/>
          <w:color w:val="auto"/>
        </w:rPr>
      </w:pPr>
      <w:r>
        <w:rPr>
          <w:rFonts w:ascii="Arial" w:cs="Arial" w:eastAsia="Arial" w:hAnsi="Arial"/>
          <w:sz w:val="18"/>
          <w:szCs w:val="18"/>
          <w:color w:val="auto"/>
        </w:rPr>
        <w:t>Pursuant to his employment agreement, Dr. Berk was entitled to a base salary of $400,000 per year, subject to increase from time to time by the Board of Directors. He was eligible to receive a bonus of 40% of his annual base salary. Pursuant to the terms of his employment agreement, Dr. Berk was entitled to be granted a stock option to purchase 370,000 shares of our common stock and an additional performance-based stock option to purchase 92,500 shares of our common stock (which was increased to 100,000 shares of our common stock at the discretion of our Board of Directors).</w:t>
      </w:r>
    </w:p>
    <w:p>
      <w:pPr>
        <w:spacing w:after="0" w:line="193" w:lineRule="exact"/>
        <w:rPr>
          <w:sz w:val="20"/>
          <w:szCs w:val="20"/>
          <w:color w:val="auto"/>
        </w:rPr>
      </w:pPr>
    </w:p>
    <w:p>
      <w:pPr>
        <w:ind w:left="160" w:right="179" w:firstLine="646"/>
        <w:spacing w:after="0" w:line="258" w:lineRule="auto"/>
        <w:rPr>
          <w:sz w:val="20"/>
          <w:szCs w:val="20"/>
          <w:color w:val="auto"/>
        </w:rPr>
      </w:pPr>
      <w:r>
        <w:rPr>
          <w:rFonts w:ascii="Arial" w:cs="Arial" w:eastAsia="Arial" w:hAnsi="Arial"/>
          <w:sz w:val="18"/>
          <w:szCs w:val="18"/>
          <w:color w:val="auto"/>
        </w:rPr>
        <w:t>Subject to Dr. Berk’s execution of an effective release of claims, Dr. Berk’s employment agreement entitled him to the severance payments and benefits described below if we had terminated his employment without cause, as defined in his employment agreement, or if Dr. Berk terminated his employment for good reason, as defined in his employment agreement.</w:t>
      </w:r>
    </w:p>
    <w:p>
      <w:pPr>
        <w:spacing w:after="0" w:line="187" w:lineRule="exact"/>
        <w:rPr>
          <w:sz w:val="20"/>
          <w:szCs w:val="20"/>
          <w:color w:val="auto"/>
        </w:rPr>
      </w:pPr>
    </w:p>
    <w:p>
      <w:pPr>
        <w:ind w:left="160" w:right="139" w:firstLine="646"/>
        <w:spacing w:after="0" w:line="254" w:lineRule="auto"/>
        <w:rPr>
          <w:sz w:val="20"/>
          <w:szCs w:val="20"/>
          <w:color w:val="auto"/>
        </w:rPr>
      </w:pPr>
      <w:r>
        <w:rPr>
          <w:rFonts w:ascii="Arial" w:cs="Arial" w:eastAsia="Arial" w:hAnsi="Arial"/>
          <w:sz w:val="18"/>
          <w:szCs w:val="18"/>
          <w:color w:val="auto"/>
        </w:rPr>
        <w:t>If Dr. Berk’s employment had been terminated by us without cause or by Dr. Berk for good reason, absent a change in control, as defined in his employment agreement, he would have been entitled to payment of (1) a lump sum amount equal to 75% of his annual base salary, (2) a lump sum amount equal to nine times the full monthly premium cost of Dr. Berk’s participation in our group health and/or dental plans, (3) any base salary earned but not paid through the date of termination, and (4) any bonus awarded but not yet paid on the date of termination, paid at such time when bonuses are paid to our executives generally.</w:t>
      </w:r>
    </w:p>
    <w:p>
      <w:pPr>
        <w:spacing w:after="0" w:line="193" w:lineRule="exact"/>
        <w:rPr>
          <w:sz w:val="20"/>
          <w:szCs w:val="20"/>
          <w:color w:val="auto"/>
        </w:rPr>
      </w:pPr>
    </w:p>
    <w:p>
      <w:pPr>
        <w:ind w:left="160" w:right="199" w:firstLine="646"/>
        <w:spacing w:after="0" w:line="253" w:lineRule="auto"/>
        <w:rPr>
          <w:sz w:val="20"/>
          <w:szCs w:val="20"/>
          <w:color w:val="auto"/>
        </w:rPr>
      </w:pPr>
      <w:r>
        <w:rPr>
          <w:rFonts w:ascii="Arial" w:cs="Arial" w:eastAsia="Arial" w:hAnsi="Arial"/>
          <w:sz w:val="18"/>
          <w:szCs w:val="18"/>
          <w:color w:val="auto"/>
        </w:rPr>
        <w:t>If Dr. Berk’s employment had been terminated by us without cause or by Dr. Berk for good reason, in each case within 90 days prior to, or within 18 months following, a change in control, he would have been entitled to (in lieu of the payments described above) (1) payment of a lump sum amount equal to his then-current annual base salary, (2) accelerated vesting of all outstanding unvested equity awards that vest only based on the passage of time, (3) payment of a lump sum amount equal to twelve times the full monthly premium cost of Dr. Berk’s participation in our group health and/or dental plans, (4) payment of any base salary earned but not paid through the date of termination, and (5) payment of any bonus awarded but not yet paid on the date of termination, paid at such time when bonuses are paid to our executives generally.</w:t>
      </w:r>
    </w:p>
    <w:p>
      <w:pPr>
        <w:spacing w:after="0" w:line="192" w:lineRule="exact"/>
        <w:rPr>
          <w:sz w:val="20"/>
          <w:szCs w:val="20"/>
          <w:color w:val="auto"/>
        </w:rPr>
      </w:pPr>
    </w:p>
    <w:p>
      <w:pPr>
        <w:ind w:left="160" w:right="279" w:firstLine="646"/>
        <w:spacing w:after="0" w:line="270" w:lineRule="auto"/>
        <w:rPr>
          <w:sz w:val="20"/>
          <w:szCs w:val="20"/>
          <w:color w:val="auto"/>
        </w:rPr>
      </w:pPr>
      <w:r>
        <w:rPr>
          <w:rFonts w:ascii="Arial" w:cs="Arial" w:eastAsia="Arial" w:hAnsi="Arial"/>
          <w:sz w:val="17"/>
          <w:szCs w:val="17"/>
          <w:color w:val="auto"/>
        </w:rPr>
        <w:t>Dr. Berk resigned from the Company and entered into a separation agreement with us, effective as of January 19, 2017. Pursuant to the separation agreement, Dr. Berk is entitled to (1) payment of cash severance in the amount of $303,750 (with 50% of such amount paid as a lump sum and 50% paid over the six-month period following January 19, 2017), (2) payment of his 2016 bonus in the amount of approximately $106,667, (3) payment of an amount equal to the full monthly premium cost of Dr. Berk’s participation in our group health and/or dental plans for a period of up to nine months, and (4) continued vesting of the equity awards previously granted to Dr. Berk in April and June 2016, during such time when Dr. Berk serves as a consultant to the Company pursuant to a consulting agreement entered into contemporaneously with the separation agreement.</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Pension Benefits and Deferred Compensation</w:t>
      </w:r>
    </w:p>
    <w:p>
      <w:pPr>
        <w:spacing w:after="0" w:line="228" w:lineRule="exact"/>
        <w:rPr>
          <w:sz w:val="20"/>
          <w:szCs w:val="20"/>
          <w:color w:val="auto"/>
        </w:rPr>
      </w:pPr>
    </w:p>
    <w:p>
      <w:pPr>
        <w:ind w:left="160" w:right="299"/>
        <w:spacing w:after="0" w:line="274" w:lineRule="auto"/>
        <w:rPr>
          <w:sz w:val="20"/>
          <w:szCs w:val="20"/>
          <w:color w:val="auto"/>
        </w:rPr>
      </w:pPr>
      <w:r>
        <w:rPr>
          <w:rFonts w:ascii="Arial" w:cs="Arial" w:eastAsia="Arial" w:hAnsi="Arial"/>
          <w:sz w:val="17"/>
          <w:szCs w:val="17"/>
          <w:color w:val="auto"/>
        </w:rPr>
        <w:t>We maintain a defined contribution employee retirement plan for our employees. Our 401(k) plan is intended to qualify as a tax-qualified plan under Section 401(a) of the Code. Employee contributions may be made on a pre-tax basis or after-tax (Roth) basis. The 401(k) plan provides for employer matching contributions equal to (1) 100% of employee deferral contributions up to a deferral rate of 3% of eligible compensation plus (2) 50% of employee deferral contributions up to a deferral rate of an additional 2% of eligible compensation.</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224" w:lineRule="exact"/>
        <w:rPr>
          <w:sz w:val="20"/>
          <w:szCs w:val="20"/>
          <w:color w:val="auto"/>
        </w:rPr>
      </w:pPr>
    </w:p>
    <w:p>
      <w:pPr>
        <w:ind w:left="160" w:right="199" w:firstLine="646"/>
        <w:spacing w:after="0" w:line="276" w:lineRule="auto"/>
        <w:rPr>
          <w:sz w:val="20"/>
          <w:szCs w:val="20"/>
          <w:color w:val="auto"/>
        </w:rPr>
      </w:pPr>
      <w:r>
        <w:rPr>
          <w:rFonts w:ascii="Arial" w:cs="Arial" w:eastAsia="Arial" w:hAnsi="Arial"/>
          <w:sz w:val="18"/>
          <w:szCs w:val="18"/>
          <w:color w:val="auto"/>
        </w:rPr>
        <w:t>The following table provides information regarding equity awards held by each of our named executive officers that were outstanding as of December 31, 2016.</w:t>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Option Awards</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Securities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Exercisable (#)</w:t>
            </w: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Unexercisable (#)</w:t>
            </w:r>
          </w:p>
        </w:tc>
        <w:tc>
          <w:tcPr>
            <w:tcW w:w="2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Robert Forrester</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1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9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1/15/2023</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9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9/17/2023</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9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1/7/2024</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218,750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shd w:val="clear" w:color="auto" w:fill="CCEEFF"/>
              </w:rPr>
              <w:t>(4)</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13.59</w:t>
            </w:r>
          </w:p>
        </w:tc>
        <w:tc>
          <w:tcPr>
            <w:tcW w:w="9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shd w:val="clear" w:color="auto" w:fill="CCEEFF"/>
              </w:rPr>
              <w:t>1/7/2024</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9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1/8/2025</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11/8/2025</w:t>
            </w:r>
          </w:p>
        </w:tc>
        <w:tc>
          <w:tcPr>
            <w:tcW w:w="0" w:type="dxa"/>
            <w:vAlign w:val="bottom"/>
          </w:tcPr>
          <w:p>
            <w:pPr>
              <w:spacing w:after="0"/>
              <w:rPr>
                <w:sz w:val="1"/>
                <w:szCs w:val="1"/>
                <w:color w:val="auto"/>
              </w:rPr>
            </w:pPr>
          </w:p>
        </w:tc>
      </w:tr>
      <w:tr>
        <w:trPr>
          <w:trHeight w:val="201"/>
        </w:trPr>
        <w:tc>
          <w:tcPr>
            <w:tcW w:w="21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66,000</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66,000</w:t>
            </w:r>
          </w:p>
        </w:tc>
        <w:tc>
          <w:tcPr>
            <w:tcW w:w="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(7)</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1/1/2026</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w:t>
            </w: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6/14/2026</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Daniel Paterson</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75,000</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5,000</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90"/>
              </w:rPr>
              <w:t>(1)</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9.85</w:t>
            </w:r>
          </w:p>
        </w:tc>
        <w:tc>
          <w:tcPr>
            <w:tcW w:w="9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89"/>
              </w:rPr>
              <w:t>1/15/2023</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87,500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13.59</w:t>
            </w: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1/7/2024</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13.59</w:t>
            </w: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1/7/2024</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63,345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81,441</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9.19</w:t>
            </w: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1/8/2025</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67,000</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11/8/2025</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33,000</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1/1/2026</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6/14/2026</w:t>
            </w:r>
          </w:p>
        </w:tc>
        <w:tc>
          <w:tcPr>
            <w:tcW w:w="0" w:type="dxa"/>
            <w:vAlign w:val="bottom"/>
          </w:tcPr>
          <w:p>
            <w:pPr>
              <w:spacing w:after="0"/>
              <w:rPr>
                <w:sz w:val="1"/>
                <w:szCs w:val="1"/>
                <w:color w:val="auto"/>
              </w:rPr>
            </w:pPr>
          </w:p>
        </w:tc>
      </w:tr>
      <w:tr>
        <w:trPr>
          <w:trHeight w:val="215"/>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Berk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(9)</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900" w:type="dxa"/>
            <w:vAlign w:val="bottom"/>
            <w:gridSpan w:val="2"/>
            <w:vMerge w:val="restart"/>
            <w:shd w:val="clear" w:color="auto" w:fill="CCEEFF"/>
          </w:tcPr>
          <w:p>
            <w:pPr>
              <w:jc w:val="center"/>
              <w:ind w:left="50"/>
              <w:spacing w:after="0"/>
              <w:rPr>
                <w:sz w:val="20"/>
                <w:szCs w:val="20"/>
                <w:color w:val="auto"/>
              </w:rPr>
            </w:pPr>
            <w:r>
              <w:rPr>
                <w:rFonts w:ascii="Arial" w:cs="Arial" w:eastAsia="Arial" w:hAnsi="Arial"/>
                <w:sz w:val="18"/>
                <w:szCs w:val="18"/>
                <w:color w:val="auto"/>
                <w:w w:val="89"/>
              </w:rPr>
              <w:t>4/15/2026</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9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6/14/2026</w:t>
            </w:r>
          </w:p>
        </w:tc>
        <w:tc>
          <w:tcPr>
            <w:tcW w:w="0" w:type="dxa"/>
            <w:vAlign w:val="bottom"/>
          </w:tcPr>
          <w:p>
            <w:pPr>
              <w:spacing w:after="0"/>
              <w:rPr>
                <w:sz w:val="1"/>
                <w:szCs w:val="1"/>
                <w:color w:val="auto"/>
              </w:rPr>
            </w:pPr>
          </w:p>
        </w:tc>
      </w:tr>
      <w:tr>
        <w:trPr>
          <w:trHeight w:val="108"/>
        </w:trPr>
        <w:tc>
          <w:tcPr>
            <w:tcW w:w="218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60" w:right="159" w:hanging="214"/>
        <w:spacing w:after="0" w:line="258" w:lineRule="auto"/>
        <w:rPr>
          <w:sz w:val="20"/>
          <w:szCs w:val="20"/>
          <w:color w:val="auto"/>
        </w:rPr>
      </w:pPr>
      <w:r>
        <w:rPr>
          <w:rFonts w:ascii="Arial" w:cs="Arial" w:eastAsia="Arial" w:hAnsi="Arial"/>
          <w:sz w:val="18"/>
          <w:szCs w:val="18"/>
          <w:color w:val="auto"/>
        </w:rPr>
        <w:t>(1)This option was granted on January 15, 2013. The option vests as to 25% of the shares underlying the option on the first anniversary of the grant date and, thereafter, as to 6.25% of the shares underlying the option at the end of each successive three-month period following the first anniversary of the grant date until the fourth anniversary of the grant date.</w:t>
      </w:r>
    </w:p>
    <w:p>
      <w:pPr>
        <w:spacing w:after="0" w:line="187" w:lineRule="exact"/>
        <w:rPr>
          <w:sz w:val="20"/>
          <w:szCs w:val="20"/>
          <w:color w:val="auto"/>
        </w:rPr>
      </w:pPr>
    </w:p>
    <w:p>
      <w:pPr>
        <w:jc w:val="both"/>
        <w:ind w:left="360" w:right="279" w:hanging="214"/>
        <w:spacing w:after="0" w:line="262" w:lineRule="auto"/>
        <w:rPr>
          <w:sz w:val="20"/>
          <w:szCs w:val="20"/>
          <w:color w:val="auto"/>
        </w:rPr>
      </w:pPr>
      <w:r>
        <w:rPr>
          <w:rFonts w:ascii="Arial" w:cs="Arial" w:eastAsia="Arial" w:hAnsi="Arial"/>
          <w:sz w:val="18"/>
          <w:szCs w:val="18"/>
          <w:color w:val="auto"/>
        </w:rPr>
        <w:t>(2)This option was granted on September 17, 2013. The option vests as to 6.25% of the shares underlying the option on October 1, 2013 and, thereafter, as to 6.25% of the shares underlying the option at the end of each successive three-month period until July 1, 2017.</w:t>
      </w:r>
    </w:p>
    <w:p>
      <w:pPr>
        <w:spacing w:after="0" w:line="183" w:lineRule="exact"/>
        <w:rPr>
          <w:sz w:val="20"/>
          <w:szCs w:val="20"/>
          <w:color w:val="auto"/>
        </w:rPr>
      </w:pPr>
    </w:p>
    <w:p>
      <w:pPr>
        <w:ind w:left="360" w:right="199" w:hanging="214"/>
        <w:spacing w:after="0" w:line="262" w:lineRule="auto"/>
        <w:rPr>
          <w:sz w:val="20"/>
          <w:szCs w:val="20"/>
          <w:color w:val="auto"/>
        </w:rPr>
      </w:pPr>
      <w:r>
        <w:rPr>
          <w:rFonts w:ascii="Arial" w:cs="Arial" w:eastAsia="Arial" w:hAnsi="Arial"/>
          <w:sz w:val="18"/>
          <w:szCs w:val="18"/>
          <w:color w:val="auto"/>
        </w:rPr>
        <w:t>(3)This option was granted on January 7, 2014. The option vests as to 25% of the shares underlying the option on July 1, 2014 and, thereafter, as to 6.25% of the shares underlying the option on the last day of each calendar quarter after such date, through June 30, 2017.</w:t>
      </w:r>
    </w:p>
    <w:p>
      <w:pPr>
        <w:spacing w:after="0" w:line="183" w:lineRule="exact"/>
        <w:rPr>
          <w:sz w:val="20"/>
          <w:szCs w:val="20"/>
          <w:color w:val="auto"/>
        </w:rPr>
      </w:pPr>
    </w:p>
    <w:p>
      <w:pPr>
        <w:jc w:val="both"/>
        <w:ind w:left="360" w:right="439" w:hanging="214"/>
        <w:spacing w:after="0" w:line="262" w:lineRule="auto"/>
        <w:rPr>
          <w:sz w:val="20"/>
          <w:szCs w:val="20"/>
          <w:color w:val="auto"/>
        </w:rPr>
      </w:pPr>
      <w:r>
        <w:rPr>
          <w:rFonts w:ascii="Arial" w:cs="Arial" w:eastAsia="Arial" w:hAnsi="Arial"/>
          <w:sz w:val="18"/>
          <w:szCs w:val="18"/>
          <w:color w:val="auto"/>
        </w:rPr>
        <w:t>(4)This option was granted on January 7, 2014. The option vests as to 25% of the shares underlying the option on the first anniversary of the grant date and, thereafter, as to 6.25% of the shares underlying the option on the last day of each calendar quarter after such date, through December 31, 2017.</w:t>
      </w:r>
    </w:p>
    <w:p>
      <w:pPr>
        <w:spacing w:after="0" w:line="183" w:lineRule="exact"/>
        <w:rPr>
          <w:sz w:val="20"/>
          <w:szCs w:val="20"/>
          <w:color w:val="auto"/>
        </w:rPr>
      </w:pPr>
    </w:p>
    <w:p>
      <w:pPr>
        <w:ind w:left="360" w:right="159" w:hanging="214"/>
        <w:spacing w:after="0" w:line="258" w:lineRule="auto"/>
        <w:rPr>
          <w:sz w:val="20"/>
          <w:szCs w:val="20"/>
          <w:color w:val="auto"/>
        </w:rPr>
      </w:pPr>
      <w:r>
        <w:rPr>
          <w:rFonts w:ascii="Arial" w:cs="Arial" w:eastAsia="Arial" w:hAnsi="Arial"/>
          <w:sz w:val="18"/>
          <w:szCs w:val="18"/>
          <w:color w:val="auto"/>
        </w:rPr>
        <w:t>(5)This option was granted on January 8, 2015. The option vests as to 25% of the shares underlying the option on the first anniversary of the grant date and, thereafter, as to 6.25% of the shares underlying the option at the end of each successive three-month period following the first anniversary of the grant date until the fourth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left="360" w:right="259" w:hanging="214"/>
        <w:spacing w:after="0" w:line="262" w:lineRule="auto"/>
        <w:rPr>
          <w:sz w:val="20"/>
          <w:szCs w:val="20"/>
          <w:color w:val="auto"/>
        </w:rPr>
      </w:pPr>
      <w:r>
        <w:rPr>
          <w:rFonts w:ascii="Arial" w:cs="Arial" w:eastAsia="Arial" w:hAnsi="Arial"/>
          <w:sz w:val="18"/>
          <w:szCs w:val="18"/>
          <w:color w:val="auto"/>
        </w:rPr>
        <w:t>(6)This option was granted on November 9, 2015. The option vests as to 50% of the shares underlying the option on the first anniversary of the grant date and, thereafter, as to the remaining 50% of the shares underlying the option on the second anniversary of the grant date.</w:t>
      </w:r>
    </w:p>
    <w:p>
      <w:pPr>
        <w:spacing w:after="0" w:line="183" w:lineRule="exact"/>
        <w:rPr>
          <w:sz w:val="20"/>
          <w:szCs w:val="20"/>
          <w:color w:val="auto"/>
        </w:rPr>
      </w:pPr>
    </w:p>
    <w:p>
      <w:pPr>
        <w:ind w:left="360" w:right="219" w:hanging="214"/>
        <w:spacing w:after="0" w:line="340" w:lineRule="auto"/>
        <w:rPr>
          <w:sz w:val="20"/>
          <w:szCs w:val="20"/>
          <w:color w:val="auto"/>
        </w:rPr>
      </w:pPr>
      <w:r>
        <w:rPr>
          <w:rFonts w:ascii="Arial" w:cs="Arial" w:eastAsia="Arial" w:hAnsi="Arial"/>
          <w:sz w:val="16"/>
          <w:szCs w:val="16"/>
          <w:color w:val="auto"/>
        </w:rPr>
        <w:t>(7)This option was granted on January 1, 2016. The option vests as to 50% of the shares underlying the option on November 9, 2016 and, thereafter, as to the remaining 50% of the shares underlying the option on November 9, 2017.</w:t>
      </w:r>
    </w:p>
    <w:p>
      <w:pPr>
        <w:spacing w:after="0" w:line="125" w:lineRule="exact"/>
        <w:rPr>
          <w:sz w:val="20"/>
          <w:szCs w:val="20"/>
          <w:color w:val="auto"/>
        </w:rPr>
      </w:pPr>
    </w:p>
    <w:p>
      <w:pPr>
        <w:ind w:left="360" w:right="379" w:hanging="214"/>
        <w:spacing w:after="0" w:line="285" w:lineRule="auto"/>
        <w:rPr>
          <w:sz w:val="20"/>
          <w:szCs w:val="20"/>
          <w:color w:val="auto"/>
        </w:rPr>
      </w:pPr>
      <w:r>
        <w:rPr>
          <w:rFonts w:ascii="Arial" w:cs="Arial" w:eastAsia="Arial" w:hAnsi="Arial"/>
          <w:sz w:val="17"/>
          <w:szCs w:val="17"/>
          <w:color w:val="auto"/>
        </w:rPr>
        <w:t>(8)This option was granted on June 14, 2016. The option vests as to 50% of the shares underlying the option upon satisfaction of a certain performance milestone by June 2017, and, thereafter, as to the remaining 50% of the shares underlying the option upon satisfaction of a certain performance milestone by June 2018.</w:t>
      </w:r>
    </w:p>
    <w:p>
      <w:pPr>
        <w:spacing w:after="0" w:line="165" w:lineRule="exact"/>
        <w:rPr>
          <w:sz w:val="20"/>
          <w:szCs w:val="20"/>
          <w:color w:val="auto"/>
        </w:rPr>
      </w:pPr>
    </w:p>
    <w:p>
      <w:pPr>
        <w:ind w:left="360" w:right="159" w:hanging="214"/>
        <w:spacing w:after="0" w:line="258" w:lineRule="auto"/>
        <w:rPr>
          <w:sz w:val="20"/>
          <w:szCs w:val="20"/>
          <w:color w:val="auto"/>
        </w:rPr>
      </w:pPr>
      <w:r>
        <w:rPr>
          <w:rFonts w:ascii="Arial" w:cs="Arial" w:eastAsia="Arial" w:hAnsi="Arial"/>
          <w:sz w:val="18"/>
          <w:szCs w:val="18"/>
          <w:color w:val="auto"/>
        </w:rPr>
        <w:t>(9)This option was granted on April 15, 2016. The option vests as to 25% of the shares underlying the option on the first anniversary of the grant date and, thereafter, as to 6.25% of the shares underlying the option at the end of each successive three-month period following the first anniversary of the grant date until the fourth anniversary of the grant date.</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2016 Director Compensation</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summarizes the compensation paid to or earned by our directors during the year ended</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2016:</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Fees Earned</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7"/>
              </w:rPr>
              <w:t>or Paid in</w:t>
            </w:r>
          </w:p>
        </w:tc>
        <w:tc>
          <w:tcPr>
            <w:tcW w:w="9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0"/>
              </w:rPr>
              <w:t>Awards</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6120" w:type="dxa"/>
            <w:vAlign w:val="bottom"/>
            <w:gridSpan w:val="3"/>
            <w:vMerge w:val="continue"/>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Cash ($)</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($)(1)(2)</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Timothy Barberich</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22,794</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75,794</w:t>
            </w:r>
          </w:p>
        </w:tc>
        <w:tc>
          <w:tcPr>
            <w:tcW w:w="0" w:type="dxa"/>
            <w:vAlign w:val="bottom"/>
          </w:tcPr>
          <w:p>
            <w:pPr>
              <w:spacing w:after="0"/>
              <w:rPr>
                <w:sz w:val="1"/>
                <w:szCs w:val="1"/>
                <w:color w:val="auto"/>
              </w:rPr>
            </w:pPr>
          </w:p>
        </w:tc>
      </w:tr>
      <w:tr>
        <w:trPr>
          <w:trHeight w:val="215"/>
        </w:trPr>
        <w:tc>
          <w:tcPr>
            <w:tcW w:w="6120" w:type="dxa"/>
            <w:vAlign w:val="bottom"/>
            <w:gridSpan w:val="3"/>
          </w:tcPr>
          <w:p>
            <w:pPr>
              <w:spacing w:after="0"/>
              <w:rPr>
                <w:sz w:val="20"/>
                <w:szCs w:val="20"/>
                <w:color w:val="auto"/>
              </w:rPr>
            </w:pPr>
            <w:r>
              <w:rPr>
                <w:rFonts w:ascii="Arial" w:cs="Arial" w:eastAsia="Arial" w:hAnsi="Arial"/>
                <w:sz w:val="18"/>
                <w:szCs w:val="18"/>
                <w:color w:val="auto"/>
              </w:rPr>
              <w:t>Paul Friedman, M.D.</w:t>
            </w:r>
          </w:p>
        </w:tc>
        <w:tc>
          <w:tcPr>
            <w:tcW w:w="800" w:type="dxa"/>
            <w:vAlign w:val="bottom"/>
          </w:tcPr>
          <w:p>
            <w:pPr>
              <w:jc w:val="right"/>
              <w:spacing w:after="0"/>
              <w:rPr>
                <w:sz w:val="20"/>
                <w:szCs w:val="20"/>
                <w:color w:val="auto"/>
              </w:rPr>
            </w:pPr>
            <w:r>
              <w:rPr>
                <w:rFonts w:ascii="Arial" w:cs="Arial" w:eastAsia="Arial" w:hAnsi="Arial"/>
                <w:sz w:val="18"/>
                <w:szCs w:val="18"/>
                <w:color w:val="auto"/>
              </w:rPr>
              <w:t>47,738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22,794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70,532</w:t>
            </w:r>
          </w:p>
        </w:tc>
        <w:tc>
          <w:tcPr>
            <w:tcW w:w="0" w:type="dxa"/>
            <w:vAlign w:val="bottom"/>
          </w:tcPr>
          <w:p>
            <w:pPr>
              <w:spacing w:after="0"/>
              <w:rPr>
                <w:sz w:val="1"/>
                <w:szCs w:val="1"/>
                <w:color w:val="auto"/>
              </w:rPr>
            </w:pPr>
          </w:p>
        </w:tc>
      </w:tr>
      <w:tr>
        <w:trPr>
          <w:trHeight w:val="215"/>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Kauffman, M.D., Ph.D.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90,482</w:t>
            </w:r>
          </w:p>
        </w:tc>
        <w:tc>
          <w:tcPr>
            <w:tcW w:w="0" w:type="dxa"/>
            <w:vAlign w:val="bottom"/>
          </w:tcPr>
          <w:p>
            <w:pPr>
              <w:spacing w:after="0"/>
              <w:rPr>
                <w:sz w:val="1"/>
                <w:szCs w:val="1"/>
                <w:color w:val="auto"/>
              </w:rPr>
            </w:pPr>
          </w:p>
        </w:tc>
      </w:tr>
      <w:tr>
        <w:trPr>
          <w:trHeight w:val="215"/>
        </w:trPr>
        <w:tc>
          <w:tcPr>
            <w:tcW w:w="6120" w:type="dxa"/>
            <w:vAlign w:val="bottom"/>
            <w:gridSpan w:val="3"/>
          </w:tcPr>
          <w:p>
            <w:pPr>
              <w:spacing w:after="0"/>
              <w:rPr>
                <w:sz w:val="20"/>
                <w:szCs w:val="20"/>
                <w:color w:val="auto"/>
              </w:rPr>
            </w:pPr>
            <w:r>
              <w:rPr>
                <w:rFonts w:ascii="Arial" w:cs="Arial" w:eastAsia="Arial" w:hAnsi="Arial"/>
                <w:sz w:val="18"/>
                <w:szCs w:val="18"/>
                <w:color w:val="auto"/>
              </w:rPr>
              <w:t>Alison Lawton</w:t>
            </w:r>
          </w:p>
        </w:tc>
        <w:tc>
          <w:tcPr>
            <w:tcW w:w="800" w:type="dxa"/>
            <w:vAlign w:val="bottom"/>
          </w:tcPr>
          <w:p>
            <w:pPr>
              <w:jc w:val="right"/>
              <w:spacing w:after="0"/>
              <w:rPr>
                <w:sz w:val="20"/>
                <w:szCs w:val="20"/>
                <w:color w:val="auto"/>
              </w:rPr>
            </w:pPr>
            <w:r>
              <w:rPr>
                <w:rFonts w:ascii="Arial" w:cs="Arial" w:eastAsia="Arial" w:hAnsi="Arial"/>
                <w:sz w:val="18"/>
                <w:szCs w:val="18"/>
                <w:color w:val="auto"/>
              </w:rPr>
              <w:t>50,928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22,794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73,722</w:t>
            </w:r>
          </w:p>
        </w:tc>
        <w:tc>
          <w:tcPr>
            <w:tcW w:w="0" w:type="dxa"/>
            <w:vAlign w:val="bottom"/>
          </w:tcPr>
          <w:p>
            <w:pPr>
              <w:spacing w:after="0"/>
              <w:rPr>
                <w:sz w:val="1"/>
                <w:szCs w:val="1"/>
                <w:color w:val="auto"/>
              </w:rPr>
            </w:pPr>
          </w:p>
        </w:tc>
      </w:tr>
      <w:tr>
        <w:trPr>
          <w:trHeight w:val="215"/>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Louise Phanstiel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82,794</w:t>
            </w:r>
          </w:p>
        </w:tc>
        <w:tc>
          <w:tcPr>
            <w:tcW w:w="0" w:type="dxa"/>
            <w:vAlign w:val="bottom"/>
          </w:tcPr>
          <w:p>
            <w:pPr>
              <w:spacing w:after="0"/>
              <w:rPr>
                <w:sz w:val="1"/>
                <w:szCs w:val="1"/>
                <w:color w:val="auto"/>
              </w:rPr>
            </w:pPr>
          </w:p>
        </w:tc>
      </w:tr>
      <w:tr>
        <w:trPr>
          <w:trHeight w:val="215"/>
        </w:trPr>
        <w:tc>
          <w:tcPr>
            <w:tcW w:w="6120" w:type="dxa"/>
            <w:vAlign w:val="bottom"/>
            <w:gridSpan w:val="3"/>
          </w:tcPr>
          <w:p>
            <w:pPr>
              <w:spacing w:after="0"/>
              <w:rPr>
                <w:sz w:val="20"/>
                <w:szCs w:val="20"/>
                <w:color w:val="auto"/>
              </w:rPr>
            </w:pPr>
            <w:r>
              <w:rPr>
                <w:rFonts w:ascii="Arial" w:cs="Arial" w:eastAsia="Arial" w:hAnsi="Arial"/>
                <w:sz w:val="18"/>
                <w:szCs w:val="18"/>
                <w:color w:val="auto"/>
              </w:rPr>
              <w:t>Stephen Sherwin, M.D., Ph.D. (3)</w:t>
            </w:r>
          </w:p>
        </w:tc>
        <w:tc>
          <w:tcPr>
            <w:tcW w:w="800" w:type="dxa"/>
            <w:vAlign w:val="bottom"/>
          </w:tcPr>
          <w:p>
            <w:pPr>
              <w:jc w:val="right"/>
              <w:spacing w:after="0"/>
              <w:rPr>
                <w:sz w:val="20"/>
                <w:szCs w:val="20"/>
                <w:color w:val="auto"/>
              </w:rPr>
            </w:pPr>
            <w:r>
              <w:rPr>
                <w:rFonts w:ascii="Arial" w:cs="Arial" w:eastAsia="Arial" w:hAnsi="Arial"/>
                <w:sz w:val="18"/>
                <w:szCs w:val="18"/>
                <w:color w:val="auto"/>
              </w:rPr>
              <w:t>37,414</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37,414</w:t>
            </w:r>
          </w:p>
        </w:tc>
        <w:tc>
          <w:tcPr>
            <w:tcW w:w="0" w:type="dxa"/>
            <w:vAlign w:val="bottom"/>
          </w:tcPr>
          <w:p>
            <w:pPr>
              <w:spacing w:after="0"/>
              <w:rPr>
                <w:sz w:val="1"/>
                <w:szCs w:val="1"/>
                <w:color w:val="auto"/>
              </w:rPr>
            </w:pPr>
          </w:p>
        </w:tc>
      </w:tr>
      <w:tr>
        <w:trPr>
          <w:trHeight w:val="215"/>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Henri Termeer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33,938</w:t>
            </w:r>
          </w:p>
        </w:tc>
        <w:tc>
          <w:tcPr>
            <w:tcW w:w="0" w:type="dxa"/>
            <w:vAlign w:val="bottom"/>
          </w:tcPr>
          <w:p>
            <w:pPr>
              <w:spacing w:after="0"/>
              <w:rPr>
                <w:sz w:val="1"/>
                <w:szCs w:val="1"/>
                <w:color w:val="auto"/>
              </w:rPr>
            </w:pPr>
          </w:p>
        </w:tc>
      </w:tr>
      <w:tr>
        <w:trPr>
          <w:trHeight w:val="215"/>
        </w:trPr>
        <w:tc>
          <w:tcPr>
            <w:tcW w:w="6120" w:type="dxa"/>
            <w:vAlign w:val="bottom"/>
            <w:gridSpan w:val="3"/>
          </w:tcPr>
          <w:p>
            <w:pPr>
              <w:spacing w:after="0"/>
              <w:rPr>
                <w:sz w:val="20"/>
                <w:szCs w:val="20"/>
                <w:color w:val="auto"/>
              </w:rPr>
            </w:pPr>
            <w:r>
              <w:rPr>
                <w:rFonts w:ascii="Arial" w:cs="Arial" w:eastAsia="Arial" w:hAnsi="Arial"/>
                <w:sz w:val="18"/>
                <w:szCs w:val="18"/>
                <w:color w:val="auto"/>
              </w:rPr>
              <w:t>Bruce Wendel</w:t>
            </w:r>
          </w:p>
        </w:tc>
        <w:tc>
          <w:tcPr>
            <w:tcW w:w="800" w:type="dxa"/>
            <w:vAlign w:val="bottom"/>
          </w:tcPr>
          <w:p>
            <w:pPr>
              <w:jc w:val="right"/>
              <w:spacing w:after="0"/>
              <w:rPr>
                <w:sz w:val="20"/>
                <w:szCs w:val="20"/>
                <w:color w:val="auto"/>
              </w:rPr>
            </w:pPr>
            <w:r>
              <w:rPr>
                <w:rFonts w:ascii="Arial" w:cs="Arial" w:eastAsia="Arial" w:hAnsi="Arial"/>
                <w:sz w:val="18"/>
                <w:szCs w:val="18"/>
                <w:color w:val="auto"/>
              </w:rPr>
              <w:t>27,923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45,589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73,512</w:t>
            </w:r>
          </w:p>
        </w:tc>
        <w:tc>
          <w:tcPr>
            <w:tcW w:w="0" w:type="dxa"/>
            <w:vAlign w:val="bottom"/>
          </w:tcPr>
          <w:p>
            <w:pPr>
              <w:spacing w:after="0"/>
              <w:rPr>
                <w:sz w:val="1"/>
                <w:szCs w:val="1"/>
                <w:color w:val="auto"/>
              </w:rPr>
            </w:pPr>
          </w:p>
        </w:tc>
      </w:tr>
      <w:tr>
        <w:trPr>
          <w:trHeight w:val="215"/>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Westphal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w:t>
            </w:r>
          </w:p>
        </w:tc>
        <w:tc>
          <w:tcPr>
            <w:tcW w:w="0" w:type="dxa"/>
            <w:vAlign w:val="bottom"/>
          </w:tcPr>
          <w:p>
            <w:pPr>
              <w:spacing w:after="0"/>
              <w:rPr>
                <w:sz w:val="1"/>
                <w:szCs w:val="1"/>
                <w:color w:val="auto"/>
              </w:rPr>
            </w:pPr>
          </w:p>
        </w:tc>
      </w:tr>
      <w:tr>
        <w:trPr>
          <w:trHeight w:val="108"/>
        </w:trPr>
        <w:tc>
          <w:tcPr>
            <w:tcW w:w="218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60" w:right="179" w:hanging="214"/>
        <w:spacing w:after="0" w:line="254" w:lineRule="auto"/>
        <w:rPr>
          <w:sz w:val="20"/>
          <w:szCs w:val="20"/>
          <w:color w:val="auto"/>
        </w:rPr>
      </w:pPr>
      <w:r>
        <w:rPr>
          <w:rFonts w:ascii="Arial" w:cs="Arial" w:eastAsia="Arial" w:hAnsi="Arial"/>
          <w:sz w:val="18"/>
          <w:szCs w:val="18"/>
          <w:color w:val="auto"/>
        </w:rPr>
        <w:t>(1)Amounts shown represent the aggregate grant date fair value of stock option awards granted to the director and calculated in accordance with FASB ASC Topic 718, disregarding adjustments for forfeiture assumptions. For information regarding assumptions underlying the value of stock awards, see Note 7 to our financial statements and the discussion under Part II, Item 7 “Management’s Discussion and Analysis of Financial Condition and Results of Operations—Critical Accounting Policies—Stock-Based Compensation,” of this Annual Report on Form 10-K for the year ended December 31, 2016.</w:t>
      </w:r>
    </w:p>
    <w:p>
      <w:pPr>
        <w:spacing w:after="0" w:line="193" w:lineRule="exact"/>
        <w:rPr>
          <w:sz w:val="20"/>
          <w:szCs w:val="20"/>
          <w:color w:val="auto"/>
        </w:rPr>
      </w:pPr>
    </w:p>
    <w:p>
      <w:pPr>
        <w:ind w:left="360" w:right="259" w:hanging="214"/>
        <w:spacing w:after="0" w:line="262" w:lineRule="auto"/>
        <w:rPr>
          <w:sz w:val="20"/>
          <w:szCs w:val="20"/>
          <w:color w:val="auto"/>
        </w:rPr>
      </w:pPr>
      <w:r>
        <w:rPr>
          <w:rFonts w:ascii="Arial" w:cs="Arial" w:eastAsia="Arial" w:hAnsi="Arial"/>
          <w:sz w:val="18"/>
          <w:szCs w:val="18"/>
          <w:color w:val="auto"/>
        </w:rPr>
        <w:t>(2)The number of stock options awarded to any non-employee director who received a grant during 2016 was 25,000, with the exception of Mr. Wendel who received 50,000 stock options as a result of his new appointment to our Board of Directors.</w:t>
      </w:r>
    </w:p>
    <w:p>
      <w:pPr>
        <w:spacing w:after="0" w:line="183" w:lineRule="exact"/>
        <w:rPr>
          <w:sz w:val="20"/>
          <w:szCs w:val="20"/>
          <w:color w:val="auto"/>
        </w:rPr>
      </w:pPr>
    </w:p>
    <w:p>
      <w:pPr>
        <w:ind w:left="360" w:right="239" w:hanging="214"/>
        <w:spacing w:after="0" w:line="276" w:lineRule="auto"/>
        <w:rPr>
          <w:sz w:val="20"/>
          <w:szCs w:val="20"/>
          <w:color w:val="auto"/>
        </w:rPr>
      </w:pPr>
      <w:r>
        <w:rPr>
          <w:rFonts w:ascii="Arial" w:cs="Arial" w:eastAsia="Arial" w:hAnsi="Arial"/>
          <w:sz w:val="18"/>
          <w:szCs w:val="18"/>
          <w:color w:val="auto"/>
        </w:rPr>
        <w:t>(3)Fees earned by Dr. Sherwin consist of $24,887 earned as a director and $12,527 earned as an advisor to the Company after his resignation from our Board of Directors on June 14, 2016.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right="179" w:firstLine="646"/>
        <w:spacing w:after="0" w:line="276" w:lineRule="auto"/>
        <w:rPr>
          <w:sz w:val="20"/>
          <w:szCs w:val="20"/>
          <w:color w:val="auto"/>
        </w:rPr>
      </w:pPr>
      <w:r>
        <w:rPr>
          <w:rFonts w:ascii="Arial" w:cs="Arial" w:eastAsia="Arial" w:hAnsi="Arial"/>
          <w:sz w:val="18"/>
          <w:szCs w:val="18"/>
          <w:color w:val="auto"/>
        </w:rPr>
        <w:t>The following table sets forth, as of December 31, 2016, the aggregate number of exercisable and unexercisable stock option awards held by our directors:</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 Awards</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Unexercisable (#)</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Exercisable (#)</w:t>
            </w:r>
          </w:p>
        </w:tc>
        <w:tc>
          <w:tcPr>
            <w:tcW w:w="12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Timothy Barberich</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85,099</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97,597</w:t>
            </w:r>
          </w:p>
        </w:tc>
        <w:tc>
          <w:tcPr>
            <w:tcW w:w="0" w:type="dxa"/>
            <w:vAlign w:val="bottom"/>
          </w:tcPr>
          <w:p>
            <w:pPr>
              <w:spacing w:after="0"/>
              <w:rPr>
                <w:sz w:val="1"/>
                <w:szCs w:val="1"/>
                <w:color w:val="auto"/>
              </w:rPr>
            </w:pPr>
          </w:p>
        </w:tc>
      </w:tr>
      <w:tr>
        <w:trPr>
          <w:trHeight w:val="215"/>
        </w:trPr>
        <w:tc>
          <w:tcPr>
            <w:tcW w:w="5660" w:type="dxa"/>
            <w:vAlign w:val="bottom"/>
            <w:gridSpan w:val="2"/>
          </w:tcPr>
          <w:p>
            <w:pPr>
              <w:spacing w:after="0"/>
              <w:rPr>
                <w:sz w:val="20"/>
                <w:szCs w:val="20"/>
                <w:color w:val="auto"/>
              </w:rPr>
            </w:pPr>
            <w:r>
              <w:rPr>
                <w:rFonts w:ascii="Arial" w:cs="Arial" w:eastAsia="Arial" w:hAnsi="Arial"/>
                <w:sz w:val="18"/>
                <w:szCs w:val="18"/>
                <w:color w:val="auto"/>
              </w:rPr>
              <w:t>Paul Friedman, M.D.</w:t>
            </w:r>
          </w:p>
        </w:tc>
        <w:tc>
          <w:tcPr>
            <w:tcW w:w="980" w:type="dxa"/>
            <w:vAlign w:val="bottom"/>
          </w:tcPr>
          <w:p>
            <w:pPr>
              <w:jc w:val="right"/>
              <w:spacing w:after="0"/>
              <w:rPr>
                <w:sz w:val="20"/>
                <w:szCs w:val="20"/>
                <w:color w:val="auto"/>
              </w:rPr>
            </w:pPr>
            <w:r>
              <w:rPr>
                <w:rFonts w:ascii="Arial" w:cs="Arial" w:eastAsia="Arial" w:hAnsi="Arial"/>
                <w:sz w:val="18"/>
                <w:szCs w:val="18"/>
                <w:color w:val="auto"/>
              </w:rPr>
              <w:t>81,997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94,495</w:t>
            </w:r>
          </w:p>
        </w:tc>
        <w:tc>
          <w:tcPr>
            <w:tcW w:w="0" w:type="dxa"/>
            <w:vAlign w:val="bottom"/>
          </w:tcPr>
          <w:p>
            <w:pPr>
              <w:spacing w:after="0"/>
              <w:rPr>
                <w:sz w:val="1"/>
                <w:szCs w:val="1"/>
                <w:color w:val="auto"/>
              </w:rPr>
            </w:pPr>
          </w:p>
        </w:tc>
      </w:tr>
      <w:tr>
        <w:trPr>
          <w:trHeight w:val="215"/>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Kauffman, M.D., Ph.D.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111,976</w:t>
            </w:r>
          </w:p>
        </w:tc>
        <w:tc>
          <w:tcPr>
            <w:tcW w:w="0" w:type="dxa"/>
            <w:vAlign w:val="bottom"/>
          </w:tcPr>
          <w:p>
            <w:pPr>
              <w:spacing w:after="0"/>
              <w:rPr>
                <w:sz w:val="1"/>
                <w:szCs w:val="1"/>
                <w:color w:val="auto"/>
              </w:rPr>
            </w:pPr>
          </w:p>
        </w:tc>
      </w:tr>
      <w:tr>
        <w:trPr>
          <w:trHeight w:val="215"/>
        </w:trPr>
        <w:tc>
          <w:tcPr>
            <w:tcW w:w="5660" w:type="dxa"/>
            <w:vAlign w:val="bottom"/>
            <w:gridSpan w:val="2"/>
          </w:tcPr>
          <w:p>
            <w:pPr>
              <w:spacing w:after="0"/>
              <w:rPr>
                <w:sz w:val="20"/>
                <w:szCs w:val="20"/>
                <w:color w:val="auto"/>
              </w:rPr>
            </w:pPr>
            <w:r>
              <w:rPr>
                <w:rFonts w:ascii="Arial" w:cs="Arial" w:eastAsia="Arial" w:hAnsi="Arial"/>
                <w:sz w:val="18"/>
                <w:szCs w:val="18"/>
                <w:color w:val="auto"/>
              </w:rPr>
              <w:t>Alison Lawton</w:t>
            </w:r>
          </w:p>
        </w:tc>
        <w:tc>
          <w:tcPr>
            <w:tcW w:w="980" w:type="dxa"/>
            <w:vAlign w:val="bottom"/>
          </w:tcPr>
          <w:p>
            <w:pPr>
              <w:jc w:val="right"/>
              <w:spacing w:after="0"/>
              <w:rPr>
                <w:sz w:val="20"/>
                <w:szCs w:val="20"/>
                <w:color w:val="auto"/>
              </w:rPr>
            </w:pPr>
            <w:r>
              <w:rPr>
                <w:rFonts w:ascii="Arial" w:cs="Arial" w:eastAsia="Arial" w:hAnsi="Arial"/>
                <w:sz w:val="18"/>
                <w:szCs w:val="18"/>
                <w:color w:val="auto"/>
              </w:rPr>
              <w:t>99,478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111,976</w:t>
            </w:r>
          </w:p>
        </w:tc>
        <w:tc>
          <w:tcPr>
            <w:tcW w:w="0" w:type="dxa"/>
            <w:vAlign w:val="bottom"/>
          </w:tcPr>
          <w:p>
            <w:pPr>
              <w:spacing w:after="0"/>
              <w:rPr>
                <w:sz w:val="1"/>
                <w:szCs w:val="1"/>
                <w:color w:val="auto"/>
              </w:rPr>
            </w:pPr>
          </w:p>
        </w:tc>
      </w:tr>
      <w:tr>
        <w:trPr>
          <w:trHeight w:val="215"/>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Louise Phanstiel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114,339</w:t>
            </w:r>
          </w:p>
        </w:tc>
        <w:tc>
          <w:tcPr>
            <w:tcW w:w="0" w:type="dxa"/>
            <w:vAlign w:val="bottom"/>
          </w:tcPr>
          <w:p>
            <w:pPr>
              <w:spacing w:after="0"/>
              <w:rPr>
                <w:sz w:val="1"/>
                <w:szCs w:val="1"/>
                <w:color w:val="auto"/>
              </w:rPr>
            </w:pPr>
          </w:p>
        </w:tc>
      </w:tr>
      <w:tr>
        <w:trPr>
          <w:trHeight w:val="215"/>
        </w:trPr>
        <w:tc>
          <w:tcPr>
            <w:tcW w:w="5660" w:type="dxa"/>
            <w:vAlign w:val="bottom"/>
            <w:gridSpan w:val="2"/>
          </w:tcPr>
          <w:p>
            <w:pPr>
              <w:spacing w:after="0"/>
              <w:rPr>
                <w:sz w:val="20"/>
                <w:szCs w:val="20"/>
                <w:color w:val="auto"/>
              </w:rPr>
            </w:pPr>
            <w:r>
              <w:rPr>
                <w:rFonts w:ascii="Arial" w:cs="Arial" w:eastAsia="Arial" w:hAnsi="Arial"/>
                <w:sz w:val="18"/>
                <w:szCs w:val="18"/>
                <w:color w:val="auto"/>
              </w:rPr>
              <w:t>Stephen Sherwin, M.D., Ph.D.</w:t>
            </w:r>
          </w:p>
        </w:tc>
        <w:tc>
          <w:tcPr>
            <w:tcW w:w="980" w:type="dxa"/>
            <w:vAlign w:val="bottom"/>
          </w:tcPr>
          <w:p>
            <w:pPr>
              <w:jc w:val="right"/>
              <w:spacing w:after="0"/>
              <w:rPr>
                <w:sz w:val="20"/>
                <w:szCs w:val="20"/>
                <w:color w:val="auto"/>
              </w:rPr>
            </w:pPr>
            <w:r>
              <w:rPr>
                <w:rFonts w:ascii="Arial" w:cs="Arial" w:eastAsia="Arial" w:hAnsi="Arial"/>
                <w:sz w:val="18"/>
                <w:szCs w:val="18"/>
                <w:color w:val="auto"/>
              </w:rPr>
              <w:t>83,585</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83,585</w:t>
            </w:r>
          </w:p>
        </w:tc>
        <w:tc>
          <w:tcPr>
            <w:tcW w:w="0" w:type="dxa"/>
            <w:vAlign w:val="bottom"/>
          </w:tcPr>
          <w:p>
            <w:pPr>
              <w:spacing w:after="0"/>
              <w:rPr>
                <w:sz w:val="1"/>
                <w:szCs w:val="1"/>
                <w:color w:val="auto"/>
              </w:rPr>
            </w:pPr>
          </w:p>
        </w:tc>
      </w:tr>
      <w:tr>
        <w:trPr>
          <w:trHeight w:val="215"/>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Termeer</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660" w:type="dxa"/>
            <w:vAlign w:val="bottom"/>
            <w:gridSpan w:val="2"/>
          </w:tcPr>
          <w:p>
            <w:pPr>
              <w:spacing w:after="0"/>
              <w:rPr>
                <w:sz w:val="20"/>
                <w:szCs w:val="20"/>
                <w:color w:val="auto"/>
              </w:rPr>
            </w:pPr>
            <w:r>
              <w:rPr>
                <w:rFonts w:ascii="Arial" w:cs="Arial" w:eastAsia="Arial" w:hAnsi="Arial"/>
                <w:sz w:val="18"/>
                <w:szCs w:val="18"/>
                <w:color w:val="auto"/>
              </w:rPr>
              <w:t>Bruce Wendel</w:t>
            </w:r>
          </w:p>
        </w:tc>
        <w:tc>
          <w:tcPr>
            <w:tcW w:w="980" w:type="dxa"/>
            <w:vAlign w:val="bottom"/>
          </w:tcPr>
          <w:p>
            <w:pPr>
              <w:jc w:val="right"/>
              <w:spacing w:after="0"/>
              <w:rPr>
                <w:sz w:val="20"/>
                <w:szCs w:val="20"/>
                <w:color w:val="auto"/>
              </w:rPr>
            </w:pPr>
            <w:r>
              <w:rPr>
                <w:rFonts w:ascii="Arial" w:cs="Arial" w:eastAsia="Arial" w:hAnsi="Arial"/>
                <w:sz w:val="18"/>
                <w:szCs w:val="18"/>
                <w:color w:val="auto"/>
              </w:rPr>
              <w:t>25,002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24,998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5"/>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Westphal</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Non-Employee Director Compensation</w:t>
      </w:r>
    </w:p>
    <w:p>
      <w:pPr>
        <w:spacing w:after="0" w:line="224" w:lineRule="exact"/>
        <w:rPr>
          <w:sz w:val="20"/>
          <w:szCs w:val="20"/>
          <w:color w:val="auto"/>
        </w:rPr>
      </w:pPr>
    </w:p>
    <w:p>
      <w:pPr>
        <w:ind w:left="160" w:right="179" w:firstLine="646"/>
        <w:spacing w:after="0" w:line="262" w:lineRule="auto"/>
        <w:rPr>
          <w:sz w:val="20"/>
          <w:szCs w:val="20"/>
          <w:color w:val="auto"/>
        </w:rPr>
      </w:pPr>
      <w:r>
        <w:rPr>
          <w:rFonts w:ascii="Arial" w:cs="Arial" w:eastAsia="Arial" w:hAnsi="Arial"/>
          <w:sz w:val="18"/>
          <w:szCs w:val="18"/>
          <w:color w:val="auto"/>
        </w:rPr>
        <w:t>Under our non-employee director compensation policy, each non-employee director receives an annual base retainer of $40,000. In addition, our non-employee directors receive the following cash compensation for Board services, as applicable:</w:t>
      </w:r>
    </w:p>
    <w:p>
      <w:pPr>
        <w:spacing w:after="0" w:line="183" w:lineRule="exact"/>
        <w:rPr>
          <w:sz w:val="20"/>
          <w:szCs w:val="20"/>
          <w:color w:val="auto"/>
        </w:rPr>
      </w:pPr>
    </w:p>
    <w:p>
      <w:pPr>
        <w:ind w:left="880" w:hanging="84"/>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non-executive Lead Director of the Board of Directors receives an additional annual retainer of $25,000;</w:t>
      </w:r>
    </w:p>
    <w:p>
      <w:pPr>
        <w:spacing w:after="0" w:line="246" w:lineRule="exact"/>
        <w:rPr>
          <w:rFonts w:ascii="Arial" w:cs="Arial" w:eastAsia="Arial" w:hAnsi="Arial"/>
          <w:sz w:val="16"/>
          <w:szCs w:val="16"/>
          <w:color w:val="auto"/>
        </w:rPr>
      </w:pPr>
    </w:p>
    <w:p>
      <w:pPr>
        <w:ind w:left="880" w:right="779" w:hanging="84"/>
        <w:spacing w:after="0" w:line="340"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chairperson of our Audit, Compensation and Nominating and Corporate Governance Committees receives an additional annual retainer of $20,000, $15,000 and $10,000, respectively; and</w:t>
      </w:r>
    </w:p>
    <w:p>
      <w:pPr>
        <w:spacing w:after="0" w:line="124" w:lineRule="exact"/>
        <w:rPr>
          <w:rFonts w:ascii="Arial" w:cs="Arial" w:eastAsia="Arial" w:hAnsi="Arial"/>
          <w:sz w:val="16"/>
          <w:szCs w:val="16"/>
          <w:color w:val="auto"/>
        </w:rPr>
      </w:pPr>
    </w:p>
    <w:p>
      <w:pPr>
        <w:ind w:left="880" w:right="179" w:hanging="8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member of our Audit, Compensation and Nominating and Corporate Governance Committees receives an additional retainer of $8,000, $6,000 and $5,000, respectively.</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amounts are paid in quarterly installments.</w:t>
      </w:r>
    </w:p>
    <w:p>
      <w:pPr>
        <w:spacing w:after="0" w:line="224" w:lineRule="exact"/>
        <w:rPr>
          <w:sz w:val="20"/>
          <w:szCs w:val="20"/>
          <w:color w:val="auto"/>
        </w:rPr>
      </w:pPr>
    </w:p>
    <w:p>
      <w:pPr>
        <w:ind w:left="160" w:right="159" w:firstLine="646"/>
        <w:spacing w:after="0" w:line="286" w:lineRule="auto"/>
        <w:rPr>
          <w:sz w:val="20"/>
          <w:szCs w:val="20"/>
          <w:color w:val="auto"/>
        </w:rPr>
      </w:pPr>
      <w:r>
        <w:rPr>
          <w:rFonts w:ascii="Arial" w:cs="Arial" w:eastAsia="Arial" w:hAnsi="Arial"/>
          <w:sz w:val="16"/>
          <w:szCs w:val="16"/>
          <w:color w:val="auto"/>
        </w:rPr>
        <w:t>In addition, our non-employee directors receive stock options as compensation for their service on our Board of Directors. Newly appointed non-employee directors receive a one-time initial award of options to purchase 50,000 shares of our common stock, which vest monthly over a one-year period subject to the director’s continued service on the Board of Directors. Thereafter, each non-employee director who was serving on the Board of Directors as of the prior year’s annual meeting of the Company’s shareholders, receives an annual award of options to purchase shares of our common stock, which vest monthly over a one-year period, subject to the director’s continued service on the Board of Directors (Annual Grant). Additionally, each non-employee director who has served 12 months on the Board of Directors as of the date of the annual meeting of the Company’s shareholders, but has not yet received an Annual Grant also receives a pro-rated grant (based on the Annual Grant for such year) to reflect the time such director has served on the Board of Directors since the 12-month anniversary of the commencement of such director’s service, which vests monthly over a one-year period, subject to the director’s continued service on the Board of Directors. In 2016, the Annual Grant consisted of options to purchase 25,000 shares of our common stock.</w:t>
      </w:r>
    </w:p>
    <w:p>
      <w:pPr>
        <w:spacing w:after="0" w:line="168" w:lineRule="exact"/>
        <w:rPr>
          <w:sz w:val="20"/>
          <w:szCs w:val="20"/>
          <w:color w:val="auto"/>
        </w:rPr>
      </w:pPr>
    </w:p>
    <w:p>
      <w:pPr>
        <w:ind w:left="160" w:right="499" w:firstLine="646"/>
        <w:spacing w:after="0" w:line="306" w:lineRule="auto"/>
        <w:rPr>
          <w:sz w:val="20"/>
          <w:szCs w:val="20"/>
          <w:color w:val="auto"/>
        </w:rPr>
      </w:pPr>
      <w:r>
        <w:rPr>
          <w:rFonts w:ascii="Arial" w:cs="Arial" w:eastAsia="Arial" w:hAnsi="Arial"/>
          <w:sz w:val="17"/>
          <w:szCs w:val="17"/>
          <w:color w:val="auto"/>
        </w:rPr>
        <w:t>Mr. Forrester, our President and Chief Executive Officer, does not receive compensation for his service as a director. Mr. Forrester’s compensation is described under the heading “Executive Compensation.”</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160" w:right="519"/>
        <w:spacing w:after="0" w:line="280"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contains information about our equity compensation plans as of December 31, 2016.</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to be issued upon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average exercise</w:t>
            </w: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exercise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4"/>
              </w:rPr>
              <w:t>price of</w:t>
            </w:r>
          </w:p>
        </w:tc>
        <w:tc>
          <w:tcPr>
            <w:tcW w:w="15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outstanding stock</w:t>
            </w:r>
          </w:p>
        </w:tc>
        <w:tc>
          <w:tcPr>
            <w:tcW w:w="140" w:type="dxa"/>
            <w:vAlign w:val="bottom"/>
          </w:tcPr>
          <w:p>
            <w:pPr>
              <w:spacing w:after="0"/>
              <w:rPr>
                <w:sz w:val="12"/>
                <w:szCs w:val="12"/>
                <w:color w:val="auto"/>
              </w:rPr>
            </w:pPr>
          </w:p>
        </w:tc>
        <w:tc>
          <w:tcPr>
            <w:tcW w:w="144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outstanding options,</w:t>
            </w:r>
          </w:p>
        </w:tc>
        <w:tc>
          <w:tcPr>
            <w:tcW w:w="15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8"/>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options, warrants and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4"/>
              </w:rPr>
              <w:t>warrants and</w:t>
            </w:r>
          </w:p>
        </w:tc>
        <w:tc>
          <w:tcPr>
            <w:tcW w:w="15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rights</w:t>
            </w: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 security</w:t>
            </w:r>
          </w:p>
        </w:tc>
        <w:tc>
          <w:tcPr>
            <w:tcW w:w="1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holders(1)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1,845,158 (3)</w:t>
            </w:r>
          </w:p>
        </w:tc>
        <w:tc>
          <w:tcPr>
            <w:tcW w:w="0" w:type="dxa"/>
            <w:vAlign w:val="bottom"/>
          </w:tcPr>
          <w:p>
            <w:pPr>
              <w:spacing w:after="0"/>
              <w:rPr>
                <w:sz w:val="1"/>
                <w:szCs w:val="1"/>
                <w:color w:val="auto"/>
              </w:rPr>
            </w:pPr>
          </w:p>
        </w:tc>
      </w:tr>
      <w:tr>
        <w:trPr>
          <w:trHeight w:val="201"/>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holders(2)</w:t>
            </w:r>
          </w:p>
        </w:tc>
        <w:tc>
          <w:tcPr>
            <w:tcW w:w="1380" w:type="dxa"/>
            <w:vAlign w:val="bottom"/>
          </w:tcPr>
          <w:p>
            <w:pPr>
              <w:jc w:val="right"/>
              <w:spacing w:after="0"/>
              <w:rPr>
                <w:sz w:val="20"/>
                <w:szCs w:val="20"/>
                <w:color w:val="auto"/>
              </w:rPr>
            </w:pPr>
            <w:r>
              <w:rPr>
                <w:rFonts w:ascii="Arial" w:cs="Arial" w:eastAsia="Arial" w:hAnsi="Arial"/>
                <w:sz w:val="18"/>
                <w:szCs w:val="18"/>
                <w:color w:val="auto"/>
              </w:rPr>
              <w:t>505,000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68580</wp:posOffset>
            </wp:positionV>
            <wp:extent cx="13843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Includes information regarding our 2010 Equity Incentive Plan and 2012 Incentive Plan.</w:t>
      </w:r>
    </w:p>
    <w:p>
      <w:pPr>
        <w:spacing w:after="0" w:line="224" w:lineRule="exact"/>
        <w:rPr>
          <w:sz w:val="20"/>
          <w:szCs w:val="20"/>
          <w:color w:val="auto"/>
        </w:rPr>
      </w:pPr>
    </w:p>
    <w:p>
      <w:pPr>
        <w:ind w:left="360" w:right="219" w:hanging="214"/>
        <w:spacing w:after="0" w:line="289" w:lineRule="auto"/>
        <w:rPr>
          <w:sz w:val="20"/>
          <w:szCs w:val="20"/>
          <w:color w:val="auto"/>
        </w:rPr>
      </w:pPr>
      <w:r>
        <w:rPr>
          <w:rFonts w:ascii="Arial" w:cs="Arial" w:eastAsia="Arial" w:hAnsi="Arial"/>
          <w:sz w:val="16"/>
          <w:szCs w:val="16"/>
          <w:color w:val="auto"/>
        </w:rPr>
        <w:t>(2)In December 2014, the Board of Directors has authorized and reserved 750,000 shares of common stock that may be issued pursuant to stock options granted or to be granted to new employees in accordance with NASDAQ Listing Rule 5635(c)(4), as an inducement material to such employees entering into employment with the Company. The terms of these stock options are consistent with stock options granted under the Company’s 2012 Incentive Plan. As of December 31, 2016, 580,000 shares had been granted and 75,000 shares had been cancelled under this program. In December 2016, the Board of Directors authorized and reserved 580,000 additional shares of common stock that may be issued pursuant to stock options granted or to be granted to new employees in accordance with NASDAQ Listing Rule 5635(c)(4), as an inducement material to such employees entering into employment with the Company.</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(3)Does not include 1,285,714 shares added to the 2012 Incentive Plan under the evergreen provision on January 1,</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CERTAIN BENEFICIAL OWNERS, DIRECTORS AND MANAGEMENT</w:t>
      </w:r>
    </w:p>
    <w:p>
      <w:pPr>
        <w:spacing w:after="0" w:line="209" w:lineRule="exact"/>
        <w:rPr>
          <w:sz w:val="20"/>
          <w:szCs w:val="20"/>
          <w:color w:val="auto"/>
        </w:rPr>
      </w:pPr>
    </w:p>
    <w:p>
      <w:pPr>
        <w:ind w:left="160" w:right="139" w:firstLine="646"/>
        <w:spacing w:after="0" w:line="256" w:lineRule="auto"/>
        <w:rPr>
          <w:sz w:val="20"/>
          <w:szCs w:val="20"/>
          <w:color w:val="auto"/>
        </w:rPr>
      </w:pPr>
      <w:r>
        <w:rPr>
          <w:rFonts w:ascii="Arial" w:cs="Arial" w:eastAsia="Arial" w:hAnsi="Arial"/>
          <w:sz w:val="18"/>
          <w:szCs w:val="18"/>
          <w:color w:val="auto"/>
        </w:rPr>
        <w:t>The following table sets forth certain information as of March 15, 2017 (unless otherwise specified), with respect to the beneficial ownership of our common stock by each person who is known to own beneficially more than 5% of the outstanding shares of common stock, each person currently serving as a director, each nominee for director, each named executive officer (as set forth in the Summary Compensation Table above), and all directors and executive officers as a group.</w:t>
      </w:r>
    </w:p>
    <w:p>
      <w:pPr>
        <w:spacing w:after="0" w:line="188" w:lineRule="exact"/>
        <w:rPr>
          <w:sz w:val="20"/>
          <w:szCs w:val="20"/>
          <w:color w:val="auto"/>
        </w:rPr>
      </w:pPr>
    </w:p>
    <w:p>
      <w:pPr>
        <w:ind w:left="160" w:right="179" w:firstLine="646"/>
        <w:spacing w:after="0" w:line="256" w:lineRule="auto"/>
        <w:rPr>
          <w:sz w:val="20"/>
          <w:szCs w:val="20"/>
          <w:color w:val="auto"/>
        </w:rPr>
      </w:pPr>
      <w:r>
        <w:rPr>
          <w:rFonts w:ascii="Arial" w:cs="Arial" w:eastAsia="Arial" w:hAnsi="Arial"/>
          <w:sz w:val="18"/>
          <w:szCs w:val="18"/>
          <w:color w:val="auto"/>
        </w:rPr>
        <w:t>Shares of common stock subject to options, RSUs or other rights to purchase which are now exercisable or are exercisable within 60 days after March 15, 2017 are to be considered outstanding for purposes of computing the percentage ownership of the persons holding these options or other rights but are not to be considered outstanding for the purpose of computing the percentage ownership of any other person. As of March 15, 2017 there were 36,992,418 shares of common stock outstanding.</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Number of shares</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Percentage of shares</w:t>
            </w:r>
          </w:p>
        </w:tc>
        <w:tc>
          <w:tcPr>
            <w:tcW w:w="0" w:type="dxa"/>
            <w:vAlign w:val="bottom"/>
          </w:tcPr>
          <w:p>
            <w:pPr>
              <w:spacing w:after="0"/>
              <w:rPr>
                <w:sz w:val="1"/>
                <w:szCs w:val="1"/>
                <w:color w:val="auto"/>
              </w:rPr>
            </w:pPr>
          </w:p>
        </w:tc>
      </w:tr>
      <w:tr>
        <w:trPr>
          <w:trHeight w:val="171"/>
        </w:trPr>
        <w:tc>
          <w:tcPr>
            <w:tcW w:w="5920" w:type="dxa"/>
            <w:vAlign w:val="bottom"/>
            <w:gridSpan w:val="3"/>
            <w:vMerge w:val="continue"/>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beneficially owned</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beneficially owned</w:t>
            </w:r>
          </w:p>
        </w:tc>
        <w:tc>
          <w:tcPr>
            <w:tcW w:w="0" w:type="dxa"/>
            <w:vAlign w:val="bottom"/>
          </w:tcPr>
          <w:p>
            <w:pPr>
              <w:spacing w:after="0"/>
              <w:rPr>
                <w:sz w:val="1"/>
                <w:szCs w:val="1"/>
                <w:color w:val="auto"/>
              </w:rPr>
            </w:pPr>
          </w:p>
        </w:tc>
      </w:tr>
      <w:tr>
        <w:trPr>
          <w:trHeight w:val="209"/>
        </w:trPr>
        <w:tc>
          <w:tcPr>
            <w:tcW w:w="5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tcPr>
          <w:p>
            <w:pPr>
              <w:ind w:left="200"/>
              <w:spacing w:after="0"/>
              <w:rPr>
                <w:sz w:val="20"/>
                <w:szCs w:val="20"/>
                <w:color w:val="auto"/>
              </w:rPr>
            </w:pPr>
            <w:r>
              <w:rPr>
                <w:rFonts w:ascii="Arial" w:cs="Arial" w:eastAsia="Arial" w:hAnsi="Arial"/>
                <w:sz w:val="18"/>
                <w:szCs w:val="18"/>
                <w:color w:val="auto"/>
              </w:rPr>
              <w:t>CHP III, L.P. (1)</w:t>
            </w:r>
          </w:p>
        </w:tc>
        <w:tc>
          <w:tcPr>
            <w:tcW w:w="1180" w:type="dxa"/>
            <w:vAlign w:val="bottom"/>
          </w:tcPr>
          <w:p>
            <w:pPr>
              <w:jc w:val="right"/>
              <w:spacing w:after="0"/>
              <w:rPr>
                <w:sz w:val="20"/>
                <w:szCs w:val="20"/>
                <w:color w:val="auto"/>
              </w:rPr>
            </w:pPr>
            <w:r>
              <w:rPr>
                <w:rFonts w:ascii="Arial" w:cs="Arial" w:eastAsia="Arial" w:hAnsi="Arial"/>
                <w:sz w:val="18"/>
                <w:szCs w:val="18"/>
                <w:color w:val="auto"/>
              </w:rPr>
              <w:t>2,079,121</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5.62 %</w:t>
            </w:r>
          </w:p>
        </w:tc>
        <w:tc>
          <w:tcPr>
            <w:tcW w:w="0" w:type="dxa"/>
            <w:vAlign w:val="bottom"/>
          </w:tcPr>
          <w:p>
            <w:pPr>
              <w:spacing w:after="0"/>
              <w:rPr>
                <w:sz w:val="1"/>
                <w:szCs w:val="1"/>
                <w:color w:val="auto"/>
              </w:rPr>
            </w:pPr>
          </w:p>
        </w:tc>
      </w:tr>
      <w:tr>
        <w:trPr>
          <w:trHeight w:val="215"/>
        </w:trPr>
        <w:tc>
          <w:tcPr>
            <w:tcW w:w="5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230 Nassau Street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tcPr>
          <w:p>
            <w:pPr>
              <w:ind w:left="420"/>
              <w:spacing w:after="0"/>
              <w:rPr>
                <w:sz w:val="20"/>
                <w:szCs w:val="20"/>
                <w:color w:val="auto"/>
              </w:rPr>
            </w:pPr>
            <w:r>
              <w:rPr>
                <w:rFonts w:ascii="Arial" w:cs="Arial" w:eastAsia="Arial" w:hAnsi="Arial"/>
                <w:sz w:val="18"/>
                <w:szCs w:val="18"/>
                <w:color w:val="auto"/>
              </w:rPr>
              <w:t>Princeton, NJ 08542</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Eastern Capital Limited (2)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1,967,857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r>
        <w:trPr>
          <w:trHeight w:val="215"/>
        </w:trPr>
        <w:tc>
          <w:tcPr>
            <w:tcW w:w="5920" w:type="dxa"/>
            <w:vAlign w:val="bottom"/>
            <w:gridSpan w:val="3"/>
          </w:tcPr>
          <w:p>
            <w:pPr>
              <w:ind w:left="420"/>
              <w:spacing w:after="0"/>
              <w:rPr>
                <w:sz w:val="20"/>
                <w:szCs w:val="20"/>
                <w:color w:val="auto"/>
              </w:rPr>
            </w:pPr>
            <w:r>
              <w:rPr>
                <w:rFonts w:ascii="Arial" w:cs="Arial" w:eastAsia="Arial" w:hAnsi="Arial"/>
                <w:sz w:val="18"/>
                <w:szCs w:val="18"/>
                <w:color w:val="auto"/>
              </w:rPr>
              <w:t>10 Market Street, #773</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Grand Cayman, KY1-9006 Cayman Islands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Robert Forrester (3)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1,355,262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15"/>
        </w:trPr>
        <w:tc>
          <w:tcPr>
            <w:tcW w:w="5920" w:type="dxa"/>
            <w:vAlign w:val="bottom"/>
            <w:gridSpan w:val="3"/>
          </w:tcPr>
          <w:p>
            <w:pPr>
              <w:ind w:left="200"/>
              <w:spacing w:after="0"/>
              <w:rPr>
                <w:sz w:val="20"/>
                <w:szCs w:val="20"/>
                <w:color w:val="auto"/>
              </w:rPr>
            </w:pPr>
            <w:r>
              <w:rPr>
                <w:rFonts w:ascii="Arial" w:cs="Arial" w:eastAsia="Arial" w:hAnsi="Arial"/>
                <w:sz w:val="18"/>
                <w:szCs w:val="18"/>
                <w:color w:val="auto"/>
              </w:rPr>
              <w:t>Daniel Paterson (4)</w:t>
            </w:r>
          </w:p>
        </w:tc>
        <w:tc>
          <w:tcPr>
            <w:tcW w:w="1180" w:type="dxa"/>
            <w:vAlign w:val="bottom"/>
          </w:tcPr>
          <w:p>
            <w:pPr>
              <w:jc w:val="right"/>
              <w:spacing w:after="0"/>
              <w:rPr>
                <w:sz w:val="20"/>
                <w:szCs w:val="20"/>
                <w:color w:val="auto"/>
              </w:rPr>
            </w:pPr>
            <w:r>
              <w:rPr>
                <w:rFonts w:ascii="Arial" w:cs="Arial" w:eastAsia="Arial" w:hAnsi="Arial"/>
                <w:sz w:val="18"/>
                <w:szCs w:val="18"/>
                <w:color w:val="auto"/>
              </w:rPr>
              <w:t>559,175</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15"/>
        </w:trPr>
        <w:tc>
          <w:tcPr>
            <w:tcW w:w="5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Timothy Barberich (5)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134,976</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tcPr>
          <w:p>
            <w:pPr>
              <w:ind w:left="200"/>
              <w:spacing w:after="0"/>
              <w:rPr>
                <w:sz w:val="20"/>
                <w:szCs w:val="20"/>
                <w:color w:val="auto"/>
              </w:rPr>
            </w:pPr>
            <w:r>
              <w:rPr>
                <w:rFonts w:ascii="Arial" w:cs="Arial" w:eastAsia="Arial" w:hAnsi="Arial"/>
                <w:sz w:val="18"/>
                <w:szCs w:val="18"/>
                <w:color w:val="auto"/>
              </w:rPr>
              <w:t>Paul Friedman, M.D. (6)</w:t>
            </w:r>
          </w:p>
        </w:tc>
        <w:tc>
          <w:tcPr>
            <w:tcW w:w="1180" w:type="dxa"/>
            <w:vAlign w:val="bottom"/>
          </w:tcPr>
          <w:p>
            <w:pPr>
              <w:jc w:val="right"/>
              <w:spacing w:after="0"/>
              <w:rPr>
                <w:sz w:val="20"/>
                <w:szCs w:val="20"/>
                <w:color w:val="auto"/>
              </w:rPr>
            </w:pPr>
            <w:r>
              <w:rPr>
                <w:rFonts w:ascii="Arial" w:cs="Arial" w:eastAsia="Arial" w:hAnsi="Arial"/>
                <w:sz w:val="18"/>
                <w:szCs w:val="18"/>
                <w:color w:val="auto"/>
              </w:rPr>
              <w:t>95,412</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Michael Kauffman, M.D., Ph.D. (7)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109,893</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tcPr>
          <w:p>
            <w:pPr>
              <w:ind w:left="200"/>
              <w:spacing w:after="0"/>
              <w:rPr>
                <w:sz w:val="20"/>
                <w:szCs w:val="20"/>
                <w:color w:val="auto"/>
              </w:rPr>
            </w:pPr>
            <w:r>
              <w:rPr>
                <w:rFonts w:ascii="Arial" w:cs="Arial" w:eastAsia="Arial" w:hAnsi="Arial"/>
                <w:sz w:val="18"/>
                <w:szCs w:val="18"/>
                <w:color w:val="auto"/>
              </w:rPr>
              <w:t>Alison Lawton (8)</w:t>
            </w:r>
          </w:p>
        </w:tc>
        <w:tc>
          <w:tcPr>
            <w:tcW w:w="1180" w:type="dxa"/>
            <w:vAlign w:val="bottom"/>
          </w:tcPr>
          <w:p>
            <w:pPr>
              <w:jc w:val="right"/>
              <w:spacing w:after="0"/>
              <w:rPr>
                <w:sz w:val="20"/>
                <w:szCs w:val="20"/>
                <w:color w:val="auto"/>
              </w:rPr>
            </w:pPr>
            <w:r>
              <w:rPr>
                <w:rFonts w:ascii="Arial" w:cs="Arial" w:eastAsia="Arial" w:hAnsi="Arial"/>
                <w:sz w:val="18"/>
                <w:szCs w:val="18"/>
                <w:color w:val="auto"/>
              </w:rPr>
              <w:t>112,393</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 Louise Phanstiel (9)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138,756</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tcPr>
          <w:p>
            <w:pPr>
              <w:ind w:left="200"/>
              <w:spacing w:after="0"/>
              <w:rPr>
                <w:sz w:val="20"/>
                <w:szCs w:val="20"/>
                <w:color w:val="auto"/>
              </w:rPr>
            </w:pPr>
            <w:r>
              <w:rPr>
                <w:rFonts w:ascii="Arial" w:cs="Arial" w:eastAsia="Arial" w:hAnsi="Arial"/>
                <w:sz w:val="18"/>
                <w:szCs w:val="18"/>
                <w:color w:val="auto"/>
              </w:rPr>
              <w:t>Bruce Wendel (10)</w:t>
            </w:r>
          </w:p>
        </w:tc>
        <w:tc>
          <w:tcPr>
            <w:tcW w:w="1180" w:type="dxa"/>
            <w:vAlign w:val="bottom"/>
          </w:tcPr>
          <w:p>
            <w:pPr>
              <w:jc w:val="right"/>
              <w:spacing w:after="0"/>
              <w:rPr>
                <w:sz w:val="20"/>
                <w:szCs w:val="20"/>
                <w:color w:val="auto"/>
              </w:rPr>
            </w:pPr>
            <w:r>
              <w:rPr>
                <w:rFonts w:ascii="Arial" w:cs="Arial" w:eastAsia="Arial" w:hAnsi="Arial"/>
                <w:sz w:val="18"/>
                <w:szCs w:val="18"/>
                <w:color w:val="auto"/>
              </w:rPr>
              <w:t>45,834</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All executive officers and directors as a group (Eight persons) (11)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2,551,701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6.51 %</w:t>
            </w:r>
          </w:p>
        </w:tc>
        <w:tc>
          <w:tcPr>
            <w:tcW w:w="0" w:type="dxa"/>
            <w:vAlign w:val="bottom"/>
          </w:tcPr>
          <w:p>
            <w:pPr>
              <w:spacing w:after="0"/>
              <w:rPr>
                <w:sz w:val="1"/>
                <w:szCs w:val="1"/>
                <w:color w:val="auto"/>
              </w:rPr>
            </w:pPr>
          </w:p>
        </w:tc>
      </w:tr>
      <w:tr>
        <w:trPr>
          <w:trHeight w:val="108"/>
        </w:trPr>
        <w:tc>
          <w:tcPr>
            <w:tcW w:w="218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hanging="310"/>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our outstanding common stock.</w:t>
      </w:r>
    </w:p>
    <w:p>
      <w:pPr>
        <w:spacing w:after="0" w:line="223"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(1)  Consists of 2,079,121 shares of common stock as of March 15, 2017.</w:t>
      </w:r>
    </w:p>
    <w:p>
      <w:pPr>
        <w:spacing w:after="0" w:line="224" w:lineRule="exact"/>
        <w:rPr>
          <w:sz w:val="20"/>
          <w:szCs w:val="20"/>
          <w:color w:val="auto"/>
        </w:rPr>
      </w:pPr>
    </w:p>
    <w:p>
      <w:pPr>
        <w:ind w:left="360" w:right="199" w:hanging="214"/>
        <w:spacing w:after="0" w:line="278" w:lineRule="auto"/>
        <w:rPr>
          <w:sz w:val="20"/>
          <w:szCs w:val="20"/>
          <w:color w:val="auto"/>
        </w:rPr>
      </w:pPr>
      <w:r>
        <w:rPr>
          <w:rFonts w:ascii="Arial" w:cs="Arial" w:eastAsia="Arial" w:hAnsi="Arial"/>
          <w:sz w:val="17"/>
          <w:szCs w:val="17"/>
          <w:color w:val="auto"/>
        </w:rPr>
        <w:t>(2)Information is based on a Schedule 13G filed with the SEC on January 30, 2015 by Eastern Capital Limited, Portfolio Services Ltd. and Kenneth B. Dart, reporting as of January 28, 2015. According to the Schedule 13G, each entity has shared voting and dispositive power over all of these shares. The address for these entities is listed in the Schedule 13G as 10 Market Street #773, Camana Bay, Grand Cayman, KY1-9006 Cayman Islands.</w:t>
      </w:r>
    </w:p>
    <w:p>
      <w:pPr>
        <w:spacing w:after="0" w:line="171" w:lineRule="exact"/>
        <w:rPr>
          <w:sz w:val="20"/>
          <w:szCs w:val="20"/>
          <w:color w:val="auto"/>
        </w:rPr>
      </w:pPr>
    </w:p>
    <w:p>
      <w:pPr>
        <w:ind w:left="360" w:right="399" w:hanging="214"/>
        <w:spacing w:after="0" w:line="276" w:lineRule="auto"/>
        <w:rPr>
          <w:sz w:val="20"/>
          <w:szCs w:val="20"/>
          <w:color w:val="auto"/>
        </w:rPr>
      </w:pPr>
      <w:r>
        <w:rPr>
          <w:rFonts w:ascii="Arial" w:cs="Arial" w:eastAsia="Arial" w:hAnsi="Arial"/>
          <w:sz w:val="18"/>
          <w:szCs w:val="18"/>
          <w:color w:val="auto"/>
        </w:rPr>
        <w:t>(3)Consists of 218,734 shares of common stock held by Mr. Forrester and 1,136,528 shares of common stock issuable upon the exercise of stock options within 60 days of March 15, 2017.</w:t>
      </w:r>
    </w:p>
    <w:p>
      <w:pPr>
        <w:spacing w:after="0" w:line="170" w:lineRule="exact"/>
        <w:rPr>
          <w:sz w:val="20"/>
          <w:szCs w:val="20"/>
          <w:color w:val="auto"/>
        </w:rPr>
      </w:pPr>
    </w:p>
    <w:p>
      <w:pPr>
        <w:ind w:left="360" w:right="239" w:hanging="214"/>
        <w:spacing w:after="0" w:line="276" w:lineRule="auto"/>
        <w:rPr>
          <w:sz w:val="20"/>
          <w:szCs w:val="20"/>
          <w:color w:val="auto"/>
        </w:rPr>
      </w:pPr>
      <w:r>
        <w:rPr>
          <w:rFonts w:ascii="Arial" w:cs="Arial" w:eastAsia="Arial" w:hAnsi="Arial"/>
          <w:sz w:val="18"/>
          <w:szCs w:val="18"/>
          <w:color w:val="auto"/>
        </w:rPr>
        <w:t>(4)Consists of 72,732 shares of common stock held by Mr. Paterson and 486,443 shares of common stock issuable upon the exercise of stock options within 60 days of March 15, 2017.</w:t>
      </w:r>
    </w:p>
    <w:p>
      <w:pPr>
        <w:spacing w:after="0" w:line="170" w:lineRule="exact"/>
        <w:rPr>
          <w:sz w:val="20"/>
          <w:szCs w:val="20"/>
          <w:color w:val="auto"/>
        </w:rPr>
      </w:pPr>
    </w:p>
    <w:p>
      <w:pPr>
        <w:ind w:left="360" w:right="239" w:hanging="214"/>
        <w:spacing w:after="0" w:line="276" w:lineRule="auto"/>
        <w:rPr>
          <w:sz w:val="20"/>
          <w:szCs w:val="20"/>
          <w:color w:val="auto"/>
        </w:rPr>
      </w:pPr>
      <w:r>
        <w:rPr>
          <w:rFonts w:ascii="Arial" w:cs="Arial" w:eastAsia="Arial" w:hAnsi="Arial"/>
          <w:sz w:val="18"/>
          <w:szCs w:val="18"/>
          <w:color w:val="auto"/>
        </w:rPr>
        <w:t>(5)Consists of 39,462 shares of common stock held by Mr. Barberich and 95,514 shares of common stock issuable upon the exercise of stock options within 60 days of March 15, 2017.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360" w:right="379" w:hanging="214"/>
        <w:spacing w:after="0" w:line="276" w:lineRule="auto"/>
        <w:rPr>
          <w:sz w:val="20"/>
          <w:szCs w:val="20"/>
          <w:color w:val="auto"/>
        </w:rPr>
      </w:pPr>
      <w:r>
        <w:rPr>
          <w:rFonts w:ascii="Arial" w:cs="Arial" w:eastAsia="Arial" w:hAnsi="Arial"/>
          <w:sz w:val="18"/>
          <w:szCs w:val="18"/>
          <w:color w:val="auto"/>
        </w:rPr>
        <w:t>(6)Consists of 3,000 shares of common stock held by Dr. Friedman and 92,412 shares of common stock issuable upon the exercise of stock options within 60 days of March 15, 2017.</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(7)Consists of 109,893 shares of common stock issuable upon the exercise of stock options within 60 days of March 15,</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2017.</w:t>
      </w:r>
    </w:p>
    <w:p>
      <w:pPr>
        <w:spacing w:after="0" w:line="209" w:lineRule="exact"/>
        <w:rPr>
          <w:sz w:val="20"/>
          <w:szCs w:val="20"/>
          <w:color w:val="auto"/>
        </w:rPr>
      </w:pPr>
    </w:p>
    <w:p>
      <w:pPr>
        <w:ind w:left="360" w:right="379" w:hanging="214"/>
        <w:spacing w:after="0" w:line="276" w:lineRule="auto"/>
        <w:rPr>
          <w:sz w:val="20"/>
          <w:szCs w:val="20"/>
          <w:color w:val="auto"/>
        </w:rPr>
      </w:pPr>
      <w:r>
        <w:rPr>
          <w:rFonts w:ascii="Arial" w:cs="Arial" w:eastAsia="Arial" w:hAnsi="Arial"/>
          <w:sz w:val="18"/>
          <w:szCs w:val="18"/>
          <w:color w:val="auto"/>
        </w:rPr>
        <w:t>(8)Consists of 2,500 shares of common stock held by Ms. Lawton and 109,893 shares of common stock issuable upon the exercise of stock options within 60 days of March 15, 2017.</w:t>
      </w:r>
    </w:p>
    <w:p>
      <w:pPr>
        <w:spacing w:after="0" w:line="170" w:lineRule="exact"/>
        <w:rPr>
          <w:sz w:val="20"/>
          <w:szCs w:val="20"/>
          <w:color w:val="auto"/>
        </w:rPr>
      </w:pPr>
    </w:p>
    <w:p>
      <w:pPr>
        <w:ind w:left="360" w:right="179" w:hanging="214"/>
        <w:spacing w:after="0" w:line="276" w:lineRule="auto"/>
        <w:rPr>
          <w:sz w:val="20"/>
          <w:szCs w:val="20"/>
          <w:color w:val="auto"/>
        </w:rPr>
      </w:pPr>
      <w:r>
        <w:rPr>
          <w:rFonts w:ascii="Arial" w:cs="Arial" w:eastAsia="Arial" w:hAnsi="Arial"/>
          <w:sz w:val="18"/>
          <w:szCs w:val="18"/>
          <w:color w:val="auto"/>
        </w:rPr>
        <w:t>(9)Consists of 26,500 shares of common stock held by The Phanstiel Trust and 112,256 shares of common stock issuable upon the exercise of stock options within 60 days of March 15, 2017.</w:t>
      </w:r>
    </w:p>
    <w:p>
      <w:pPr>
        <w:spacing w:after="0" w:line="170" w:lineRule="exact"/>
        <w:rPr>
          <w:sz w:val="20"/>
          <w:szCs w:val="20"/>
          <w:color w:val="auto"/>
        </w:rPr>
      </w:pPr>
    </w:p>
    <w:p>
      <w:pPr>
        <w:ind w:left="460" w:right="239" w:hanging="310"/>
        <w:spacing w:after="0" w:line="306"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Consists of 45,834 shares of common stock issuable upon the exercise of stock options within 60 days of March 15, 2017.</w:t>
      </w:r>
    </w:p>
    <w:p>
      <w:pPr>
        <w:spacing w:after="0" w:line="147" w:lineRule="exact"/>
        <w:rPr>
          <w:rFonts w:ascii="Arial" w:cs="Arial" w:eastAsia="Arial" w:hAnsi="Arial"/>
          <w:sz w:val="17"/>
          <w:szCs w:val="17"/>
          <w:color w:val="auto"/>
        </w:rPr>
      </w:pPr>
    </w:p>
    <w:p>
      <w:pPr>
        <w:ind w:left="460" w:hanging="310"/>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shares of common stock issuable upon exercise of stock options within 60 days of March 15, 2017.</w:t>
      </w:r>
    </w:p>
    <w:p>
      <w:pPr>
        <w:spacing w:after="0" w:line="231" w:lineRule="exact"/>
        <w:rPr>
          <w:sz w:val="20"/>
          <w:szCs w:val="20"/>
          <w:color w:val="auto"/>
        </w:rPr>
      </w:pPr>
    </w:p>
    <w:p>
      <w:pPr>
        <w:ind w:left="160" w:right="1419"/>
        <w:spacing w:after="0" w:line="280"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8" w:lineRule="exact"/>
        <w:rPr>
          <w:sz w:val="20"/>
          <w:szCs w:val="20"/>
          <w:color w:val="auto"/>
        </w:rPr>
      </w:pPr>
    </w:p>
    <w:p>
      <w:pPr>
        <w:ind w:left="160" w:right="419" w:firstLine="646"/>
        <w:spacing w:after="0" w:line="278" w:lineRule="auto"/>
        <w:rPr>
          <w:sz w:val="20"/>
          <w:szCs w:val="20"/>
          <w:color w:val="auto"/>
        </w:rPr>
      </w:pPr>
      <w:r>
        <w:rPr>
          <w:rFonts w:ascii="Arial" w:cs="Arial" w:eastAsia="Arial" w:hAnsi="Arial"/>
          <w:sz w:val="17"/>
          <w:szCs w:val="17"/>
          <w:color w:val="auto"/>
        </w:rPr>
        <w:t>Our Board of Directors has adopted written policies and procedures for the review of any transaction, arrangement or relationship in which the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Transactions with related persons</w:t>
      </w:r>
    </w:p>
    <w:p>
      <w:pPr>
        <w:spacing w:after="0" w:line="228" w:lineRule="exact"/>
        <w:rPr>
          <w:sz w:val="20"/>
          <w:szCs w:val="20"/>
          <w:color w:val="auto"/>
        </w:rPr>
      </w:pPr>
    </w:p>
    <w:p>
      <w:pPr>
        <w:ind w:left="160" w:right="259" w:firstLine="646"/>
        <w:spacing w:after="0" w:line="269"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principal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Audit Committee meetings, subject to ratification by the Audit Committee at its next meeting. Any related person transactions that are ongoing in nature will be reviewed annually.</w:t>
      </w:r>
    </w:p>
    <w:p>
      <w:pPr>
        <w:spacing w:after="0" w:line="181" w:lineRule="exact"/>
        <w:rPr>
          <w:sz w:val="20"/>
          <w:szCs w:val="20"/>
          <w:color w:val="auto"/>
        </w:rPr>
      </w:pPr>
    </w:p>
    <w:p>
      <w:pPr>
        <w:ind w:left="160" w:right="199" w:firstLine="646"/>
        <w:spacing w:after="0" w:line="262"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83" w:lineRule="exact"/>
        <w:rPr>
          <w:sz w:val="20"/>
          <w:szCs w:val="20"/>
          <w:color w:val="auto"/>
        </w:rPr>
      </w:pPr>
    </w:p>
    <w:p>
      <w:pPr>
        <w:ind w:left="920" w:hanging="12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23" w:lineRule="exact"/>
        <w:rPr>
          <w:rFonts w:ascii="Arial" w:cs="Arial" w:eastAsia="Arial" w:hAnsi="Arial"/>
          <w:sz w:val="18"/>
          <w:szCs w:val="18"/>
          <w:color w:val="auto"/>
        </w:rPr>
      </w:pPr>
    </w:p>
    <w:p>
      <w:pPr>
        <w:ind w:left="900" w:hanging="104"/>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23" w:lineRule="exact"/>
        <w:rPr>
          <w:rFonts w:ascii="Arial" w:cs="Arial" w:eastAsia="Arial" w:hAnsi="Arial"/>
          <w:sz w:val="18"/>
          <w:szCs w:val="18"/>
          <w:color w:val="auto"/>
        </w:rPr>
      </w:pPr>
    </w:p>
    <w:p>
      <w:pPr>
        <w:ind w:left="880" w:right="279" w:hanging="8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169" w:lineRule="exact"/>
        <w:rPr>
          <w:rFonts w:ascii="Arial" w:cs="Arial" w:eastAsia="Arial" w:hAnsi="Arial"/>
          <w:sz w:val="18"/>
          <w:szCs w:val="18"/>
          <w:color w:val="auto"/>
        </w:rPr>
      </w:pPr>
    </w:p>
    <w:p>
      <w:pPr>
        <w:ind w:left="900" w:hanging="104"/>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23" w:lineRule="exact"/>
        <w:rPr>
          <w:rFonts w:ascii="Arial" w:cs="Arial" w:eastAsia="Arial" w:hAnsi="Arial"/>
          <w:sz w:val="18"/>
          <w:szCs w:val="18"/>
          <w:color w:val="auto"/>
        </w:rPr>
      </w:pPr>
    </w:p>
    <w:p>
      <w:pPr>
        <w:ind w:left="880" w:right="159" w:hanging="8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could have been reached with an unrelated third party;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900" w:hanging="104"/>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23" w:lineRule="exact"/>
        <w:rPr>
          <w:rFonts w:ascii="Arial" w:cs="Arial" w:eastAsia="Arial" w:hAnsi="Arial"/>
          <w:sz w:val="18"/>
          <w:szCs w:val="18"/>
          <w:color w:val="auto"/>
        </w:rPr>
      </w:pPr>
    </w:p>
    <w:p>
      <w:pPr>
        <w:ind w:left="880" w:right="699" w:hanging="84"/>
        <w:spacing w:after="0" w:line="262"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3" w:lineRule="exact"/>
        <w:rPr>
          <w:sz w:val="20"/>
          <w:szCs w:val="20"/>
          <w:color w:val="auto"/>
        </w:rPr>
      </w:pPr>
    </w:p>
    <w:p>
      <w:pPr>
        <w:jc w:val="both"/>
        <w:ind w:left="160" w:right="219" w:firstLine="646"/>
        <w:spacing w:after="0" w:line="262" w:lineRule="auto"/>
        <w:rPr>
          <w:sz w:val="20"/>
          <w:szCs w:val="20"/>
          <w:color w:val="auto"/>
        </w:rPr>
      </w:pPr>
      <w:r>
        <w:rPr>
          <w:rFonts w:ascii="Arial" w:cs="Arial" w:eastAsia="Arial" w:hAnsi="Arial"/>
          <w:sz w:val="18"/>
          <w:szCs w:val="18"/>
          <w:color w:val="auto"/>
        </w:rPr>
        <w:t>The Audit Committee may approve or ratify the transaction only if the Audit Committee determines that, under all of the circumstances, the transaction is in our best interests. The Audit Committee may impose any conditions on the related person transaction that it deems appropriate.</w:t>
      </w:r>
    </w:p>
    <w:p>
      <w:pPr>
        <w:spacing w:after="0" w:line="183" w:lineRule="exact"/>
        <w:rPr>
          <w:sz w:val="20"/>
          <w:szCs w:val="20"/>
          <w:color w:val="auto"/>
        </w:rPr>
      </w:pPr>
    </w:p>
    <w:p>
      <w:pPr>
        <w:ind w:left="160" w:right="159" w:firstLine="646"/>
        <w:spacing w:after="0" w:line="310" w:lineRule="auto"/>
        <w:rPr>
          <w:sz w:val="20"/>
          <w:szCs w:val="20"/>
          <w:color w:val="auto"/>
        </w:rPr>
      </w:pPr>
      <w:r>
        <w:rPr>
          <w:rFonts w:ascii="Arial" w:cs="Arial" w:eastAsia="Arial" w:hAnsi="Arial"/>
          <w:sz w:val="16"/>
          <w:szCs w:val="16"/>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148" w:lineRule="exact"/>
        <w:rPr>
          <w:sz w:val="20"/>
          <w:szCs w:val="20"/>
          <w:color w:val="auto"/>
        </w:rPr>
      </w:pPr>
    </w:p>
    <w:p>
      <w:pPr>
        <w:ind w:left="880" w:right="219" w:hanging="84"/>
        <w:spacing w:after="0" w:line="271"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and (c) the amount involved in the transaction is less than the greater of $200,000 or 5% of the annual gross revenues of the company receiving payment under the transaction; and</w:t>
      </w:r>
    </w:p>
    <w:p>
      <w:pPr>
        <w:spacing w:after="0" w:line="177" w:lineRule="exact"/>
        <w:rPr>
          <w:rFonts w:ascii="Arial" w:cs="Arial" w:eastAsia="Arial" w:hAnsi="Arial"/>
          <w:sz w:val="17"/>
          <w:szCs w:val="17"/>
          <w:color w:val="auto"/>
        </w:rPr>
      </w:pPr>
    </w:p>
    <w:p>
      <w:pPr>
        <w:ind w:left="900" w:hanging="104"/>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charter or bylaws.</w:t>
      </w:r>
    </w:p>
    <w:p>
      <w:pPr>
        <w:spacing w:after="0" w:line="224" w:lineRule="exact"/>
        <w:rPr>
          <w:sz w:val="20"/>
          <w:szCs w:val="20"/>
          <w:color w:val="auto"/>
        </w:rPr>
      </w:pPr>
    </w:p>
    <w:p>
      <w:pPr>
        <w:ind w:left="160" w:right="679" w:firstLine="646"/>
        <w:spacing w:after="0" w:line="276"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the Compensation Committee in the manner specified in its charter.</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Independence</w:t>
      </w:r>
    </w:p>
    <w:p>
      <w:pPr>
        <w:spacing w:after="0" w:line="228" w:lineRule="exact"/>
        <w:rPr>
          <w:sz w:val="20"/>
          <w:szCs w:val="20"/>
          <w:color w:val="auto"/>
        </w:rPr>
      </w:pPr>
    </w:p>
    <w:p>
      <w:pPr>
        <w:ind w:left="160" w:right="159" w:firstLine="646"/>
        <w:spacing w:after="0" w:line="286" w:lineRule="auto"/>
        <w:rPr>
          <w:sz w:val="20"/>
          <w:szCs w:val="20"/>
          <w:color w:val="auto"/>
        </w:rPr>
      </w:pPr>
      <w:r>
        <w:rPr>
          <w:rFonts w:ascii="Arial" w:cs="Arial" w:eastAsia="Arial" w:hAnsi="Arial"/>
          <w:sz w:val="16"/>
          <w:szCs w:val="16"/>
          <w:color w:val="auto"/>
        </w:rPr>
        <w:t>As required by the listing standards of the NASDAQ Global Market (NASDAQ), the Board of Directors has affirmatively determined, upon the recommendation of the Nominating and Corporate Governance Committee, that each of our directors and nominees for director other than Robert Forrester, our President and Chief Executive Officer, is independent. To make this determination, our Board of Directors reviews all relevant transactions or relationships between each director and Verastem, its senior management and its independent registered public accounting firm. During this review, the Board considers whether there are any transactions or relationships between directors or any member of their immediate family (or any entity of which a director or an immediate family member is an executive officer, general partner or significant equity holder) and members of our senior management or their affiliates. The Board consults with Verastem’s outside corporate counsel to ensure that the Board’s determinations are consistent with all relevant securities and other laws and regulations regarding the definition of “independent,” including those set forth in pertinent Nasdaq listing standards, as in effect from time to time.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8" w:lineRule="exact"/>
        <w:rPr>
          <w:sz w:val="20"/>
          <w:szCs w:val="20"/>
          <w:color w:val="auto"/>
        </w:rPr>
      </w:pPr>
    </w:p>
    <w:p>
      <w:pPr>
        <w:ind w:left="160" w:right="419" w:firstLine="646"/>
        <w:spacing w:after="0" w:line="285" w:lineRule="auto"/>
        <w:rPr>
          <w:sz w:val="20"/>
          <w:szCs w:val="20"/>
          <w:color w:val="auto"/>
        </w:rPr>
      </w:pPr>
      <w:r>
        <w:rPr>
          <w:rFonts w:ascii="Arial" w:cs="Arial" w:eastAsia="Arial" w:hAnsi="Arial"/>
          <w:sz w:val="17"/>
          <w:szCs w:val="17"/>
          <w:color w:val="auto"/>
        </w:rPr>
        <w:t>We regularly review the services and fees of our independent accountants. These services and fees are also reviewed by the Audit Committee on an annual basis. The aggregate fees billed and accrued for the fiscal years ended December 31, 2016 and 2015 for each of the following categories of services are as follows:</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Fee Category</w:t>
            </w: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 ($)</w:t>
            </w:r>
          </w:p>
        </w:tc>
        <w:tc>
          <w:tcPr>
            <w:tcW w:w="160" w:type="dxa"/>
            <w:vAlign w:val="bottom"/>
          </w:tcPr>
          <w:p>
            <w:pPr>
              <w:spacing w:after="0"/>
              <w:rPr>
                <w:sz w:val="14"/>
                <w:szCs w:val="14"/>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2015 ($)</w:t>
            </w: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291,691</w:t>
            </w:r>
          </w:p>
        </w:tc>
      </w:tr>
      <w:tr>
        <w:trPr>
          <w:trHeight w:val="215"/>
        </w:trPr>
        <w:tc>
          <w:tcPr>
            <w:tcW w:w="67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67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291,691</w:t>
            </w:r>
          </w:p>
        </w:tc>
      </w:tr>
    </w:tbl>
    <w:p>
      <w:pPr>
        <w:spacing w:after="0" w:line="201" w:lineRule="exact"/>
        <w:rPr>
          <w:sz w:val="20"/>
          <w:szCs w:val="20"/>
          <w:color w:val="auto"/>
        </w:rPr>
      </w:pPr>
    </w:p>
    <w:p>
      <w:pPr>
        <w:ind w:left="160" w:right="239" w:firstLine="646"/>
        <w:spacing w:after="0" w:line="262"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Consist of fees billed and accrued for professional services rendered for the audit of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the review of interim financial statements and services provided in connection with our registration statements.</w:t>
      </w:r>
    </w:p>
    <w:p>
      <w:pPr>
        <w:spacing w:after="0" w:line="183" w:lineRule="exact"/>
        <w:rPr>
          <w:sz w:val="20"/>
          <w:szCs w:val="20"/>
          <w:color w:val="auto"/>
        </w:rPr>
      </w:pPr>
    </w:p>
    <w:p>
      <w:pPr>
        <w:ind w:left="160" w:right="399" w:firstLine="646"/>
        <w:spacing w:after="0" w:line="340"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Consist of fees billed for assurance and related services that are reasonably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audit or review of our financial statements and are not reported under “Audit Fees.”</w:t>
      </w:r>
    </w:p>
    <w:p>
      <w:pPr>
        <w:spacing w:after="0" w:line="125" w:lineRule="exact"/>
        <w:rPr>
          <w:sz w:val="20"/>
          <w:szCs w:val="20"/>
          <w:color w:val="auto"/>
        </w:rPr>
      </w:pPr>
    </w:p>
    <w:p>
      <w:pPr>
        <w:ind w:left="160" w:right="259" w:firstLine="646"/>
        <w:spacing w:after="0" w:line="276"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of fees billed for tax compliance, tax advice and tax planning and includes fees for tax return</w:t>
      </w:r>
      <w:r>
        <w:rPr>
          <w:rFonts w:ascii="Arial" w:cs="Arial" w:eastAsia="Arial" w:hAnsi="Arial"/>
          <w:sz w:val="18"/>
          <w:szCs w:val="18"/>
          <w:i w:val="1"/>
          <w:iCs w:val="1"/>
          <w:color w:val="auto"/>
        </w:rPr>
        <w:t xml:space="preserve"> </w:t>
      </w:r>
      <w:r>
        <w:rPr>
          <w:rFonts w:ascii="Arial" w:cs="Arial" w:eastAsia="Arial" w:hAnsi="Arial"/>
          <w:sz w:val="18"/>
          <w:szCs w:val="18"/>
          <w:color w:val="auto"/>
        </w:rPr>
        <w:t>preparation.</w:t>
      </w:r>
    </w:p>
    <w:p>
      <w:pPr>
        <w:spacing w:after="0" w:line="170" w:lineRule="exact"/>
        <w:rPr>
          <w:sz w:val="20"/>
          <w:szCs w:val="20"/>
          <w:color w:val="auto"/>
        </w:rPr>
      </w:pPr>
    </w:p>
    <w:p>
      <w:pPr>
        <w:ind w:left="160" w:right="359" w:firstLine="646"/>
        <w:spacing w:after="0" w:line="276"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Consist of fees billed for products and services, other than those described above under Audit</w:t>
      </w:r>
      <w:r>
        <w:rPr>
          <w:rFonts w:ascii="Arial" w:cs="Arial" w:eastAsia="Arial" w:hAnsi="Arial"/>
          <w:sz w:val="18"/>
          <w:szCs w:val="18"/>
          <w:i w:val="1"/>
          <w:iCs w:val="1"/>
          <w:color w:val="auto"/>
        </w:rPr>
        <w:t xml:space="preserve"> </w:t>
      </w:r>
      <w:r>
        <w:rPr>
          <w:rFonts w:ascii="Arial" w:cs="Arial" w:eastAsia="Arial" w:hAnsi="Arial"/>
          <w:sz w:val="18"/>
          <w:szCs w:val="18"/>
          <w:color w:val="auto"/>
        </w:rPr>
        <w:t>Fees, Audit-Related Fees and Tax Fees.</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IV</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Consolidated Financial Statements</w:t>
      </w:r>
    </w:p>
    <w:p>
      <w:pPr>
        <w:spacing w:after="0" w:line="228" w:lineRule="exact"/>
        <w:rPr>
          <w:sz w:val="20"/>
          <w:szCs w:val="20"/>
          <w:color w:val="auto"/>
        </w:rPr>
      </w:pPr>
    </w:p>
    <w:p>
      <w:pPr>
        <w:ind w:left="800"/>
        <w:spacing w:after="0" w:line="184" w:lineRule="exact"/>
        <w:rPr>
          <w:sz w:val="20"/>
          <w:szCs w:val="20"/>
          <w:color w:val="auto"/>
        </w:rPr>
      </w:pPr>
      <w:r>
        <w:rPr>
          <w:rFonts w:ascii="Arial" w:cs="Arial" w:eastAsia="Arial" w:hAnsi="Arial"/>
          <w:sz w:val="16"/>
          <w:szCs w:val="16"/>
          <w:color w:val="auto"/>
        </w:rPr>
        <w:t>See Part II, Item 8 for the Financial Statements required to be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Consolidated Financial Statement Schedules</w:t>
      </w:r>
    </w:p>
    <w:p>
      <w:pPr>
        <w:spacing w:after="0" w:line="228" w:lineRule="exact"/>
        <w:rPr>
          <w:sz w:val="20"/>
          <w:szCs w:val="20"/>
          <w:color w:val="auto"/>
        </w:rPr>
      </w:pPr>
    </w:p>
    <w:p>
      <w:pPr>
        <w:ind w:left="160" w:right="539" w:firstLine="646"/>
        <w:spacing w:after="0" w:line="276" w:lineRule="auto"/>
        <w:rPr>
          <w:sz w:val="20"/>
          <w:szCs w:val="20"/>
          <w:color w:val="auto"/>
        </w:rPr>
      </w:pPr>
      <w:r>
        <w:rPr>
          <w:rFonts w:ascii="Arial" w:cs="Arial" w:eastAsia="Arial" w:hAnsi="Arial"/>
          <w:sz w:val="18"/>
          <w:szCs w:val="18"/>
          <w:color w:val="auto"/>
        </w:rPr>
        <w:t>All financial statement schedules are omitted because they are not applicable or the required information is included in the consolidated financial statements or notes thereto.</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Exhibits</w:t>
      </w:r>
    </w:p>
    <w:p>
      <w:pPr>
        <w:spacing w:after="0" w:line="228" w:lineRule="exact"/>
        <w:rPr>
          <w:sz w:val="20"/>
          <w:szCs w:val="20"/>
          <w:color w:val="auto"/>
        </w:rPr>
      </w:pPr>
    </w:p>
    <w:p>
      <w:pPr>
        <w:ind w:left="160" w:right="379" w:firstLine="646"/>
        <w:spacing w:after="0" w:line="223" w:lineRule="exact"/>
        <w:rPr>
          <w:sz w:val="20"/>
          <w:szCs w:val="20"/>
          <w:color w:val="auto"/>
        </w:rPr>
      </w:pPr>
      <w:r>
        <w:rPr>
          <w:rFonts w:ascii="Arial" w:cs="Arial" w:eastAsia="Arial" w:hAnsi="Arial"/>
          <w:sz w:val="18"/>
          <w:szCs w:val="18"/>
          <w:color w:val="auto"/>
        </w:rPr>
        <w:t>Those exhibits required to be filed by Item 601 of Regulation S</w:t>
      </w:r>
      <w:r>
        <w:rPr>
          <w:rFonts w:ascii="MS PGothic" w:cs="MS PGothic" w:eastAsia="MS PGothic" w:hAnsi="MS PGothic"/>
          <w:sz w:val="18"/>
          <w:szCs w:val="18"/>
          <w:color w:val="auto"/>
        </w:rPr>
        <w:t>‑</w:t>
      </w:r>
      <w:r>
        <w:rPr>
          <w:rFonts w:ascii="Arial" w:cs="Arial" w:eastAsia="Arial" w:hAnsi="Arial"/>
          <w:sz w:val="18"/>
          <w:szCs w:val="18"/>
          <w:color w:val="auto"/>
        </w:rPr>
        <w:t>K are listed in the Exhibit Index immediately preceding the exhibits hereto and such listing is incorporated herein by reference.</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16. Form 10-K Summary</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7" w:name="page98"/>
    <w:bookmarkEnd w:id="9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left="160" w:right="219" w:firstLine="64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23</w:t>
      </w:r>
      <w:r>
        <w:rPr>
          <w:rFonts w:ascii="Arial" w:cs="Arial" w:eastAsia="Arial" w:hAnsi="Arial"/>
          <w:sz w:val="8"/>
          <w:szCs w:val="8"/>
          <w:color w:val="auto"/>
        </w:rPr>
        <w:t>rd</w:t>
      </w:r>
      <w:r>
        <w:rPr>
          <w:rFonts w:ascii="Arial" w:cs="Arial" w:eastAsia="Arial" w:hAnsi="Arial"/>
          <w:sz w:val="18"/>
          <w:szCs w:val="18"/>
          <w:color w:val="auto"/>
        </w:rPr>
        <w:t xml:space="preserve"> day of March 2017.</w:t>
      </w:r>
    </w:p>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VERASTEM, INC.</w:t>
      </w:r>
    </w:p>
    <w:p>
      <w:pPr>
        <w:spacing w:after="0" w:line="23" w:lineRule="exact"/>
        <w:rPr>
          <w:sz w:val="20"/>
          <w:szCs w:val="20"/>
          <w:color w:val="auto"/>
        </w:rPr>
      </w:pPr>
    </w:p>
    <w:p>
      <w:pPr>
        <w:ind w:left="45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Forrester</w:t>
      </w:r>
    </w:p>
    <w:p>
      <w:pPr>
        <w:spacing w:after="0" w:line="209"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Robert Forrester</w:t>
      </w:r>
    </w:p>
    <w:p>
      <w:pPr>
        <w:spacing w:after="0" w:line="2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Chief Executive Officer</w:t>
      </w:r>
    </w:p>
    <w:p>
      <w:pPr>
        <w:spacing w:after="0" w:line="223" w:lineRule="exact"/>
        <w:rPr>
          <w:sz w:val="20"/>
          <w:szCs w:val="20"/>
          <w:color w:val="auto"/>
        </w:rPr>
      </w:pPr>
    </w:p>
    <w:p>
      <w:pPr>
        <w:ind w:left="160" w:right="819" w:firstLine="646"/>
        <w:spacing w:after="0" w:line="306"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registrant in the capacities and on the dates indicated.</w:t>
      </w:r>
    </w:p>
    <w:p>
      <w:pPr>
        <w:spacing w:after="0" w:line="139"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 w:type="dxa"/>
            <w:vAlign w:val="bottom"/>
          </w:tcPr>
          <w:p>
            <w:pPr>
              <w:spacing w:after="0"/>
              <w:rPr>
                <w:sz w:val="16"/>
                <w:szCs w:val="16"/>
                <w:color w:val="auto"/>
              </w:rPr>
            </w:pPr>
          </w:p>
        </w:tc>
        <w:tc>
          <w:tcPr>
            <w:tcW w:w="4280" w:type="dxa"/>
            <w:vAlign w:val="bottom"/>
            <w:gridSpan w:val="2"/>
          </w:tcPr>
          <w:p>
            <w:pPr>
              <w:ind w:left="1940"/>
              <w:spacing w:after="0"/>
              <w:rPr>
                <w:sz w:val="20"/>
                <w:szCs w:val="20"/>
                <w:color w:val="auto"/>
              </w:rPr>
            </w:pPr>
            <w:r>
              <w:rPr>
                <w:rFonts w:ascii="Arial" w:cs="Arial" w:eastAsia="Arial" w:hAnsi="Arial"/>
                <w:sz w:val="14"/>
                <w:szCs w:val="14"/>
                <w:b w:val="1"/>
                <w:bCs w:val="1"/>
                <w:color w:val="auto"/>
              </w:rPr>
              <w:t>Title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/s/ Robert Forrester</w:t>
            </w:r>
          </w:p>
        </w:tc>
        <w:tc>
          <w:tcPr>
            <w:tcW w:w="160" w:type="dxa"/>
            <w:vAlign w:val="bottom"/>
          </w:tcPr>
          <w:p>
            <w:pPr>
              <w:spacing w:after="0"/>
              <w:rPr>
                <w:sz w:val="12"/>
                <w:szCs w:val="12"/>
                <w:color w:val="auto"/>
              </w:rPr>
            </w:pPr>
          </w:p>
        </w:tc>
        <w:tc>
          <w:tcPr>
            <w:tcW w:w="4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000" w:type="dxa"/>
            <w:vAlign w:val="bottom"/>
          </w:tcPr>
          <w:p>
            <w:pPr>
              <w:jc w:val="center"/>
              <w:spacing w:after="0"/>
              <w:rPr>
                <w:sz w:val="20"/>
                <w:szCs w:val="20"/>
                <w:color w:val="auto"/>
              </w:rPr>
            </w:pPr>
            <w:r>
              <w:rPr>
                <w:rFonts w:ascii="Arial" w:cs="Arial" w:eastAsia="Arial" w:hAnsi="Arial"/>
                <w:sz w:val="18"/>
                <w:szCs w:val="18"/>
                <w:color w:val="auto"/>
                <w:w w:val="89"/>
              </w:rPr>
              <w:t>Robert Forrester</w:t>
            </w: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and 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March 23, 2017</w:t>
            </w: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444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444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000" w:type="dxa"/>
            <w:vAlign w:val="bottom"/>
          </w:tcPr>
          <w:p>
            <w:pPr>
              <w:jc w:val="center"/>
              <w:spacing w:after="0"/>
              <w:rPr>
                <w:sz w:val="20"/>
                <w:szCs w:val="20"/>
                <w:color w:val="auto"/>
              </w:rPr>
            </w:pPr>
            <w:r>
              <w:rPr>
                <w:rFonts w:ascii="Arial" w:cs="Arial" w:eastAsia="Arial" w:hAnsi="Arial"/>
                <w:sz w:val="18"/>
                <w:szCs w:val="18"/>
                <w:color w:val="auto"/>
                <w:w w:val="88"/>
              </w:rPr>
              <w:t>/s/ Joseph Chiapponi</w:t>
            </w:r>
          </w:p>
        </w:tc>
        <w:tc>
          <w:tcPr>
            <w:tcW w:w="4440" w:type="dxa"/>
            <w:vAlign w:val="bottom"/>
            <w:gridSpan w:val="3"/>
            <w:vMerge w:val="restart"/>
          </w:tcPr>
          <w:p>
            <w:pPr>
              <w:ind w:left="160"/>
              <w:spacing w:after="0"/>
              <w:rPr>
                <w:sz w:val="20"/>
                <w:szCs w:val="20"/>
                <w:color w:val="auto"/>
              </w:rPr>
            </w:pPr>
            <w:r>
              <w:rPr>
                <w:rFonts w:ascii="Arial" w:cs="Arial" w:eastAsia="Arial" w:hAnsi="Arial"/>
                <w:sz w:val="18"/>
                <w:szCs w:val="18"/>
                <w:color w:val="auto"/>
              </w:rPr>
              <w:t>Vice President, Finance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00" w:type="dxa"/>
            <w:vAlign w:val="bottom"/>
          </w:tcPr>
          <w:p>
            <w:pPr>
              <w:jc w:val="center"/>
              <w:spacing w:after="0" w:line="175" w:lineRule="exact"/>
              <w:rPr>
                <w:sz w:val="20"/>
                <w:szCs w:val="20"/>
                <w:color w:val="auto"/>
              </w:rPr>
            </w:pPr>
            <w:r>
              <w:rPr>
                <w:rFonts w:ascii="Arial" w:cs="Arial" w:eastAsia="Arial" w:hAnsi="Arial"/>
                <w:sz w:val="18"/>
                <w:szCs w:val="18"/>
                <w:color w:val="auto"/>
                <w:w w:val="88"/>
              </w:rPr>
              <w:t>Joseph Chiapponi</w:t>
            </w:r>
          </w:p>
        </w:tc>
        <w:tc>
          <w:tcPr>
            <w:tcW w:w="4440" w:type="dxa"/>
            <w:vAlign w:val="bottom"/>
            <w:gridSpan w:val="3"/>
            <w:vMerge w:val="continue"/>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March 23, 2017</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444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financial and accounting officer)</w:t>
            </w: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444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3000" w:type="dxa"/>
            <w:vAlign w:val="bottom"/>
          </w:tcPr>
          <w:p>
            <w:pPr>
              <w:jc w:val="center"/>
              <w:spacing w:after="0"/>
              <w:rPr>
                <w:sz w:val="20"/>
                <w:szCs w:val="20"/>
                <w:color w:val="auto"/>
              </w:rPr>
            </w:pPr>
            <w:r>
              <w:rPr>
                <w:rFonts w:ascii="Arial" w:cs="Arial" w:eastAsia="Arial" w:hAnsi="Arial"/>
                <w:sz w:val="18"/>
                <w:szCs w:val="18"/>
                <w:color w:val="auto"/>
                <w:w w:val="92"/>
              </w:rPr>
              <w:t>/s/ Timothy Barberich</w:t>
            </w:r>
          </w:p>
        </w:tc>
        <w:tc>
          <w:tcPr>
            <w:tcW w:w="444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March 23, 2017</w:t>
            </w:r>
          </w:p>
        </w:tc>
        <w:tc>
          <w:tcPr>
            <w:tcW w:w="0" w:type="dxa"/>
            <w:vAlign w:val="bottom"/>
          </w:tcPr>
          <w:p>
            <w:pPr>
              <w:spacing w:after="0"/>
              <w:rPr>
                <w:sz w:val="1"/>
                <w:szCs w:val="1"/>
                <w:color w:val="auto"/>
              </w:rPr>
            </w:pPr>
          </w:p>
        </w:tc>
      </w:tr>
      <w:tr>
        <w:trPr>
          <w:trHeight w:val="230"/>
        </w:trPr>
        <w:tc>
          <w:tcPr>
            <w:tcW w:w="3000" w:type="dxa"/>
            <w:vAlign w:val="bottom"/>
          </w:tcPr>
          <w:p>
            <w:pPr>
              <w:jc w:val="center"/>
              <w:spacing w:after="0"/>
              <w:rPr>
                <w:sz w:val="20"/>
                <w:szCs w:val="20"/>
                <w:color w:val="auto"/>
              </w:rPr>
            </w:pPr>
            <w:r>
              <w:rPr>
                <w:rFonts w:ascii="Arial" w:cs="Arial" w:eastAsia="Arial" w:hAnsi="Arial"/>
                <w:sz w:val="18"/>
                <w:szCs w:val="18"/>
                <w:color w:val="auto"/>
                <w:w w:val="93"/>
              </w:rPr>
              <w:t>Timothy Barberich</w:t>
            </w:r>
          </w:p>
        </w:tc>
        <w:tc>
          <w:tcPr>
            <w:tcW w:w="4440" w:type="dxa"/>
            <w:vAlign w:val="bottom"/>
            <w:gridSpan w:val="3"/>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000" w:type="dxa"/>
            <w:vAlign w:val="bottom"/>
          </w:tcPr>
          <w:p>
            <w:pPr>
              <w:jc w:val="center"/>
              <w:spacing w:after="0"/>
              <w:rPr>
                <w:sz w:val="20"/>
                <w:szCs w:val="20"/>
                <w:color w:val="auto"/>
              </w:rPr>
            </w:pPr>
            <w:r>
              <w:rPr>
                <w:rFonts w:ascii="Arial" w:cs="Arial" w:eastAsia="Arial" w:hAnsi="Arial"/>
                <w:sz w:val="18"/>
                <w:szCs w:val="18"/>
                <w:color w:val="auto"/>
                <w:w w:val="92"/>
              </w:rPr>
              <w:t>/s/ Paul A. Friedman, M.D.</w:t>
            </w:r>
          </w:p>
        </w:tc>
        <w:tc>
          <w:tcPr>
            <w:tcW w:w="444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March 23, 2017</w:t>
            </w:r>
          </w:p>
        </w:tc>
        <w:tc>
          <w:tcPr>
            <w:tcW w:w="0" w:type="dxa"/>
            <w:vAlign w:val="bottom"/>
          </w:tcPr>
          <w:p>
            <w:pPr>
              <w:spacing w:after="0"/>
              <w:rPr>
                <w:sz w:val="1"/>
                <w:szCs w:val="1"/>
                <w:color w:val="auto"/>
              </w:rPr>
            </w:pPr>
          </w:p>
        </w:tc>
      </w:tr>
      <w:tr>
        <w:trPr>
          <w:trHeight w:val="230"/>
        </w:trPr>
        <w:tc>
          <w:tcPr>
            <w:tcW w:w="3000" w:type="dxa"/>
            <w:vAlign w:val="bottom"/>
          </w:tcPr>
          <w:p>
            <w:pPr>
              <w:jc w:val="center"/>
              <w:spacing w:after="0"/>
              <w:rPr>
                <w:sz w:val="20"/>
                <w:szCs w:val="20"/>
                <w:color w:val="auto"/>
              </w:rPr>
            </w:pPr>
            <w:r>
              <w:rPr>
                <w:rFonts w:ascii="Arial" w:cs="Arial" w:eastAsia="Arial" w:hAnsi="Arial"/>
                <w:sz w:val="18"/>
                <w:szCs w:val="18"/>
                <w:color w:val="auto"/>
                <w:w w:val="92"/>
              </w:rPr>
              <w:t>Paul A. Friedman, M.D.</w:t>
            </w:r>
          </w:p>
        </w:tc>
        <w:tc>
          <w:tcPr>
            <w:tcW w:w="4440" w:type="dxa"/>
            <w:vAlign w:val="bottom"/>
            <w:gridSpan w:val="3"/>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000" w:type="dxa"/>
            <w:vAlign w:val="bottom"/>
          </w:tcPr>
          <w:p>
            <w:pPr>
              <w:jc w:val="center"/>
              <w:spacing w:after="0"/>
              <w:rPr>
                <w:sz w:val="20"/>
                <w:szCs w:val="20"/>
                <w:color w:val="auto"/>
              </w:rPr>
            </w:pPr>
            <w:r>
              <w:rPr>
                <w:rFonts w:ascii="Arial" w:cs="Arial" w:eastAsia="Arial" w:hAnsi="Arial"/>
                <w:sz w:val="18"/>
                <w:szCs w:val="18"/>
                <w:color w:val="auto"/>
                <w:w w:val="93"/>
              </w:rPr>
              <w:t>/s/ Michael Kauffman, M.D.,Ph.D.</w:t>
            </w:r>
          </w:p>
        </w:tc>
        <w:tc>
          <w:tcPr>
            <w:tcW w:w="444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March 23, 2017</w:t>
            </w:r>
          </w:p>
        </w:tc>
        <w:tc>
          <w:tcPr>
            <w:tcW w:w="0" w:type="dxa"/>
            <w:vAlign w:val="bottom"/>
          </w:tcPr>
          <w:p>
            <w:pPr>
              <w:spacing w:after="0"/>
              <w:rPr>
                <w:sz w:val="1"/>
                <w:szCs w:val="1"/>
                <w:color w:val="auto"/>
              </w:rPr>
            </w:pPr>
          </w:p>
        </w:tc>
      </w:tr>
      <w:tr>
        <w:trPr>
          <w:trHeight w:val="230"/>
        </w:trPr>
        <w:tc>
          <w:tcPr>
            <w:tcW w:w="3000" w:type="dxa"/>
            <w:vAlign w:val="bottom"/>
          </w:tcPr>
          <w:p>
            <w:pPr>
              <w:jc w:val="center"/>
              <w:spacing w:after="0"/>
              <w:rPr>
                <w:sz w:val="20"/>
                <w:szCs w:val="20"/>
                <w:color w:val="auto"/>
              </w:rPr>
            </w:pPr>
            <w:r>
              <w:rPr>
                <w:rFonts w:ascii="Arial" w:cs="Arial" w:eastAsia="Arial" w:hAnsi="Arial"/>
                <w:sz w:val="18"/>
                <w:szCs w:val="18"/>
                <w:color w:val="auto"/>
                <w:w w:val="93"/>
              </w:rPr>
              <w:t>Michael Kauffman, M.D., Ph.D.</w:t>
            </w:r>
          </w:p>
        </w:tc>
        <w:tc>
          <w:tcPr>
            <w:tcW w:w="4440" w:type="dxa"/>
            <w:vAlign w:val="bottom"/>
            <w:gridSpan w:val="3"/>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000" w:type="dxa"/>
            <w:vAlign w:val="bottom"/>
          </w:tcPr>
          <w:p>
            <w:pPr>
              <w:jc w:val="center"/>
              <w:spacing w:after="0"/>
              <w:rPr>
                <w:sz w:val="20"/>
                <w:szCs w:val="20"/>
                <w:color w:val="auto"/>
              </w:rPr>
            </w:pPr>
            <w:r>
              <w:rPr>
                <w:rFonts w:ascii="Arial" w:cs="Arial" w:eastAsia="Arial" w:hAnsi="Arial"/>
                <w:sz w:val="18"/>
                <w:szCs w:val="18"/>
                <w:color w:val="auto"/>
                <w:w w:val="94"/>
              </w:rPr>
              <w:t>/s/ Alison Lawton</w:t>
            </w:r>
          </w:p>
        </w:tc>
        <w:tc>
          <w:tcPr>
            <w:tcW w:w="444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March 23, 2017</w:t>
            </w:r>
          </w:p>
        </w:tc>
        <w:tc>
          <w:tcPr>
            <w:tcW w:w="0" w:type="dxa"/>
            <w:vAlign w:val="bottom"/>
          </w:tcPr>
          <w:p>
            <w:pPr>
              <w:spacing w:after="0"/>
              <w:rPr>
                <w:sz w:val="1"/>
                <w:szCs w:val="1"/>
                <w:color w:val="auto"/>
              </w:rPr>
            </w:pPr>
          </w:p>
        </w:tc>
      </w:tr>
      <w:tr>
        <w:trPr>
          <w:trHeight w:val="230"/>
        </w:trPr>
        <w:tc>
          <w:tcPr>
            <w:tcW w:w="3000" w:type="dxa"/>
            <w:vAlign w:val="bottom"/>
          </w:tcPr>
          <w:p>
            <w:pPr>
              <w:jc w:val="center"/>
              <w:spacing w:after="0"/>
              <w:rPr>
                <w:sz w:val="20"/>
                <w:szCs w:val="20"/>
                <w:color w:val="auto"/>
              </w:rPr>
            </w:pPr>
            <w:r>
              <w:rPr>
                <w:rFonts w:ascii="Arial" w:cs="Arial" w:eastAsia="Arial" w:hAnsi="Arial"/>
                <w:sz w:val="18"/>
                <w:szCs w:val="18"/>
                <w:color w:val="auto"/>
                <w:w w:val="96"/>
              </w:rPr>
              <w:t>Alison Lawton</w:t>
            </w:r>
          </w:p>
        </w:tc>
        <w:tc>
          <w:tcPr>
            <w:tcW w:w="4440" w:type="dxa"/>
            <w:vAlign w:val="bottom"/>
            <w:gridSpan w:val="3"/>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000" w:type="dxa"/>
            <w:vAlign w:val="bottom"/>
          </w:tcPr>
          <w:p>
            <w:pPr>
              <w:jc w:val="center"/>
              <w:spacing w:after="0"/>
              <w:rPr>
                <w:sz w:val="20"/>
                <w:szCs w:val="20"/>
                <w:color w:val="auto"/>
              </w:rPr>
            </w:pPr>
            <w:r>
              <w:rPr>
                <w:rFonts w:ascii="Arial" w:cs="Arial" w:eastAsia="Arial" w:hAnsi="Arial"/>
                <w:sz w:val="18"/>
                <w:szCs w:val="18"/>
                <w:color w:val="auto"/>
                <w:w w:val="89"/>
              </w:rPr>
              <w:t>/s/ S. Louise Phanstiel</w:t>
            </w:r>
          </w:p>
        </w:tc>
        <w:tc>
          <w:tcPr>
            <w:tcW w:w="444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March 23, 2017</w:t>
            </w:r>
          </w:p>
        </w:tc>
        <w:tc>
          <w:tcPr>
            <w:tcW w:w="0" w:type="dxa"/>
            <w:vAlign w:val="bottom"/>
          </w:tcPr>
          <w:p>
            <w:pPr>
              <w:spacing w:after="0"/>
              <w:rPr>
                <w:sz w:val="1"/>
                <w:szCs w:val="1"/>
                <w:color w:val="auto"/>
              </w:rPr>
            </w:pPr>
          </w:p>
        </w:tc>
      </w:tr>
      <w:tr>
        <w:trPr>
          <w:trHeight w:val="230"/>
        </w:trPr>
        <w:tc>
          <w:tcPr>
            <w:tcW w:w="3000" w:type="dxa"/>
            <w:vAlign w:val="bottom"/>
          </w:tcPr>
          <w:p>
            <w:pPr>
              <w:jc w:val="center"/>
              <w:spacing w:after="0"/>
              <w:rPr>
                <w:sz w:val="20"/>
                <w:szCs w:val="20"/>
                <w:color w:val="auto"/>
              </w:rPr>
            </w:pPr>
            <w:r>
              <w:rPr>
                <w:rFonts w:ascii="Arial" w:cs="Arial" w:eastAsia="Arial" w:hAnsi="Arial"/>
                <w:sz w:val="18"/>
                <w:szCs w:val="18"/>
                <w:color w:val="auto"/>
                <w:w w:val="89"/>
              </w:rPr>
              <w:t>S. Louise Phanstiel</w:t>
            </w:r>
          </w:p>
        </w:tc>
        <w:tc>
          <w:tcPr>
            <w:tcW w:w="4440" w:type="dxa"/>
            <w:vAlign w:val="bottom"/>
            <w:gridSpan w:val="3"/>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000" w:type="dxa"/>
            <w:vAlign w:val="bottom"/>
          </w:tcPr>
          <w:p>
            <w:pPr>
              <w:jc w:val="center"/>
              <w:spacing w:after="0"/>
              <w:rPr>
                <w:sz w:val="20"/>
                <w:szCs w:val="20"/>
                <w:color w:val="auto"/>
              </w:rPr>
            </w:pPr>
            <w:r>
              <w:rPr>
                <w:rFonts w:ascii="Arial" w:cs="Arial" w:eastAsia="Arial" w:hAnsi="Arial"/>
                <w:sz w:val="18"/>
                <w:szCs w:val="18"/>
                <w:color w:val="auto"/>
                <w:w w:val="90"/>
              </w:rPr>
              <w:t>/s/ Bruce Wendel</w:t>
            </w:r>
          </w:p>
        </w:tc>
        <w:tc>
          <w:tcPr>
            <w:tcW w:w="444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March 23, 2017</w:t>
            </w:r>
          </w:p>
        </w:tc>
        <w:tc>
          <w:tcPr>
            <w:tcW w:w="0" w:type="dxa"/>
            <w:vAlign w:val="bottom"/>
          </w:tcPr>
          <w:p>
            <w:pPr>
              <w:spacing w:after="0"/>
              <w:rPr>
                <w:sz w:val="1"/>
                <w:szCs w:val="1"/>
                <w:color w:val="auto"/>
              </w:rPr>
            </w:pPr>
          </w:p>
        </w:tc>
      </w:tr>
      <w:tr>
        <w:trPr>
          <w:trHeight w:val="230"/>
        </w:trPr>
        <w:tc>
          <w:tcPr>
            <w:tcW w:w="3000" w:type="dxa"/>
            <w:vAlign w:val="bottom"/>
          </w:tcPr>
          <w:p>
            <w:pPr>
              <w:jc w:val="center"/>
              <w:spacing w:after="0"/>
              <w:rPr>
                <w:sz w:val="20"/>
                <w:szCs w:val="20"/>
                <w:color w:val="auto"/>
              </w:rPr>
            </w:pPr>
            <w:r>
              <w:rPr>
                <w:rFonts w:ascii="Arial" w:cs="Arial" w:eastAsia="Arial" w:hAnsi="Arial"/>
                <w:sz w:val="18"/>
                <w:szCs w:val="18"/>
                <w:color w:val="auto"/>
                <w:w w:val="90"/>
              </w:rPr>
              <w:t>Bruce Wendel</w:t>
            </w:r>
          </w:p>
        </w:tc>
        <w:tc>
          <w:tcPr>
            <w:tcW w:w="4440" w:type="dxa"/>
            <w:vAlign w:val="bottom"/>
            <w:gridSpan w:val="3"/>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tbl>
      <w:tblPr>
        <w:tblLayout w:type="fixed"/>
        <w:tblInd w:w="160" w:type="dxa"/>
        <w:tblCellMar>
          <w:top w:w="0" w:type="dxa"/>
          <w:left w:w="0" w:type="dxa"/>
          <w:bottom w:w="0" w:type="dxa"/>
          <w:right w:w="0" w:type="dxa"/>
        </w:tblCellMar>
      </w:tblPr>
      <w:tr>
        <w:trPr>
          <w:trHeight w:val="207"/>
        </w:trPr>
        <w:tc>
          <w:tcPr>
            <w:tcW w:w="7340" w:type="dxa"/>
            <w:vAlign w:val="bottom"/>
            <w:gridSpan w:val="8"/>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380" w:type="dxa"/>
            <w:vAlign w:val="bottom"/>
          </w:tcPr>
          <w:p>
            <w:pPr>
              <w:spacing w:after="0"/>
              <w:rPr>
                <w:sz w:val="17"/>
                <w:szCs w:val="17"/>
                <w:color w:val="auto"/>
              </w:rPr>
            </w:pPr>
          </w:p>
        </w:tc>
      </w:tr>
      <w:tr>
        <w:trPr>
          <w:trHeight w:val="774"/>
        </w:trPr>
        <w:tc>
          <w:tcPr>
            <w:tcW w:w="1260" w:type="dxa"/>
            <w:vAlign w:val="bottom"/>
            <w:tcBorders>
              <w:top w:val="single" w:sz="8" w:color="0563C1"/>
            </w:tcBorders>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2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0"/>
              </w:rPr>
              <w:t>Verastem, Inc.</w:t>
            </w:r>
          </w:p>
        </w:tc>
        <w:tc>
          <w:tcPr>
            <w:tcW w:w="1380" w:type="dxa"/>
            <w:vAlign w:val="bottom"/>
          </w:tcPr>
          <w:p>
            <w:pPr>
              <w:spacing w:after="0"/>
              <w:rPr>
                <w:sz w:val="24"/>
                <w:szCs w:val="24"/>
                <w:color w:val="auto"/>
              </w:rPr>
            </w:pPr>
          </w:p>
        </w:tc>
      </w:tr>
      <w:tr>
        <w:trPr>
          <w:trHeight w:val="431"/>
        </w:trPr>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6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rPr>
              <w:t>CONSOLIDATED FINANCIAL STATEMENTS</w:t>
            </w:r>
          </w:p>
        </w:tc>
        <w:tc>
          <w:tcPr>
            <w:tcW w:w="1380" w:type="dxa"/>
            <w:vAlign w:val="bottom"/>
          </w:tcPr>
          <w:p>
            <w:pPr>
              <w:spacing w:after="0"/>
              <w:rPr>
                <w:sz w:val="24"/>
                <w:szCs w:val="24"/>
                <w:color w:val="auto"/>
              </w:rPr>
            </w:pPr>
          </w:p>
        </w:tc>
      </w:tr>
      <w:tr>
        <w:trPr>
          <w:trHeight w:val="431"/>
        </w:trPr>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2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8"/>
              </w:rPr>
              <w:t>CONTENTS</w:t>
            </w:r>
          </w:p>
        </w:tc>
        <w:tc>
          <w:tcPr>
            <w:tcW w:w="1380" w:type="dxa"/>
            <w:vAlign w:val="bottom"/>
          </w:tcPr>
          <w:p>
            <w:pPr>
              <w:spacing w:after="0"/>
              <w:rPr>
                <w:sz w:val="24"/>
                <w:szCs w:val="24"/>
                <w:color w:val="auto"/>
              </w:rPr>
            </w:pPr>
          </w:p>
        </w:tc>
      </w:tr>
      <w:tr>
        <w:trPr>
          <w:trHeight w:val="404"/>
        </w:trPr>
        <w:tc>
          <w:tcPr>
            <w:tcW w:w="42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Report of Independent Registered Public Accounting Firm</w:t>
              </w:r>
            </w:hyperlink>
          </w:p>
        </w:tc>
        <w:tc>
          <w:tcPr>
            <w:tcW w:w="3140" w:type="dxa"/>
            <w:vAlign w:val="bottom"/>
            <w:gridSpan w:val="2"/>
          </w:tcPr>
          <w:p>
            <w:pPr>
              <w:spacing w:after="0"/>
              <w:rPr>
                <w:sz w:val="24"/>
                <w:szCs w:val="24"/>
                <w:color w:val="auto"/>
              </w:rPr>
            </w:pPr>
          </w:p>
        </w:tc>
        <w:tc>
          <w:tcPr>
            <w:tcW w:w="1380" w:type="dxa"/>
            <w:vAlign w:val="bottom"/>
          </w:tcPr>
          <w:p>
            <w:pPr>
              <w:ind w:left="1120"/>
              <w:spacing w:after="0" w:line="207"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2</w:t>
            </w:r>
          </w:p>
        </w:tc>
      </w:tr>
      <w:tr>
        <w:trPr>
          <w:trHeight w:val="221"/>
        </w:trPr>
        <w:tc>
          <w:tcPr>
            <w:tcW w:w="7340" w:type="dxa"/>
            <w:vAlign w:val="bottom"/>
            <w:gridSpan w:val="8"/>
          </w:tcPr>
          <w:p>
            <w:pPr>
              <w:spacing w:after="0"/>
              <w:rPr>
                <w:sz w:val="20"/>
                <w:szCs w:val="20"/>
                <w:color w:val="auto"/>
              </w:rPr>
            </w:pPr>
            <w:r>
              <w:rPr>
                <w:rFonts w:ascii="Arial" w:cs="Arial" w:eastAsia="Arial" w:hAnsi="Arial"/>
                <w:sz w:val="18"/>
                <w:szCs w:val="18"/>
                <w:color w:val="auto"/>
              </w:rPr>
              <w:t>Consolidated Financial Statements</w:t>
            </w:r>
          </w:p>
        </w:tc>
        <w:tc>
          <w:tcPr>
            <w:tcW w:w="1380" w:type="dxa"/>
            <w:vAlign w:val="bottom"/>
          </w:tcPr>
          <w:p>
            <w:pPr>
              <w:spacing w:after="0"/>
              <w:rPr>
                <w:sz w:val="19"/>
                <w:szCs w:val="19"/>
                <w:color w:val="auto"/>
              </w:rPr>
            </w:pPr>
          </w:p>
        </w:tc>
      </w:tr>
      <w:tr>
        <w:trPr>
          <w:trHeight w:val="189"/>
        </w:trPr>
        <w:tc>
          <w:tcPr>
            <w:tcW w:w="2080" w:type="dxa"/>
            <w:vAlign w:val="bottom"/>
            <w:tcBorders>
              <w:bottom w:val="single" w:sz="8" w:color="0000EE"/>
            </w:tcBorders>
            <w:gridSpan w:val="2"/>
          </w:tcPr>
          <w:p>
            <w:pPr>
              <w:spacing w:after="0" w:line="189"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Consolidated Balance Sheets</w:t>
              </w:r>
            </w:hyperlink>
          </w:p>
        </w:tc>
        <w:tc>
          <w:tcPr>
            <w:tcW w:w="5260" w:type="dxa"/>
            <w:vAlign w:val="bottom"/>
            <w:gridSpan w:val="6"/>
          </w:tcPr>
          <w:p>
            <w:pPr>
              <w:spacing w:after="0"/>
              <w:rPr>
                <w:sz w:val="16"/>
                <w:szCs w:val="16"/>
                <w:color w:val="auto"/>
              </w:rPr>
            </w:pPr>
          </w:p>
        </w:tc>
        <w:tc>
          <w:tcPr>
            <w:tcW w:w="1380" w:type="dxa"/>
            <w:vAlign w:val="bottom"/>
          </w:tcPr>
          <w:p>
            <w:pPr>
              <w:ind w:left="1120"/>
              <w:spacing w:after="0" w:line="189"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3</w:t>
            </w:r>
          </w:p>
        </w:tc>
      </w:tr>
      <w:tr>
        <w:trPr>
          <w:trHeight w:val="195"/>
        </w:trPr>
        <w:tc>
          <w:tcPr>
            <w:tcW w:w="4660" w:type="dxa"/>
            <w:vAlign w:val="bottom"/>
            <w:tcBorders>
              <w:bottom w:val="single" w:sz="8" w:color="0000EE"/>
            </w:tcBorders>
            <w:gridSpan w:val="7"/>
          </w:tcPr>
          <w:p>
            <w:pPr>
              <w:spacing w:after="0" w:line="195"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Consolidated Statements of Operations and Comprehensive Loss</w:t>
              </w:r>
            </w:hyperlink>
          </w:p>
        </w:tc>
        <w:tc>
          <w:tcPr>
            <w:tcW w:w="2680" w:type="dxa"/>
            <w:vAlign w:val="bottom"/>
          </w:tcPr>
          <w:p>
            <w:pPr>
              <w:spacing w:after="0"/>
              <w:rPr>
                <w:sz w:val="16"/>
                <w:szCs w:val="16"/>
                <w:color w:val="auto"/>
              </w:rPr>
            </w:pPr>
          </w:p>
        </w:tc>
        <w:tc>
          <w:tcPr>
            <w:tcW w:w="1380" w:type="dxa"/>
            <w:vAlign w:val="bottom"/>
          </w:tcPr>
          <w:p>
            <w:pPr>
              <w:ind w:left="1120"/>
              <w:spacing w:after="0" w:line="195"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4</w:t>
            </w:r>
          </w:p>
        </w:tc>
      </w:tr>
      <w:tr>
        <w:trPr>
          <w:trHeight w:val="195"/>
        </w:trPr>
        <w:tc>
          <w:tcPr>
            <w:tcW w:w="7340" w:type="dxa"/>
            <w:vAlign w:val="bottom"/>
            <w:gridSpan w:val="8"/>
          </w:tcPr>
          <w:p>
            <w:pPr>
              <w:spacing w:after="0" w:line="195" w:lineRule="exact"/>
              <w:rPr>
                <w:rFonts w:ascii="Arial" w:cs="Arial" w:eastAsia="Arial" w:hAnsi="Arial"/>
                <w:sz w:val="18"/>
                <w:szCs w:val="18"/>
                <w:color w:val="0000EE"/>
              </w:rPr>
            </w:pPr>
            <w:hyperlink w:anchor="page103">
              <w:r>
                <w:rPr>
                  <w:rFonts w:ascii="Arial" w:cs="Arial" w:eastAsia="Arial" w:hAnsi="Arial"/>
                  <w:sz w:val="18"/>
                  <w:szCs w:val="18"/>
                  <w:color w:val="0000EE"/>
                </w:rPr>
                <w:t>Consolidated Statements of Stockholders’ Equity</w:t>
              </w:r>
            </w:hyperlink>
          </w:p>
        </w:tc>
        <w:tc>
          <w:tcPr>
            <w:tcW w:w="1380" w:type="dxa"/>
            <w:vAlign w:val="bottom"/>
          </w:tcPr>
          <w:p>
            <w:pPr>
              <w:ind w:left="1120"/>
              <w:spacing w:after="0" w:line="195"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5</w:t>
            </w:r>
          </w:p>
        </w:tc>
      </w:tr>
      <w:tr>
        <w:trPr>
          <w:trHeight w:val="195"/>
        </w:trPr>
        <w:tc>
          <w:tcPr>
            <w:tcW w:w="286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8"/>
              </w:rPr>
            </w:pPr>
            <w:hyperlink w:anchor="page104">
              <w:r>
                <w:rPr>
                  <w:rFonts w:ascii="Arial" w:cs="Arial" w:eastAsia="Arial" w:hAnsi="Arial"/>
                  <w:sz w:val="18"/>
                  <w:szCs w:val="18"/>
                  <w:color w:val="0000EE"/>
                  <w:w w:val="88"/>
                </w:rPr>
                <w:t>Consolidated Statements of Cash Flows</w:t>
              </w:r>
            </w:hyperlink>
          </w:p>
        </w:tc>
        <w:tc>
          <w:tcPr>
            <w:tcW w:w="660" w:type="dxa"/>
            <w:vAlign w:val="bottom"/>
            <w:tcBorders>
              <w:top w:val="single" w:sz="8" w:color="0000EE"/>
            </w:tcBorders>
            <w:gridSpan w:val="2"/>
          </w:tcPr>
          <w:p>
            <w:pPr>
              <w:spacing w:after="0"/>
              <w:rPr>
                <w:sz w:val="16"/>
                <w:szCs w:val="16"/>
                <w:color w:val="auto"/>
              </w:rPr>
            </w:pPr>
          </w:p>
        </w:tc>
        <w:tc>
          <w:tcPr>
            <w:tcW w:w="3820" w:type="dxa"/>
            <w:vAlign w:val="bottom"/>
            <w:gridSpan w:val="3"/>
          </w:tcPr>
          <w:p>
            <w:pPr>
              <w:spacing w:after="0"/>
              <w:rPr>
                <w:sz w:val="16"/>
                <w:szCs w:val="16"/>
                <w:color w:val="auto"/>
              </w:rPr>
            </w:pPr>
          </w:p>
        </w:tc>
        <w:tc>
          <w:tcPr>
            <w:tcW w:w="1380" w:type="dxa"/>
            <w:vAlign w:val="bottom"/>
          </w:tcPr>
          <w:p>
            <w:pPr>
              <w:ind w:left="1120"/>
              <w:spacing w:after="0" w:line="195"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6</w:t>
            </w:r>
          </w:p>
        </w:tc>
      </w:tr>
      <w:tr>
        <w:trPr>
          <w:trHeight w:val="195"/>
        </w:trPr>
        <w:tc>
          <w:tcPr>
            <w:tcW w:w="7340" w:type="dxa"/>
            <w:vAlign w:val="bottom"/>
            <w:gridSpan w:val="8"/>
          </w:tcPr>
          <w:p>
            <w:pPr>
              <w:spacing w:after="0" w:line="195" w:lineRule="exact"/>
              <w:rPr>
                <w:rFonts w:ascii="Arial" w:cs="Arial" w:eastAsia="Arial" w:hAnsi="Arial"/>
                <w:sz w:val="18"/>
                <w:szCs w:val="18"/>
                <w:color w:val="0000EE"/>
              </w:rPr>
            </w:pPr>
            <w:hyperlink w:anchor="page105">
              <w:r>
                <w:rPr>
                  <w:rFonts w:ascii="Arial" w:cs="Arial" w:eastAsia="Arial" w:hAnsi="Arial"/>
                  <w:sz w:val="18"/>
                  <w:szCs w:val="18"/>
                  <w:color w:val="0000EE"/>
                </w:rPr>
                <w:t>Notes to Consolidated Financial Statements</w:t>
              </w:r>
            </w:hyperlink>
          </w:p>
        </w:tc>
        <w:tc>
          <w:tcPr>
            <w:tcW w:w="1380" w:type="dxa"/>
            <w:vAlign w:val="bottom"/>
          </w:tcPr>
          <w:p>
            <w:pPr>
              <w:ind w:left="1120"/>
              <w:spacing w:after="0" w:line="195"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7</w:t>
            </w:r>
          </w:p>
        </w:tc>
      </w:tr>
      <w:tr>
        <w:trPr>
          <w:trHeight w:val="1023"/>
        </w:trPr>
        <w:tc>
          <w:tcPr>
            <w:tcW w:w="126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7" w:right="1440" w:bottom="1440" w:gutter="0" w:footer="0" w:header="0"/>
        </w:sectPr>
      </w:pPr>
    </w:p>
    <w:bookmarkStart w:id="99" w:name="page100"/>
    <w:bookmarkEnd w:id="9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Verastem, Inc.</w:t>
      </w:r>
    </w:p>
    <w:p>
      <w:pPr>
        <w:spacing w:after="0" w:line="209" w:lineRule="exact"/>
        <w:rPr>
          <w:sz w:val="20"/>
          <w:szCs w:val="20"/>
          <w:color w:val="auto"/>
        </w:rPr>
      </w:pPr>
    </w:p>
    <w:p>
      <w:pPr>
        <w:jc w:val="both"/>
        <w:ind w:left="160" w:right="139" w:firstLine="646"/>
        <w:spacing w:after="0" w:line="256" w:lineRule="auto"/>
        <w:rPr>
          <w:sz w:val="20"/>
          <w:szCs w:val="20"/>
          <w:color w:val="auto"/>
        </w:rPr>
      </w:pPr>
      <w:r>
        <w:rPr>
          <w:rFonts w:ascii="Arial" w:cs="Arial" w:eastAsia="Arial" w:hAnsi="Arial"/>
          <w:sz w:val="18"/>
          <w:szCs w:val="18"/>
          <w:color w:val="auto"/>
        </w:rPr>
        <w:t>We have audited the accompanying consolidated balance sheets of Verastem, Inc. as of December 31, 2016 and 2015, and the related consolidated statements of operations and comprehensive loss, stockholders’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jc w:val="both"/>
        <w:ind w:left="160" w:right="139" w:firstLine="646"/>
        <w:spacing w:after="0" w:line="269"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8" w:lineRule="exact"/>
        <w:rPr>
          <w:sz w:val="20"/>
          <w:szCs w:val="20"/>
          <w:color w:val="auto"/>
        </w:rPr>
      </w:pPr>
    </w:p>
    <w:p>
      <w:pPr>
        <w:jc w:val="both"/>
        <w:ind w:left="160" w:right="139" w:firstLine="646"/>
        <w:spacing w:after="0" w:line="25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Verastem, Inc. as of December 31, 2016 and 2015, and the consolidated results of its operations and its cash flows for each of the three years in the period ended December 31, 2016 in conformity with U.S. generally accepted accounting principles.</w:t>
      </w:r>
    </w:p>
    <w:p>
      <w:pPr>
        <w:spacing w:after="0" w:line="200" w:lineRule="exact"/>
        <w:rPr>
          <w:sz w:val="20"/>
          <w:szCs w:val="20"/>
          <w:color w:val="auto"/>
        </w:rPr>
      </w:pPr>
    </w:p>
    <w:p>
      <w:pPr>
        <w:spacing w:after="0" w:line="20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Ernst &amp; Young LLP</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23, 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0" w:name="page101"/>
    <w:bookmarkEnd w:id="10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2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CONSOLIDATED BALANCE SHEETS</w:t>
      </w:r>
    </w:p>
    <w:p>
      <w:pPr>
        <w:spacing w:after="0" w:line="22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8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4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24,870</w:t>
            </w:r>
          </w:p>
        </w:tc>
        <w:tc>
          <w:tcPr>
            <w:tcW w:w="100" w:type="dxa"/>
            <w:vAlign w:val="bottom"/>
            <w:shd w:val="clear" w:color="auto" w:fill="CCEEFF"/>
          </w:tcPr>
          <w:p>
            <w:pPr>
              <w:spacing w:after="0"/>
              <w:rPr>
                <w:sz w:val="18"/>
                <w:szCs w:val="18"/>
                <w:color w:val="auto"/>
              </w:rPr>
            </w:pPr>
          </w:p>
        </w:tc>
      </w:tr>
      <w:tr>
        <w:trPr>
          <w:trHeight w:val="215"/>
        </w:trPr>
        <w:tc>
          <w:tcPr>
            <w:tcW w:w="64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85,388</w:t>
            </w:r>
          </w:p>
        </w:tc>
        <w:tc>
          <w:tcPr>
            <w:tcW w:w="100" w:type="dxa"/>
            <w:vAlign w:val="bottom"/>
          </w:tcPr>
          <w:p>
            <w:pPr>
              <w:spacing w:after="0"/>
              <w:rPr>
                <w:sz w:val="18"/>
                <w:szCs w:val="18"/>
                <w:color w:val="auto"/>
              </w:rPr>
            </w:pPr>
          </w:p>
        </w:tc>
      </w:tr>
      <w:tr>
        <w:trPr>
          <w:trHeight w:val="215"/>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110,843</w:t>
            </w:r>
          </w:p>
        </w:tc>
        <w:tc>
          <w:tcPr>
            <w:tcW w:w="100" w:type="dxa"/>
            <w:vAlign w:val="bottom"/>
          </w:tcPr>
          <w:p>
            <w:pPr>
              <w:spacing w:after="0"/>
              <w:rPr>
                <w:sz w:val="18"/>
                <w:szCs w:val="18"/>
                <w:color w:val="auto"/>
              </w:rPr>
            </w:pPr>
          </w:p>
        </w:tc>
      </w:tr>
      <w:tr>
        <w:trPr>
          <w:trHeight w:val="215"/>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8"/>
                <w:szCs w:val="18"/>
                <w:color w:val="auto"/>
              </w:rPr>
            </w:pPr>
          </w:p>
        </w:tc>
      </w:tr>
      <w:tr>
        <w:trPr>
          <w:trHeight w:val="215"/>
        </w:trPr>
        <w:tc>
          <w:tcPr>
            <w:tcW w:w="648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r>
      <w:tr>
        <w:trPr>
          <w:trHeight w:val="215"/>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83,629</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113,094</w:t>
            </w:r>
          </w:p>
        </w:tc>
        <w:tc>
          <w:tcPr>
            <w:tcW w:w="100" w:type="dxa"/>
            <w:vAlign w:val="bottom"/>
            <w:tcBorders>
              <w:bottom w:val="single" w:sz="8" w:color="CCEEFF"/>
            </w:tcBorders>
          </w:tcPr>
          <w:p>
            <w:pPr>
              <w:spacing w:after="0"/>
              <w:rPr>
                <w:sz w:val="18"/>
                <w:szCs w:val="18"/>
                <w:color w:val="auto"/>
              </w:rPr>
            </w:pPr>
          </w:p>
        </w:tc>
      </w:tr>
      <w:tr>
        <w:trPr>
          <w:trHeight w:val="215"/>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4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CEEFF"/>
          </w:tcPr>
          <w:p>
            <w:pPr>
              <w:spacing w:after="0"/>
              <w:rPr>
                <w:sz w:val="18"/>
                <w:szCs w:val="18"/>
                <w:color w:val="auto"/>
              </w:rPr>
            </w:pPr>
          </w:p>
        </w:tc>
      </w:tr>
      <w:tr>
        <w:trPr>
          <w:trHeight w:val="215"/>
        </w:trPr>
        <w:tc>
          <w:tcPr>
            <w:tcW w:w="6480" w:type="dxa"/>
            <w:vAlign w:val="bottom"/>
          </w:tcPr>
          <w:p>
            <w:pPr>
              <w:ind w:left="1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18"/>
                <w:szCs w:val="18"/>
                <w:color w:val="auto"/>
              </w:rPr>
            </w:pPr>
          </w:p>
        </w:tc>
      </w:tr>
      <w:tr>
        <w:trPr>
          <w:trHeight w:val="215"/>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Liability classified stock-based compensation awards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Pr>
          <w:p>
            <w:pPr>
              <w:spacing w:after="0"/>
              <w:rPr>
                <w:sz w:val="18"/>
                <w:szCs w:val="18"/>
                <w:color w:val="auto"/>
              </w:rPr>
            </w:pPr>
          </w:p>
        </w:tc>
      </w:tr>
      <w:tr>
        <w:trPr>
          <w:trHeight w:val="215"/>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r>
      <w:tr>
        <w:trPr>
          <w:trHeight w:val="215"/>
        </w:trPr>
        <w:tc>
          <w:tcPr>
            <w:tcW w:w="64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$0.0001 par value; 5,000 shares authorized, no shares issued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at December 31, 2016 and 2015, respectively</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1"/>
        </w:trPr>
        <w:tc>
          <w:tcPr>
            <w:tcW w:w="6480" w:type="dxa"/>
            <w:vAlign w:val="bottom"/>
          </w:tcPr>
          <w:p>
            <w:pPr>
              <w:spacing w:after="0" w:line="201" w:lineRule="exact"/>
              <w:rPr>
                <w:sz w:val="20"/>
                <w:szCs w:val="20"/>
                <w:color w:val="auto"/>
              </w:rPr>
            </w:pPr>
            <w:r>
              <w:rPr>
                <w:rFonts w:ascii="Arial" w:cs="Arial" w:eastAsia="Arial" w:hAnsi="Arial"/>
                <w:sz w:val="18"/>
                <w:szCs w:val="18"/>
                <w:color w:val="auto"/>
                <w:w w:val="90"/>
              </w:rPr>
              <w:t>Common stock, $0.0001 par value; 100,000 shares authorized, 36,992 and 36,941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issued and outstanding at December 31, 2016 and 2015, respectively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5"/>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301,305</w:t>
            </w:r>
          </w:p>
        </w:tc>
        <w:tc>
          <w:tcPr>
            <w:tcW w:w="100" w:type="dxa"/>
            <w:vAlign w:val="bottom"/>
            <w:shd w:val="clear" w:color="auto" w:fill="CCEEFF"/>
          </w:tcPr>
          <w:p>
            <w:pPr>
              <w:spacing w:after="0"/>
              <w:rPr>
                <w:sz w:val="18"/>
                <w:szCs w:val="18"/>
                <w:color w:val="auto"/>
              </w:rPr>
            </w:pPr>
          </w:p>
        </w:tc>
      </w:tr>
      <w:tr>
        <w:trPr>
          <w:trHeight w:val="215"/>
        </w:trPr>
        <w:tc>
          <w:tcPr>
            <w:tcW w:w="64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15"/>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(235,323)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(198,883)</w:t>
            </w:r>
          </w:p>
        </w:tc>
        <w:tc>
          <w:tcPr>
            <w:tcW w:w="100" w:type="dxa"/>
            <w:vAlign w:val="bottom"/>
            <w:shd w:val="clear" w:color="auto" w:fill="CCEEFF"/>
          </w:tcPr>
          <w:p>
            <w:pPr>
              <w:spacing w:after="0"/>
              <w:rPr>
                <w:sz w:val="18"/>
                <w:szCs w:val="18"/>
                <w:color w:val="auto"/>
              </w:rPr>
            </w:pPr>
          </w:p>
        </w:tc>
      </w:tr>
      <w:tr>
        <w:trPr>
          <w:trHeight w:val="209"/>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72,297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102,469</w:t>
            </w:r>
          </w:p>
        </w:tc>
        <w:tc>
          <w:tcPr>
            <w:tcW w:w="100" w:type="dxa"/>
            <w:vAlign w:val="bottom"/>
            <w:tcBorders>
              <w:bottom w:val="single" w:sz="8" w:color="CCEEFF"/>
            </w:tcBorders>
          </w:tcPr>
          <w:p>
            <w:pPr>
              <w:spacing w:after="0"/>
              <w:rPr>
                <w:sz w:val="18"/>
                <w:szCs w:val="18"/>
                <w:color w:val="auto"/>
              </w:rPr>
            </w:pPr>
          </w:p>
        </w:tc>
      </w:tr>
      <w:tr>
        <w:trPr>
          <w:trHeight w:val="216"/>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113,094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9"/>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1"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(37,002)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(58,199)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(53,607)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(36,440)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(57,865)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(53,365)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line="175" w:lineRule="exact"/>
              <w:rPr>
                <w:sz w:val="20"/>
                <w:szCs w:val="20"/>
                <w:color w:val="auto"/>
              </w:rPr>
            </w:pPr>
            <w:r>
              <w:rPr>
                <w:rFonts w:ascii="Arial" w:cs="Arial" w:eastAsia="Arial" w:hAnsi="Arial"/>
                <w:sz w:val="18"/>
                <w:szCs w:val="18"/>
                <w:color w:val="auto"/>
                <w:w w:val="88"/>
              </w:rPr>
              <w:t>Weighted-average number of common shares used in net loss per share—basic and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36,988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35,932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25,804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(36,440)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(57,865)</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(53,365)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available-for-sale securities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(36,454)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(57,833)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3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3460" w:type="dxa"/>
            <w:vAlign w:val="bottom"/>
          </w:tcPr>
          <w:p>
            <w:pPr>
              <w:spacing w:after="0"/>
              <w:rPr>
                <w:sz w:val="13"/>
                <w:szCs w:val="13"/>
                <w:color w:val="auto"/>
              </w:rPr>
            </w:pPr>
          </w:p>
        </w:tc>
        <w:tc>
          <w:tcPr>
            <w:tcW w:w="148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0"/>
              </w:rPr>
              <w:t>(loss)</w:t>
            </w:r>
          </w:p>
        </w:tc>
        <w:tc>
          <w:tcPr>
            <w:tcW w:w="1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stockholders'</w:t>
            </w:r>
          </w:p>
        </w:tc>
      </w:tr>
      <w:tr>
        <w:trPr>
          <w:trHeight w:val="128"/>
        </w:trPr>
        <w:tc>
          <w:tcPr>
            <w:tcW w:w="3460" w:type="dxa"/>
            <w:vAlign w:val="bottom"/>
          </w:tcPr>
          <w:p>
            <w:pPr>
              <w:spacing w:after="0"/>
              <w:rPr>
                <w:sz w:val="11"/>
                <w:szCs w:val="11"/>
                <w:color w:val="auto"/>
              </w:rPr>
            </w:pPr>
          </w:p>
        </w:tc>
        <w:tc>
          <w:tcPr>
            <w:tcW w:w="660" w:type="dxa"/>
            <w:vAlign w:val="bottom"/>
          </w:tcPr>
          <w:p>
            <w:pPr>
              <w:jc w:val="right"/>
              <w:ind w:right="97"/>
              <w:spacing w:after="0" w:line="128"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77"/>
              <w:spacing w:after="0" w:line="128"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57"/>
              <w:spacing w:after="0" w:line="128"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17"/>
              <w:spacing w:after="0" w:line="128" w:lineRule="exact"/>
              <w:rPr>
                <w:sz w:val="20"/>
                <w:szCs w:val="20"/>
                <w:color w:val="auto"/>
              </w:rPr>
            </w:pPr>
            <w:r>
              <w:rPr>
                <w:rFonts w:ascii="Arial" w:cs="Arial" w:eastAsia="Arial" w:hAnsi="Arial"/>
                <w:sz w:val="13"/>
                <w:szCs w:val="13"/>
                <w:b w:val="1"/>
                <w:bCs w:val="1"/>
                <w:color w:val="auto"/>
                <w:w w:val="83"/>
              </w:rPr>
              <w:t>income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77"/>
              <w:spacing w:after="0" w:line="128"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83"/>
              </w:rPr>
              <w:t>equity</w:t>
            </w:r>
          </w:p>
        </w:tc>
      </w:tr>
      <w:tr>
        <w:trPr>
          <w:trHeight w:val="128"/>
        </w:trPr>
        <w:tc>
          <w:tcPr>
            <w:tcW w:w="346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Balance at December 31, 2013</w:t>
            </w:r>
          </w:p>
        </w:tc>
        <w:tc>
          <w:tcPr>
            <w:tcW w:w="6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w w:val="89"/>
              </w:rPr>
              <w:t>25,328,450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205,068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(87,653)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117,446</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460" w:type="dxa"/>
            <w:vAlign w:val="bottom"/>
          </w:tcPr>
          <w:p>
            <w:pPr>
              <w:ind w:left="20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(53,365)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(53,365)</w:t>
            </w:r>
          </w:p>
        </w:tc>
        <w:tc>
          <w:tcPr>
            <w:tcW w:w="40" w:type="dxa"/>
            <w:vAlign w:val="bottom"/>
          </w:tcPr>
          <w:p>
            <w:pPr>
              <w:spacing w:after="0"/>
              <w:rPr>
                <w:sz w:val="11"/>
                <w:szCs w:val="11"/>
                <w:color w:val="auto"/>
              </w:rPr>
            </w:pPr>
          </w:p>
        </w:tc>
      </w:tr>
      <w:tr>
        <w:trPr>
          <w:trHeight w:val="135"/>
        </w:trPr>
        <w:tc>
          <w:tcPr>
            <w:tcW w:w="34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6"/>
              </w:rPr>
              <w:t>Unrealized loss on available-for-sale marketable securities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40" w:type="dxa"/>
            <w:vAlign w:val="bottom"/>
            <w:shd w:val="clear" w:color="auto" w:fill="CCEEFF"/>
          </w:tcPr>
          <w:p>
            <w:pPr>
              <w:spacing w:after="0"/>
              <w:rPr>
                <w:sz w:val="11"/>
                <w:szCs w:val="11"/>
                <w:color w:val="auto"/>
              </w:rPr>
            </w:pPr>
          </w:p>
        </w:tc>
      </w:tr>
      <w:tr>
        <w:trPr>
          <w:trHeight w:val="135"/>
        </w:trPr>
        <w:tc>
          <w:tcPr>
            <w:tcW w:w="3460" w:type="dxa"/>
            <w:vAlign w:val="bottom"/>
          </w:tcPr>
          <w:p>
            <w:pPr>
              <w:ind w:left="200"/>
              <w:spacing w:after="0" w:line="135" w:lineRule="exact"/>
              <w:rPr>
                <w:sz w:val="20"/>
                <w:szCs w:val="20"/>
                <w:color w:val="auto"/>
              </w:rPr>
            </w:pPr>
            <w:r>
              <w:rPr>
                <w:rFonts w:ascii="Arial" w:cs="Arial" w:eastAsia="Arial" w:hAnsi="Arial"/>
                <w:sz w:val="13"/>
                <w:szCs w:val="13"/>
                <w:color w:val="auto"/>
              </w:rPr>
              <w:t>Issuance of common stock, net of issuance costs of $43</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1,346,676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11,646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11,646</w:t>
            </w:r>
          </w:p>
        </w:tc>
        <w:tc>
          <w:tcPr>
            <w:tcW w:w="40" w:type="dxa"/>
            <w:vAlign w:val="bottom"/>
          </w:tcPr>
          <w:p>
            <w:pPr>
              <w:spacing w:after="0"/>
              <w:rPr>
                <w:sz w:val="11"/>
                <w:szCs w:val="11"/>
                <w:color w:val="auto"/>
              </w:rPr>
            </w:pPr>
          </w:p>
        </w:tc>
      </w:tr>
      <w:tr>
        <w:trPr>
          <w:trHeight w:val="135"/>
        </w:trPr>
        <w:tc>
          <w:tcPr>
            <w:tcW w:w="34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Vesting of restricted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321,287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40" w:type="dxa"/>
            <w:vAlign w:val="bottom"/>
            <w:shd w:val="clear" w:color="auto" w:fill="CCEEFF"/>
          </w:tcPr>
          <w:p>
            <w:pPr>
              <w:spacing w:after="0"/>
              <w:rPr>
                <w:sz w:val="11"/>
                <w:szCs w:val="11"/>
                <w:color w:val="auto"/>
              </w:rPr>
            </w:pPr>
          </w:p>
        </w:tc>
      </w:tr>
      <w:tr>
        <w:trPr>
          <w:trHeight w:val="120"/>
        </w:trPr>
        <w:tc>
          <w:tcPr>
            <w:tcW w:w="346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resulting from exercise</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460" w:type="dxa"/>
            <w:vAlign w:val="bottom"/>
          </w:tcPr>
          <w:p>
            <w:pPr>
              <w:ind w:left="200"/>
              <w:spacing w:after="0"/>
              <w:rPr>
                <w:sz w:val="20"/>
                <w:szCs w:val="20"/>
                <w:color w:val="auto"/>
              </w:rPr>
            </w:pPr>
            <w:r>
              <w:rPr>
                <w:rFonts w:ascii="Arial" w:cs="Arial" w:eastAsia="Arial" w:hAnsi="Arial"/>
                <w:sz w:val="13"/>
                <w:szCs w:val="13"/>
                <w:color w:val="auto"/>
              </w:rPr>
              <w:t>of stock options</w:t>
            </w:r>
          </w:p>
        </w:tc>
        <w:tc>
          <w:tcPr>
            <w:tcW w:w="660" w:type="dxa"/>
            <w:vAlign w:val="bottom"/>
          </w:tcPr>
          <w:p>
            <w:pPr>
              <w:jc w:val="right"/>
              <w:spacing w:after="0"/>
              <w:rPr>
                <w:sz w:val="20"/>
                <w:szCs w:val="20"/>
                <w:color w:val="auto"/>
              </w:rPr>
            </w:pPr>
            <w:r>
              <w:rPr>
                <w:rFonts w:ascii="Arial" w:cs="Arial" w:eastAsia="Arial" w:hAnsi="Arial"/>
                <w:sz w:val="13"/>
                <w:szCs w:val="13"/>
                <w:color w:val="auto"/>
              </w:rPr>
              <w:t>30,451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2"/>
                <w:szCs w:val="12"/>
                <w:color w:val="auto"/>
              </w:rPr>
            </w:pPr>
          </w:p>
        </w:tc>
      </w:tr>
      <w:tr>
        <w:trPr>
          <w:trHeight w:val="120"/>
        </w:trPr>
        <w:tc>
          <w:tcPr>
            <w:tcW w:w="346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Issuance of common stock resulting from vesting</w:t>
            </w: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3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of restricted stock units and payment of tax withholdings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40" w:type="dxa"/>
            <w:vAlign w:val="bottom"/>
            <w:shd w:val="clear" w:color="auto" w:fill="CCEEFF"/>
          </w:tcPr>
          <w:p>
            <w:pPr>
              <w:spacing w:after="0"/>
              <w:rPr>
                <w:sz w:val="12"/>
                <w:szCs w:val="12"/>
                <w:color w:val="auto"/>
              </w:rPr>
            </w:pPr>
          </w:p>
        </w:tc>
      </w:tr>
      <w:tr>
        <w:trPr>
          <w:trHeight w:val="135"/>
        </w:trPr>
        <w:tc>
          <w:tcPr>
            <w:tcW w:w="3460" w:type="dxa"/>
            <w:vAlign w:val="bottom"/>
          </w:tcPr>
          <w:p>
            <w:pPr>
              <w:ind w:left="200"/>
              <w:spacing w:after="0" w:line="135" w:lineRule="exact"/>
              <w:rPr>
                <w:sz w:val="20"/>
                <w:szCs w:val="20"/>
                <w:color w:val="auto"/>
              </w:rPr>
            </w:pPr>
            <w:r>
              <w:rPr>
                <w:rFonts w:ascii="Arial" w:cs="Arial" w:eastAsia="Arial" w:hAnsi="Arial"/>
                <w:sz w:val="13"/>
                <w:szCs w:val="13"/>
                <w:color w:val="auto"/>
              </w:rPr>
              <w:t>Shares issued for technology rights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97,500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1,447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1,447</w:t>
            </w:r>
          </w:p>
        </w:tc>
        <w:tc>
          <w:tcPr>
            <w:tcW w:w="40" w:type="dxa"/>
            <w:vAlign w:val="bottom"/>
          </w:tcPr>
          <w:p>
            <w:pPr>
              <w:spacing w:after="0"/>
              <w:rPr>
                <w:sz w:val="11"/>
                <w:szCs w:val="11"/>
                <w:color w:val="auto"/>
              </w:rPr>
            </w:pPr>
          </w:p>
        </w:tc>
      </w:tr>
      <w:tr>
        <w:trPr>
          <w:trHeight w:val="135"/>
        </w:trPr>
        <w:tc>
          <w:tcPr>
            <w:tcW w:w="34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Stock-based compensation expense</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12,360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12,360</w:t>
            </w:r>
          </w:p>
        </w:tc>
        <w:tc>
          <w:tcPr>
            <w:tcW w:w="40" w:type="dxa"/>
            <w:vAlign w:val="bottom"/>
            <w:shd w:val="clear" w:color="auto" w:fill="CCEEFF"/>
          </w:tcPr>
          <w:p>
            <w:pPr>
              <w:spacing w:after="0"/>
              <w:rPr>
                <w:sz w:val="11"/>
                <w:szCs w:val="11"/>
                <w:color w:val="auto"/>
              </w:rPr>
            </w:pPr>
          </w:p>
        </w:tc>
      </w:tr>
      <w:tr>
        <w:trPr>
          <w:trHeight w:val="128"/>
        </w:trPr>
        <w:tc>
          <w:tcPr>
            <w:tcW w:w="3460" w:type="dxa"/>
            <w:vAlign w:val="bottom"/>
            <w:tcBorders>
              <w:bottom w:val="single" w:sz="8" w:color="CCEEFF"/>
            </w:tcBorders>
          </w:tcPr>
          <w:p>
            <w:pPr>
              <w:spacing w:after="0" w:line="128" w:lineRule="exact"/>
              <w:rPr>
                <w:sz w:val="20"/>
                <w:szCs w:val="20"/>
                <w:color w:val="auto"/>
              </w:rPr>
            </w:pPr>
            <w:r>
              <w:rPr>
                <w:rFonts w:ascii="Arial" w:cs="Arial" w:eastAsia="Arial" w:hAnsi="Arial"/>
                <w:sz w:val="13"/>
                <w:szCs w:val="13"/>
                <w:b w:val="1"/>
                <w:bCs w:val="1"/>
                <w:color w:val="auto"/>
              </w:rPr>
              <w:t>Balance at December 31, 2014</w:t>
            </w:r>
          </w:p>
        </w:tc>
        <w:tc>
          <w:tcPr>
            <w:tcW w:w="6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w w:val="89"/>
              </w:rPr>
              <w:t>27,259,372</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3</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229,770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11</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(141,018)</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88,766</w:t>
            </w:r>
          </w:p>
        </w:tc>
        <w:tc>
          <w:tcPr>
            <w:tcW w:w="40" w:type="dxa"/>
            <w:vAlign w:val="bottom"/>
            <w:tcBorders>
              <w:bottom w:val="single" w:sz="8" w:color="CCEEFF"/>
            </w:tcBorders>
          </w:tcPr>
          <w:p>
            <w:pPr>
              <w:spacing w:after="0"/>
              <w:rPr>
                <w:sz w:val="11"/>
                <w:szCs w:val="11"/>
                <w:color w:val="auto"/>
              </w:rPr>
            </w:pPr>
          </w:p>
        </w:tc>
      </w:tr>
      <w:tr>
        <w:trPr>
          <w:trHeight w:val="128"/>
        </w:trPr>
        <w:tc>
          <w:tcPr>
            <w:tcW w:w="346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(57,865)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(57,865)</w:t>
            </w:r>
          </w:p>
        </w:tc>
        <w:tc>
          <w:tcPr>
            <w:tcW w:w="40" w:type="dxa"/>
            <w:vAlign w:val="bottom"/>
            <w:shd w:val="clear" w:color="auto" w:fill="CCEEFF"/>
          </w:tcPr>
          <w:p>
            <w:pPr>
              <w:spacing w:after="0"/>
              <w:rPr>
                <w:sz w:val="11"/>
                <w:szCs w:val="11"/>
                <w:color w:val="auto"/>
              </w:rPr>
            </w:pPr>
          </w:p>
        </w:tc>
      </w:tr>
      <w:tr>
        <w:trPr>
          <w:trHeight w:val="135"/>
        </w:trPr>
        <w:tc>
          <w:tcPr>
            <w:tcW w:w="3460" w:type="dxa"/>
            <w:vAlign w:val="bottom"/>
          </w:tcPr>
          <w:p>
            <w:pPr>
              <w:ind w:left="200"/>
              <w:spacing w:after="0" w:line="135" w:lineRule="exact"/>
              <w:rPr>
                <w:sz w:val="20"/>
                <w:szCs w:val="20"/>
                <w:color w:val="auto"/>
              </w:rPr>
            </w:pPr>
            <w:r>
              <w:rPr>
                <w:rFonts w:ascii="Arial" w:cs="Arial" w:eastAsia="Arial" w:hAnsi="Arial"/>
                <w:sz w:val="13"/>
                <w:szCs w:val="13"/>
                <w:color w:val="auto"/>
                <w:w w:val="96"/>
              </w:rPr>
              <w:t>Unrealized gain on available-for-sale marketable securities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tcPr>
          <w:p>
            <w:pPr>
              <w:spacing w:after="0"/>
              <w:rPr>
                <w:sz w:val="11"/>
                <w:szCs w:val="11"/>
                <w:color w:val="auto"/>
              </w:rPr>
            </w:pPr>
          </w:p>
        </w:tc>
      </w:tr>
      <w:tr>
        <w:trPr>
          <w:trHeight w:val="135"/>
        </w:trPr>
        <w:tc>
          <w:tcPr>
            <w:tcW w:w="34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5"/>
              </w:rPr>
              <w:t>Issuance of common stock resulting from follow-on offering</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8,337,500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50,941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50,942</w:t>
            </w:r>
          </w:p>
        </w:tc>
        <w:tc>
          <w:tcPr>
            <w:tcW w:w="40" w:type="dxa"/>
            <w:vAlign w:val="bottom"/>
            <w:shd w:val="clear" w:color="auto" w:fill="CCEEFF"/>
          </w:tcPr>
          <w:p>
            <w:pPr>
              <w:spacing w:after="0"/>
              <w:rPr>
                <w:sz w:val="11"/>
                <w:szCs w:val="11"/>
                <w:color w:val="auto"/>
              </w:rPr>
            </w:pPr>
          </w:p>
        </w:tc>
      </w:tr>
      <w:tr>
        <w:trPr>
          <w:trHeight w:val="120"/>
        </w:trPr>
        <w:tc>
          <w:tcPr>
            <w:tcW w:w="346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resulting from at-the-market</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460" w:type="dxa"/>
            <w:vAlign w:val="bottom"/>
          </w:tcPr>
          <w:p>
            <w:pPr>
              <w:ind w:left="200"/>
              <w:spacing w:after="0"/>
              <w:rPr>
                <w:sz w:val="20"/>
                <w:szCs w:val="20"/>
                <w:color w:val="auto"/>
              </w:rPr>
            </w:pPr>
            <w:r>
              <w:rPr>
                <w:rFonts w:ascii="Arial" w:cs="Arial" w:eastAsia="Arial" w:hAnsi="Arial"/>
                <w:sz w:val="13"/>
                <w:szCs w:val="13"/>
                <w:color w:val="auto"/>
              </w:rPr>
              <w:t>transactions, net of issuance costs of $53</w:t>
            </w:r>
          </w:p>
        </w:tc>
        <w:tc>
          <w:tcPr>
            <w:tcW w:w="660" w:type="dxa"/>
            <w:vAlign w:val="bottom"/>
          </w:tcPr>
          <w:p>
            <w:pPr>
              <w:jc w:val="right"/>
              <w:spacing w:after="0"/>
              <w:rPr>
                <w:sz w:val="20"/>
                <w:szCs w:val="20"/>
                <w:color w:val="auto"/>
              </w:rPr>
            </w:pPr>
            <w:r>
              <w:rPr>
                <w:rFonts w:ascii="Arial" w:cs="Arial" w:eastAsia="Arial" w:hAnsi="Arial"/>
                <w:sz w:val="13"/>
                <w:szCs w:val="13"/>
                <w:color w:val="auto"/>
              </w:rPr>
              <w:t>1,189,479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10,911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10,911</w:t>
            </w:r>
          </w:p>
        </w:tc>
        <w:tc>
          <w:tcPr>
            <w:tcW w:w="40" w:type="dxa"/>
            <w:vAlign w:val="bottom"/>
          </w:tcPr>
          <w:p>
            <w:pPr>
              <w:spacing w:after="0"/>
              <w:rPr>
                <w:sz w:val="12"/>
                <w:szCs w:val="12"/>
                <w:color w:val="auto"/>
              </w:rPr>
            </w:pPr>
          </w:p>
        </w:tc>
      </w:tr>
      <w:tr>
        <w:trPr>
          <w:trHeight w:val="135"/>
        </w:trPr>
        <w:tc>
          <w:tcPr>
            <w:tcW w:w="34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Vesting of restricted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7,995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1"/>
                <w:szCs w:val="11"/>
                <w:color w:val="auto"/>
              </w:rPr>
            </w:pPr>
          </w:p>
        </w:tc>
      </w:tr>
      <w:tr>
        <w:trPr>
          <w:trHeight w:val="120"/>
        </w:trPr>
        <w:tc>
          <w:tcPr>
            <w:tcW w:w="346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resulting from exercise</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460" w:type="dxa"/>
            <w:vAlign w:val="bottom"/>
          </w:tcPr>
          <w:p>
            <w:pPr>
              <w:ind w:left="200"/>
              <w:spacing w:after="0"/>
              <w:rPr>
                <w:sz w:val="20"/>
                <w:szCs w:val="20"/>
                <w:color w:val="auto"/>
              </w:rPr>
            </w:pPr>
            <w:r>
              <w:rPr>
                <w:rFonts w:ascii="Arial" w:cs="Arial" w:eastAsia="Arial" w:hAnsi="Arial"/>
                <w:sz w:val="13"/>
                <w:szCs w:val="13"/>
                <w:color w:val="auto"/>
              </w:rPr>
              <w:t>of stock options</w:t>
            </w:r>
          </w:p>
        </w:tc>
        <w:tc>
          <w:tcPr>
            <w:tcW w:w="660" w:type="dxa"/>
            <w:vAlign w:val="bottom"/>
          </w:tcPr>
          <w:p>
            <w:pPr>
              <w:jc w:val="right"/>
              <w:spacing w:after="0"/>
              <w:rPr>
                <w:sz w:val="20"/>
                <w:szCs w:val="20"/>
                <w:color w:val="auto"/>
              </w:rPr>
            </w:pPr>
            <w:r>
              <w:rPr>
                <w:rFonts w:ascii="Arial" w:cs="Arial" w:eastAsia="Arial" w:hAnsi="Arial"/>
                <w:sz w:val="13"/>
                <w:szCs w:val="13"/>
                <w:color w:val="auto"/>
              </w:rPr>
              <w:t>33,658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2"/>
                <w:szCs w:val="12"/>
                <w:color w:val="auto"/>
              </w:rPr>
            </w:pPr>
          </w:p>
        </w:tc>
      </w:tr>
      <w:tr>
        <w:trPr>
          <w:trHeight w:val="120"/>
        </w:trPr>
        <w:tc>
          <w:tcPr>
            <w:tcW w:w="346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Issuance of common stock resulting from vesting</w:t>
            </w: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3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of restricted stock units and payment of tax withholdings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40" w:type="dxa"/>
            <w:vAlign w:val="bottom"/>
            <w:shd w:val="clear" w:color="auto" w:fill="CCEEFF"/>
          </w:tcPr>
          <w:p>
            <w:pPr>
              <w:spacing w:after="0"/>
              <w:rPr>
                <w:sz w:val="12"/>
                <w:szCs w:val="12"/>
                <w:color w:val="auto"/>
              </w:rPr>
            </w:pPr>
          </w:p>
        </w:tc>
      </w:tr>
      <w:tr>
        <w:trPr>
          <w:trHeight w:val="135"/>
        </w:trPr>
        <w:tc>
          <w:tcPr>
            <w:tcW w:w="346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Stock-based compensation expense</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10,085</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10,085</w:t>
            </w:r>
          </w:p>
        </w:tc>
        <w:tc>
          <w:tcPr>
            <w:tcW w:w="40" w:type="dxa"/>
            <w:vAlign w:val="bottom"/>
            <w:tcBorders>
              <w:bottom w:val="single" w:sz="8" w:color="CCEEFF"/>
            </w:tcBorders>
          </w:tcPr>
          <w:p>
            <w:pPr>
              <w:spacing w:after="0"/>
              <w:rPr>
                <w:sz w:val="11"/>
                <w:szCs w:val="11"/>
                <w:color w:val="auto"/>
              </w:rPr>
            </w:pPr>
          </w:p>
        </w:tc>
      </w:tr>
      <w:tr>
        <w:trPr>
          <w:trHeight w:val="128"/>
        </w:trPr>
        <w:tc>
          <w:tcPr>
            <w:tcW w:w="3460" w:type="dxa"/>
            <w:vAlign w:val="bottom"/>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Balance at December 31, 2015</w:t>
            </w:r>
          </w:p>
        </w:tc>
        <w:tc>
          <w:tcPr>
            <w:tcW w:w="6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w w:val="89"/>
              </w:rPr>
              <w:t>36,941,261</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4</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301,305</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43</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(198,883)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102,469</w:t>
            </w:r>
          </w:p>
        </w:tc>
        <w:tc>
          <w:tcPr>
            <w:tcW w:w="40" w:type="dxa"/>
            <w:vAlign w:val="bottom"/>
            <w:shd w:val="clear" w:color="auto" w:fill="CCEEFF"/>
          </w:tcPr>
          <w:p>
            <w:pPr>
              <w:spacing w:after="0"/>
              <w:rPr>
                <w:sz w:val="11"/>
                <w:szCs w:val="11"/>
                <w:color w:val="auto"/>
              </w:rPr>
            </w:pPr>
          </w:p>
        </w:tc>
      </w:tr>
      <w:tr>
        <w:trPr>
          <w:trHeight w:val="128"/>
        </w:trPr>
        <w:tc>
          <w:tcPr>
            <w:tcW w:w="3460" w:type="dxa"/>
            <w:vAlign w:val="bottom"/>
          </w:tcPr>
          <w:p>
            <w:pPr>
              <w:ind w:left="200"/>
              <w:spacing w:after="0" w:line="128"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3"/>
                <w:szCs w:val="13"/>
                <w:color w:val="auto"/>
              </w:rPr>
              <w:t>(36,440)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3"/>
                <w:szCs w:val="13"/>
                <w:color w:val="auto"/>
              </w:rPr>
              <w:t>(36,440)</w:t>
            </w:r>
          </w:p>
        </w:tc>
        <w:tc>
          <w:tcPr>
            <w:tcW w:w="40" w:type="dxa"/>
            <w:vAlign w:val="bottom"/>
          </w:tcPr>
          <w:p>
            <w:pPr>
              <w:spacing w:after="0"/>
              <w:rPr>
                <w:sz w:val="11"/>
                <w:szCs w:val="11"/>
                <w:color w:val="auto"/>
              </w:rPr>
            </w:pPr>
          </w:p>
        </w:tc>
      </w:tr>
      <w:tr>
        <w:trPr>
          <w:trHeight w:val="135"/>
        </w:trPr>
        <w:tc>
          <w:tcPr>
            <w:tcW w:w="34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6"/>
              </w:rPr>
              <w:t>Unrealized loss on available-for-sale marketable securities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40" w:type="dxa"/>
            <w:vAlign w:val="bottom"/>
            <w:shd w:val="clear" w:color="auto" w:fill="CCEEFF"/>
          </w:tcPr>
          <w:p>
            <w:pPr>
              <w:spacing w:after="0"/>
              <w:rPr>
                <w:sz w:val="11"/>
                <w:szCs w:val="11"/>
                <w:color w:val="auto"/>
              </w:rPr>
            </w:pPr>
          </w:p>
        </w:tc>
      </w:tr>
      <w:tr>
        <w:trPr>
          <w:trHeight w:val="120"/>
        </w:trPr>
        <w:tc>
          <w:tcPr>
            <w:tcW w:w="346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resulting from exercise</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460" w:type="dxa"/>
            <w:vAlign w:val="bottom"/>
          </w:tcPr>
          <w:p>
            <w:pPr>
              <w:ind w:left="200"/>
              <w:spacing w:after="0"/>
              <w:rPr>
                <w:sz w:val="20"/>
                <w:szCs w:val="20"/>
                <w:color w:val="auto"/>
              </w:rPr>
            </w:pPr>
            <w:r>
              <w:rPr>
                <w:rFonts w:ascii="Arial" w:cs="Arial" w:eastAsia="Arial" w:hAnsi="Arial"/>
                <w:sz w:val="13"/>
                <w:szCs w:val="13"/>
                <w:color w:val="auto"/>
              </w:rPr>
              <w:t>of stock options</w:t>
            </w:r>
          </w:p>
        </w:tc>
        <w:tc>
          <w:tcPr>
            <w:tcW w:w="660" w:type="dxa"/>
            <w:vAlign w:val="bottom"/>
          </w:tcPr>
          <w:p>
            <w:pPr>
              <w:jc w:val="right"/>
              <w:spacing w:after="0"/>
              <w:rPr>
                <w:sz w:val="20"/>
                <w:szCs w:val="20"/>
                <w:color w:val="auto"/>
              </w:rPr>
            </w:pPr>
            <w:r>
              <w:rPr>
                <w:rFonts w:ascii="Arial" w:cs="Arial" w:eastAsia="Arial" w:hAnsi="Arial"/>
                <w:sz w:val="13"/>
                <w:szCs w:val="13"/>
                <w:color w:val="auto"/>
              </w:rPr>
              <w:t>1,605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20"/>
        </w:trPr>
        <w:tc>
          <w:tcPr>
            <w:tcW w:w="346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Issuance of common stock resulting from vesting</w:t>
            </w: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3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of restricted stock units and payment of tax withholdings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2"/>
                <w:szCs w:val="12"/>
                <w:color w:val="auto"/>
              </w:rPr>
            </w:pPr>
          </w:p>
        </w:tc>
      </w:tr>
      <w:tr>
        <w:trPr>
          <w:trHeight w:val="135"/>
        </w:trPr>
        <w:tc>
          <w:tcPr>
            <w:tcW w:w="346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Stock-based compensation expense</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6,287</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6,287</w:t>
            </w:r>
          </w:p>
        </w:tc>
        <w:tc>
          <w:tcPr>
            <w:tcW w:w="40" w:type="dxa"/>
            <w:vAlign w:val="bottom"/>
            <w:tcBorders>
              <w:bottom w:val="single" w:sz="8" w:color="CCEEFF"/>
            </w:tcBorders>
          </w:tcPr>
          <w:p>
            <w:pPr>
              <w:spacing w:after="0"/>
              <w:rPr>
                <w:sz w:val="11"/>
                <w:szCs w:val="11"/>
                <w:color w:val="auto"/>
              </w:rPr>
            </w:pPr>
          </w:p>
        </w:tc>
      </w:tr>
      <w:tr>
        <w:trPr>
          <w:trHeight w:val="135"/>
        </w:trPr>
        <w:tc>
          <w:tcPr>
            <w:tcW w:w="346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Balance at December 31, 2016</w:t>
            </w:r>
          </w:p>
        </w:tc>
        <w:tc>
          <w:tcPr>
            <w:tcW w:w="6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w w:val="89"/>
              </w:rPr>
              <w:t>36,992,418</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4</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307,587</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29</w:t>
            </w: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(235,323)</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72,297</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3" w:name="page104"/>
    <w:bookmarkEnd w:id="10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94"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2"/>
              <w:spacing w:after="0" w:line="141"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1"/>
              <w:spacing w:after="0" w:line="141"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1"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(36,440)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(57,865)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(53,365)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740" w:type="dxa"/>
            <w:vAlign w:val="bottom"/>
          </w:tcPr>
          <w:p>
            <w:pPr>
              <w:ind w:left="200"/>
              <w:spacing w:after="0" w:line="201" w:lineRule="exact"/>
              <w:rPr>
                <w:sz w:val="20"/>
                <w:szCs w:val="20"/>
                <w:color w:val="auto"/>
              </w:rPr>
            </w:pPr>
            <w:r>
              <w:rPr>
                <w:rFonts w:ascii="Arial" w:cs="Arial" w:eastAsia="Arial" w:hAnsi="Arial"/>
                <w:sz w:val="18"/>
                <w:szCs w:val="18"/>
                <w:color w:val="auto"/>
                <w:w w:val="94"/>
              </w:rPr>
              <w:t>Amortization of premiums and discounts on available-for-sale marketable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expense related to the purchase of technology rights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8"/>
                <w:szCs w:val="18"/>
                <w:color w:val="auto"/>
              </w:rPr>
              <w:t>Prepaid expenses, other current assets and 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classified stock-based compensation awards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(36,902)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(199,851)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Maturities of investments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85,047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restricted cash</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0"/>
              </w:rPr>
              <w:t>Net proceeds from the issuance of common stock and restricted common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used to settle restricted stock liability</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33,901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740" w:type="dxa"/>
            <w:vAlign w:val="bottom"/>
          </w:tcPr>
          <w:p>
            <w:pPr>
              <w:spacing w:after="0" w:line="201" w:lineRule="exact"/>
              <w:rPr>
                <w:sz w:val="20"/>
                <w:szCs w:val="20"/>
                <w:color w:val="auto"/>
              </w:rPr>
            </w:pPr>
            <w:r>
              <w:rPr>
                <w:rFonts w:ascii="Arial" w:cs="Arial" w:eastAsia="Arial" w:hAnsi="Arial"/>
                <w:sz w:val="18"/>
                <w:szCs w:val="18"/>
                <w:color w:val="auto"/>
                <w:w w:val="89"/>
              </w:rPr>
              <w:t>Proceeds from the issuance of common stock included in prepaid expenses and</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2,085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 in accounts payable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 Nature of business</w:t>
      </w:r>
    </w:p>
    <w:p>
      <w:pPr>
        <w:spacing w:after="0" w:line="228" w:lineRule="exact"/>
        <w:rPr>
          <w:sz w:val="20"/>
          <w:szCs w:val="20"/>
          <w:color w:val="auto"/>
        </w:rPr>
      </w:pPr>
    </w:p>
    <w:p>
      <w:pPr>
        <w:ind w:left="160" w:right="219" w:firstLine="646"/>
        <w:spacing w:after="0" w:line="278" w:lineRule="auto"/>
        <w:rPr>
          <w:sz w:val="20"/>
          <w:szCs w:val="20"/>
          <w:color w:val="auto"/>
        </w:rPr>
      </w:pPr>
      <w:r>
        <w:rPr>
          <w:rFonts w:ascii="Arial" w:cs="Arial" w:eastAsia="Arial" w:hAnsi="Arial"/>
          <w:sz w:val="17"/>
          <w:szCs w:val="17"/>
          <w:color w:val="auto"/>
        </w:rPr>
        <w:t>Verastem, Inc. (the Company) is a biopharmaceutical company focused on discovering and developing drugs to improve outcomes for patients with cancer. The Company’s operations to date have been limited to organizing and staffing the Company, business planning, raising capital, acquiring and developing its technology, identifying potential product candidates and undertaking preclinical and clinical studies of its product candidates.</w:t>
      </w:r>
    </w:p>
    <w:p>
      <w:pPr>
        <w:spacing w:after="0" w:line="171" w:lineRule="exact"/>
        <w:rPr>
          <w:sz w:val="20"/>
          <w:szCs w:val="20"/>
          <w:color w:val="auto"/>
        </w:rPr>
      </w:pPr>
    </w:p>
    <w:p>
      <w:pPr>
        <w:ind w:left="160" w:right="279" w:firstLine="646"/>
        <w:spacing w:after="0" w:line="295" w:lineRule="auto"/>
        <w:rPr>
          <w:sz w:val="20"/>
          <w:szCs w:val="20"/>
          <w:color w:val="auto"/>
        </w:rPr>
      </w:pPr>
      <w:r>
        <w:rPr>
          <w:rFonts w:ascii="Arial" w:cs="Arial" w:eastAsia="Arial" w:hAnsi="Arial"/>
          <w:sz w:val="16"/>
          <w:szCs w:val="16"/>
          <w:color w:val="auto"/>
        </w:rPr>
        <w:t>The Company is subject to a number of risks similar to other life science companies, including, but not limited to, the need to obtain adequate additional funding, possible failure of preclinical testing or clinical trials, inability to obtain marketing approval of product candidates, competitors developing new technological innovations, market acceptance of the Company’s products and protection of proprietary technology. If the Company does not successfully commercialize any of its product candidates, it will be unable to generate product revenue or achieve profitability.</w:t>
      </w:r>
    </w:p>
    <w:p>
      <w:pPr>
        <w:spacing w:after="0" w:line="161" w:lineRule="exact"/>
        <w:rPr>
          <w:sz w:val="20"/>
          <w:szCs w:val="20"/>
          <w:color w:val="auto"/>
        </w:rPr>
      </w:pPr>
    </w:p>
    <w:p>
      <w:pPr>
        <w:ind w:left="160" w:right="179" w:firstLine="646"/>
        <w:spacing w:after="0" w:line="256" w:lineRule="auto"/>
        <w:rPr>
          <w:sz w:val="20"/>
          <w:szCs w:val="20"/>
          <w:color w:val="auto"/>
        </w:rPr>
      </w:pPr>
      <w:r>
        <w:rPr>
          <w:rFonts w:ascii="Arial" w:cs="Arial" w:eastAsia="Arial" w:hAnsi="Arial"/>
          <w:sz w:val="18"/>
          <w:szCs w:val="18"/>
          <w:color w:val="auto"/>
        </w:rPr>
        <w:t>As of December 31, 2016, the Company had cash, cash equivalents and investments of $80.9 million and accumulated deficit of $235.3 million. Although the Company has incurred recurring losses and expects to continue to incur losses for the foreseeable future, the Company expects its cash, cash equivalents and investments to be sufficient to fund its current operating plan for at least the next twelve months from the date of issuance of these consolidated financial statements and into 2018.</w:t>
      </w:r>
    </w:p>
    <w:p>
      <w:pPr>
        <w:spacing w:after="0" w:line="184" w:lineRule="exact"/>
        <w:rPr>
          <w:sz w:val="20"/>
          <w:szCs w:val="20"/>
          <w:color w:val="auto"/>
        </w:rPr>
      </w:pPr>
    </w:p>
    <w:p>
      <w:pPr>
        <w:ind w:left="160" w:right="6359" w:hanging="10"/>
        <w:spacing w:after="0" w:line="531" w:lineRule="auto"/>
        <w:tabs>
          <w:tab w:leader="none" w:pos="339"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Basis of consolidation</w:t>
      </w:r>
    </w:p>
    <w:p>
      <w:pPr>
        <w:ind w:left="160" w:right="359" w:firstLine="646"/>
        <w:spacing w:after="0" w:line="258" w:lineRule="auto"/>
        <w:rPr>
          <w:sz w:val="20"/>
          <w:szCs w:val="20"/>
          <w:color w:val="auto"/>
        </w:rPr>
      </w:pPr>
      <w:r>
        <w:rPr>
          <w:rFonts w:ascii="Arial" w:cs="Arial" w:eastAsia="Arial" w:hAnsi="Arial"/>
          <w:sz w:val="18"/>
          <w:szCs w:val="18"/>
          <w:color w:val="auto"/>
        </w:rPr>
        <w:t>The consolidated financial statements include the accounts of Verastem Securities Company, a wholly owned subsidiary of the Company. All financial information presented has been consolidated and includes the accounts of the Company and its wholly owned subsidiary. All intercompany balances and transactions have been eliminated in consolidation.</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estimates</w:t>
      </w:r>
    </w:p>
    <w:p>
      <w:pPr>
        <w:spacing w:after="0" w:line="228" w:lineRule="exact"/>
        <w:rPr>
          <w:sz w:val="20"/>
          <w:szCs w:val="20"/>
          <w:color w:val="auto"/>
        </w:rPr>
      </w:pPr>
    </w:p>
    <w:p>
      <w:pPr>
        <w:ind w:left="160" w:right="139" w:firstLine="646"/>
        <w:spacing w:after="0" w:line="218" w:lineRule="exact"/>
        <w:rPr>
          <w:sz w:val="20"/>
          <w:szCs w:val="20"/>
          <w:color w:val="auto"/>
        </w:rPr>
      </w:pPr>
      <w:r>
        <w:rPr>
          <w:rFonts w:ascii="Arial" w:cs="Arial" w:eastAsia="Arial" w:hAnsi="Arial"/>
          <w:sz w:val="18"/>
          <w:szCs w:val="18"/>
          <w:color w:val="auto"/>
        </w:rPr>
        <w:t>The preparation of the Company’s financial statements in conformity with U.S. generally accepted accounting principles requires management to make estimates and assumptions that affect the amounts reported in the financial statements and accompanying notes. On an ongoing basis, management evaluates its estimates, including estimates related to accruals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The Company bases its estimates on historical experience and other market</w:t>
      </w:r>
      <w:r>
        <w:rPr>
          <w:rFonts w:ascii="MS PGothic" w:cs="MS PGothic" w:eastAsia="MS PGothic" w:hAnsi="MS PGothic"/>
          <w:sz w:val="18"/>
          <w:szCs w:val="18"/>
          <w:color w:val="auto"/>
        </w:rPr>
        <w:t>‑</w:t>
      </w:r>
      <w:r>
        <w:rPr>
          <w:rFonts w:ascii="Arial" w:cs="Arial" w:eastAsia="Arial" w:hAnsi="Arial"/>
          <w:sz w:val="18"/>
          <w:szCs w:val="18"/>
          <w:color w:val="auto"/>
        </w:rPr>
        <w:t>specific or other relevant assumptions that it believes to be reasonable. Actual results could differ from such estimates.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Segment and geographic information</w:t>
      </w:r>
    </w:p>
    <w:p>
      <w:pPr>
        <w:spacing w:after="0" w:line="228" w:lineRule="exact"/>
        <w:rPr>
          <w:sz w:val="20"/>
          <w:szCs w:val="20"/>
          <w:color w:val="auto"/>
        </w:rPr>
      </w:pPr>
    </w:p>
    <w:p>
      <w:pPr>
        <w:ind w:left="160" w:right="319" w:firstLine="646"/>
        <w:spacing w:after="0" w:line="219" w:lineRule="exact"/>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and regularly reviewed by the chief operating decision maker, or decision</w:t>
      </w:r>
      <w:r>
        <w:rPr>
          <w:rFonts w:ascii="MS PGothic" w:cs="MS PGothic" w:eastAsia="MS PGothic" w:hAnsi="MS PGothic"/>
          <w:sz w:val="18"/>
          <w:szCs w:val="18"/>
          <w:color w:val="auto"/>
        </w:rPr>
        <w:t>‑</w:t>
      </w:r>
      <w:r>
        <w:rPr>
          <w:rFonts w:ascii="Arial" w:cs="Arial" w:eastAsia="Arial" w:hAnsi="Arial"/>
          <w:sz w:val="18"/>
          <w:szCs w:val="18"/>
          <w:color w:val="auto"/>
        </w:rPr>
        <w:t>making group, in deciding how to allocate resources and in assessing performance. The Company views its operations and manages its business in one operating segment, which is the business of developing drugs for the treatment of cancer. All material long-lived assets of the Company reside in the United States.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228" w:lineRule="exact"/>
        <w:rPr>
          <w:sz w:val="20"/>
          <w:szCs w:val="20"/>
          <w:color w:val="auto"/>
        </w:rPr>
      </w:pPr>
    </w:p>
    <w:p>
      <w:pPr>
        <w:ind w:left="160" w:right="219" w:firstLine="646"/>
        <w:spacing w:after="0" w:line="300" w:lineRule="auto"/>
        <w:rPr>
          <w:sz w:val="20"/>
          <w:szCs w:val="20"/>
          <w:color w:val="auto"/>
        </w:rPr>
      </w:pPr>
      <w:r>
        <w:rPr>
          <w:rFonts w:ascii="Arial" w:cs="Arial" w:eastAsia="Arial" w:hAnsi="Arial"/>
          <w:sz w:val="16"/>
          <w:szCs w:val="16"/>
          <w:color w:val="auto"/>
        </w:rPr>
        <w:t>The Company considers all highly liquid investments with an original or remaining maturity of three months or less at the date of purchase to be cash equivalents. Cash equivalents consist of a U.S. Government money market fund, overnight repurchase agreements collateralized by government agency securities or U.S. Treasury securities, corporate bonds and commercial paper of publicly traded companies. Cash equivalents are reported at fair value.</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8" w:lineRule="exact"/>
        <w:rPr>
          <w:sz w:val="20"/>
          <w:szCs w:val="20"/>
          <w:color w:val="auto"/>
        </w:rPr>
      </w:pPr>
    </w:p>
    <w:p>
      <w:pPr>
        <w:ind w:left="160" w:right="339" w:firstLine="646"/>
        <w:spacing w:after="0" w:line="258" w:lineRule="auto"/>
        <w:rPr>
          <w:sz w:val="20"/>
          <w:szCs w:val="20"/>
          <w:color w:val="auto"/>
        </w:rPr>
      </w:pPr>
      <w:r>
        <w:rPr>
          <w:rFonts w:ascii="Arial" w:cs="Arial" w:eastAsia="Arial" w:hAnsi="Arial"/>
          <w:sz w:val="18"/>
          <w:szCs w:val="18"/>
          <w:color w:val="auto"/>
        </w:rPr>
        <w:t>The Company determines the fair value of its financial instruments based upon the fair value hierarchy, which prioritizes valuation inputs based on the observable nature of those inputs. The fair value hierarchy applies only to the valuation inputs used in determining the reported fair value of the investments and is not a measure of the investment credit quality. The hierarchy defines three levels of valuation inputs: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1 inputs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2 inputs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or liabilities that the Company can access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measurement date.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Inputs other than quoted prices included within Level 1 that are observable for the asset or liability,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either directly or indirectly.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that reflect the Company’s own assumptions about the assumptions market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participants would use in pricing the asset or liability.</w:t>
      </w:r>
    </w:p>
    <w:p>
      <w:pPr>
        <w:spacing w:after="0" w:line="200" w:lineRule="exact"/>
        <w:rPr>
          <w:sz w:val="20"/>
          <w:szCs w:val="20"/>
          <w:color w:val="auto"/>
        </w:rPr>
      </w:pPr>
    </w:p>
    <w:p>
      <w:pPr>
        <w:sectPr>
          <w:pgSz w:w="11900" w:h="16838" w:orient="portrait"/>
          <w:cols w:equalWidth="0" w:num="2">
            <w:col w:w="1180" w:space="320"/>
            <w:col w:w="7519"/>
          </w:cols>
          <w:pgMar w:left="1440" w:top="125" w:right="1440" w:bottom="1440" w:gutter="0" w:footer="0" w:header="0"/>
          <w:type w:val="continuous"/>
        </w:sectPr>
      </w:pPr>
    </w:p>
    <w:p>
      <w:pPr>
        <w:spacing w:after="0" w:line="23" w:lineRule="exact"/>
        <w:rPr>
          <w:sz w:val="20"/>
          <w:szCs w:val="20"/>
          <w:color w:val="auto"/>
        </w:rPr>
      </w:pPr>
    </w:p>
    <w:p>
      <w:pPr>
        <w:ind w:left="160" w:right="379" w:firstLine="646"/>
        <w:spacing w:after="0" w:line="276" w:lineRule="auto"/>
        <w:rPr>
          <w:sz w:val="20"/>
          <w:szCs w:val="20"/>
          <w:color w:val="auto"/>
        </w:rPr>
      </w:pPr>
      <w:r>
        <w:rPr>
          <w:rFonts w:ascii="Arial" w:cs="Arial" w:eastAsia="Arial" w:hAnsi="Arial"/>
          <w:sz w:val="18"/>
          <w:szCs w:val="18"/>
          <w:color w:val="auto"/>
        </w:rPr>
        <w:t>The following table presents information about the Company’s financial instruments that are measured at fair value on a recurring basis (in thousands):</w:t>
      </w:r>
    </w:p>
    <w:p>
      <w:pPr>
        <w:spacing w:after="0" w:line="200" w:lineRule="exact"/>
        <w:rPr>
          <w:sz w:val="20"/>
          <w:szCs w:val="20"/>
          <w:color w:val="auto"/>
        </w:rPr>
      </w:pPr>
    </w:p>
    <w:p>
      <w:pPr>
        <w:spacing w:after="0" w:line="285"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14"/>
              <w:spacing w:after="0" w:line="141"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6"/>
              <w:spacing w:after="0" w:line="141"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34"/>
              <w:spacing w:after="0" w:line="141"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79,088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73"/>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14"/>
              <w:spacing w:after="0" w:line="141"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6"/>
              <w:spacing w:after="0" w:line="141"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34"/>
              <w:spacing w:after="0" w:line="141"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23,036</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85,388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85,388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108,424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b w:val="1"/>
                <w:bCs w:val="1"/>
                <w:color w:val="auto"/>
              </w:rPr>
              <w:t>Financial liabilities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5"/>
              </w:rPr>
              <w:t>Liability classified stock-based compensation awards</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financial liabilities</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6"/>
              </w:rPr>
              <w:t>F-8</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4"/>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type w:val="continuous"/>
        </w:sectPr>
      </w:pPr>
    </w:p>
    <w:bookmarkStart w:id="106" w:name="page107"/>
    <w:bookmarkEnd w:id="10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ind w:left="160" w:right="299" w:firstLine="646"/>
        <w:spacing w:after="0" w:line="288" w:lineRule="auto"/>
        <w:rPr>
          <w:sz w:val="20"/>
          <w:szCs w:val="20"/>
          <w:color w:val="auto"/>
        </w:rPr>
      </w:pPr>
      <w:r>
        <w:rPr>
          <w:rFonts w:ascii="Arial" w:cs="Arial" w:eastAsia="Arial" w:hAnsi="Arial"/>
          <w:sz w:val="16"/>
          <w:szCs w:val="16"/>
          <w:color w:val="auto"/>
        </w:rPr>
        <w:t>These investments and cash equivalents have been initially valued at the transaction price and subsequently valued, at the end of each reporting period, utilizing third party pricing services or other market observable data. The pricing services utilize industry standard valuation models, including both income and market based approaches and observable market inputs to determine value. These observable market inputs include reportable trades, benchmark yields, credit spreads, broker/dealer quotes, bids, offers, current spot rates and other industry and economic events. The Company validates the prices provided by third party pricing services by reviewing their pricing methods and matrices, obtaining market values from other pricing sources, analyzing pricing data in certain instances and confirming that the relevant markets are active. After completing its validation procedures, the Company did not adjust or override any fair value measurements provided by the pricing services as of December 31, 2016 and 2015.</w:t>
      </w:r>
    </w:p>
    <w:p>
      <w:pPr>
        <w:spacing w:after="0" w:line="166" w:lineRule="exact"/>
        <w:rPr>
          <w:sz w:val="20"/>
          <w:szCs w:val="20"/>
          <w:color w:val="auto"/>
        </w:rPr>
      </w:pPr>
    </w:p>
    <w:p>
      <w:pPr>
        <w:ind w:left="160" w:right="199" w:firstLine="646"/>
        <w:spacing w:after="0" w:line="286" w:lineRule="auto"/>
        <w:rPr>
          <w:sz w:val="20"/>
          <w:szCs w:val="20"/>
          <w:color w:val="auto"/>
        </w:rPr>
      </w:pPr>
      <w:r>
        <w:rPr>
          <w:rFonts w:ascii="Arial" w:cs="Arial" w:eastAsia="Arial" w:hAnsi="Arial"/>
          <w:sz w:val="16"/>
          <w:szCs w:val="16"/>
          <w:color w:val="auto"/>
        </w:rPr>
        <w:t>The Company’s liability classified stock-based compensation awards were comprised of restricted stock units (RSUs) that allowed for greater than minimum statutory tax withholdings. These awards were valued based on the fair value of the Company’s common stock underlying the awards, which is traded on an active market. During the first quarter of 2013, the Company amended the terms of certain RSUs to allow for cash tax withholdings greater than the minimum required statutory withholding amount. As a result of this change in the terms of the awards, the outstanding RSUs were considered to be liability instruments. As a result of this modification, the Company recorded a liability for the fair value of the awards as of each reporting date with the change in fair value recorded through the statement of operations. The Company recorded stock-based compensation expense equal to the greater of the original grant date fair value of the awards or the settlement date fair value. All such RSUs were fully vested as of February 1, 2016. During the years ended December 31, 2016 and 2015, the Company made approximate deposits to the taxing authorities of $5,000 and $417,000, respectively, to settle the tax liability for awards that settled during such periods.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Investments</w:t>
      </w:r>
    </w:p>
    <w:p>
      <w:pPr>
        <w:spacing w:after="0" w:line="228"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Investments and cash equivalents consist of investments in a U.S. Government money market fund, overnight repurchase agreements collateralized by government agency securities or U.S. Treasury securities, corporate bonds and commercial paper of publicly traded companies that are classified as available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 xml:space="preserve">sale pursuant to Accounting Standards Codification (ASC) Topic 320, </w:t>
      </w:r>
      <w:r>
        <w:rPr>
          <w:rFonts w:ascii="Arial" w:cs="Arial" w:eastAsia="Arial" w:hAnsi="Arial"/>
          <w:sz w:val="16"/>
          <w:szCs w:val="16"/>
          <w:i w:val="1"/>
          <w:iCs w:val="1"/>
          <w:color w:val="auto"/>
        </w:rPr>
        <w:t>Investments—Debt and Equity Securities</w:t>
      </w:r>
      <w:r>
        <w:rPr>
          <w:rFonts w:ascii="Arial" w:cs="Arial" w:eastAsia="Arial" w:hAnsi="Arial"/>
          <w:sz w:val="16"/>
          <w:szCs w:val="16"/>
          <w:color w:val="auto"/>
        </w:rPr>
        <w:t>. The Company classifies investments available to fund current operations as current assets on its consolidated balance sheets. Investments are classified as long</w:t>
      </w:r>
      <w:r>
        <w:rPr>
          <w:rFonts w:ascii="MS PGothic" w:cs="MS PGothic" w:eastAsia="MS PGothic" w:hAnsi="MS PGothic"/>
          <w:sz w:val="16"/>
          <w:szCs w:val="16"/>
          <w:color w:val="auto"/>
        </w:rPr>
        <w:t>‑</w:t>
      </w:r>
      <w:r>
        <w:rPr>
          <w:rFonts w:ascii="Arial" w:cs="Arial" w:eastAsia="Arial" w:hAnsi="Arial"/>
          <w:sz w:val="16"/>
          <w:szCs w:val="16"/>
          <w:color w:val="auto"/>
        </w:rPr>
        <w:t>term assets on the consolidated balance sheets if (i) the Company has the intent and ability to hold the investments for a period of at least one year and (ii) the contractual maturity date of the investments is greater than one year. Investments are carried at fair value with unrealized gains and losses included as a component of accumulated other comprehensive income (loss), which is a separate component of stockholders’ equity (deficit), until such gains and losses are realized. The fair value of these securities is based on quoted prices for identical or similar assets. If a decline in the fair value is considered other</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temporary, based on available evidence, the unrealized loss is transferred from other comprehensive loss to the consolidated statements of operations and comprehensive loss.</w:t>
      </w:r>
    </w:p>
    <w:p>
      <w:pPr>
        <w:spacing w:after="0" w:line="205"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6"/>
          <w:szCs w:val="16"/>
          <w:color w:val="auto"/>
        </w:rPr>
        <w:t>The Company reviews investments for other</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temporary impairment whenever the fair value of an investment is less than the amortized cost and evidence indicates that an investment’s carrying amount is not recoverable within a reasonable period of time. To determine whether an impairment is other</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temporary, the Company considers the intent to sell, or whether it is more likely than not that the Company will be required to sell, the investment before recovery of the investment’s amortized cost basis. Evidence considered in this assessment includes reasons for the impairment, compliance with the Company’s investment policy, the severity and the duration of the impairment and changes in value subsequent to year end. As of December 31, 2016 and 2015, there were no investments with a fair value that was significantly lower than the amortized cost basis or any investments that had been in an unrealized loss position for a significant period. There were no other</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temporary declines in fair value of short</w:t>
      </w:r>
      <w:r>
        <w:rPr>
          <w:rFonts w:ascii="MS PGothic" w:cs="MS PGothic" w:eastAsia="MS PGothic" w:hAnsi="MS PGothic"/>
          <w:sz w:val="16"/>
          <w:szCs w:val="16"/>
          <w:color w:val="auto"/>
        </w:rPr>
        <w:t>‑</w:t>
      </w:r>
      <w:r>
        <w:rPr>
          <w:rFonts w:ascii="Arial" w:cs="Arial" w:eastAsia="Arial" w:hAnsi="Arial"/>
          <w:sz w:val="16"/>
          <w:szCs w:val="16"/>
          <w:color w:val="auto"/>
        </w:rPr>
        <w:t>term investments for the years ended December 31, 2016, 2015 and 2014. Realized gains and losses are determined using the specific identification method and are included in interest income in the consolidated statements of operations and comprehensive loss. There were no realized gains or losses recognized for the years ended December 31, 2016, 2015 and 2014.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Cash, cash equivalents and investments consist of the following (in thousands):</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December 31, 2016</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Gross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60"/>
              <w:spacing w:after="0" w:line="148" w:lineRule="exact"/>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0"/>
              <w:spacing w:after="0" w:line="148"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money market accounts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22,349</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ind w:left="200"/>
              <w:spacing w:after="0"/>
              <w:rPr>
                <w:sz w:val="20"/>
                <w:szCs w:val="20"/>
                <w:color w:val="auto"/>
              </w:rPr>
            </w:pPr>
            <w:r>
              <w:rPr>
                <w:rFonts w:ascii="Arial" w:cs="Arial" w:eastAsia="Arial" w:hAnsi="Arial"/>
                <w:sz w:val="18"/>
                <w:szCs w:val="18"/>
                <w:color w:val="auto"/>
              </w:rPr>
              <w:t>Overnight repurchase agreements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w w:val="94"/>
              </w:rPr>
              <w:t>10,000</w:t>
            </w:r>
          </w:p>
        </w:tc>
        <w:tc>
          <w:tcPr>
            <w:tcW w:w="20" w:type="dxa"/>
            <w:vAlign w:val="bottom"/>
          </w:tcPr>
          <w:p>
            <w:pPr>
              <w:spacing w:after="0"/>
              <w:rPr>
                <w:sz w:val="18"/>
                <w:szCs w:val="18"/>
                <w:color w:val="auto"/>
              </w:rPr>
            </w:pP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4"/>
              </w:rPr>
              <w:t>32,349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Corporate bonds and commercial paper (due within 1 year)</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4"/>
              </w:rPr>
              <w:t>48,519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4"/>
              </w:rPr>
              <w:t>48,519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cash, cash equivalents, and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4"/>
              </w:rPr>
              <w:t>80,868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80,897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92"/>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99"/>
              </w:rPr>
              <w:t>December 31, 2015</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0"/>
              </w:rPr>
              <w:t>Gross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ind w:left="40"/>
              <w:spacing w:after="0" w:line="148"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60" w:type="dxa"/>
            <w:vAlign w:val="bottom"/>
            <w:gridSpan w:val="4"/>
          </w:tcPr>
          <w:p>
            <w:pPr>
              <w:jc w:val="center"/>
              <w:ind w:right="120"/>
              <w:spacing w:after="0" w:line="148"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Gains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money market accounts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13,298</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80" w:type="dxa"/>
            <w:vAlign w:val="bottom"/>
          </w:tcPr>
          <w:p>
            <w:pPr>
              <w:ind w:left="200"/>
              <w:spacing w:after="0" w:line="201" w:lineRule="exact"/>
              <w:rPr>
                <w:sz w:val="20"/>
                <w:szCs w:val="20"/>
                <w:color w:val="auto"/>
              </w:rPr>
            </w:pPr>
            <w:r>
              <w:rPr>
                <w:rFonts w:ascii="Arial" w:cs="Arial" w:eastAsia="Arial" w:hAnsi="Arial"/>
                <w:sz w:val="18"/>
                <w:szCs w:val="18"/>
                <w:color w:val="auto"/>
              </w:rPr>
              <w:t>Government-sponsored enterprise securities (original</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maturities within 90 days)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Corporate bonds and commercial paper (original maturities</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within 90 days)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4"/>
              </w:rPr>
              <w:t>24,870</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80" w:type="dxa"/>
            <w:vAlign w:val="bottom"/>
          </w:tcPr>
          <w:p>
            <w:pPr>
              <w:ind w:left="200"/>
              <w:spacing w:after="0" w:line="201" w:lineRule="exact"/>
              <w:rPr>
                <w:sz w:val="20"/>
                <w:szCs w:val="20"/>
                <w:color w:val="auto"/>
              </w:rPr>
            </w:pPr>
            <w:r>
              <w:rPr>
                <w:rFonts w:ascii="Arial" w:cs="Arial" w:eastAsia="Arial" w:hAnsi="Arial"/>
                <w:sz w:val="18"/>
                <w:szCs w:val="18"/>
                <w:color w:val="auto"/>
                <w:w w:val="99"/>
              </w:rPr>
              <w:t>Government-sponsored enterprise securities (due within</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1 year)</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w w:val="94"/>
              </w:rPr>
              <w:t>11,932</w:t>
            </w:r>
          </w:p>
        </w:tc>
        <w:tc>
          <w:tcPr>
            <w:tcW w:w="2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28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securities (due within 1 year)</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4"/>
              </w:rPr>
              <w:t>Corporate bonds and commercial paper (due within 1 year)</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4"/>
              </w:rPr>
              <w:t>72,408</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4"/>
              </w:rPr>
              <w:t>85,345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cash, cash equivalents, and investments</w:t>
            </w:r>
          </w:p>
        </w:tc>
        <w:tc>
          <w:tcPr>
            <w:tcW w:w="240" w:type="dxa"/>
            <w:vAlign w:val="bottom"/>
          </w:tcPr>
          <w:p>
            <w:pPr>
              <w:spacing w:after="0"/>
              <w:rPr>
                <w:sz w:val="24"/>
                <w:szCs w:val="24"/>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110,215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110,258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120" w:lineRule="exact"/>
        <w:rPr>
          <w:sz w:val="20"/>
          <w:szCs w:val="20"/>
          <w:color w:val="auto"/>
        </w:rPr>
      </w:pPr>
    </w:p>
    <w:p>
      <w:pPr>
        <w:ind w:left="160" w:right="219" w:firstLine="646"/>
        <w:spacing w:after="0" w:line="218" w:lineRule="exact"/>
        <w:rPr>
          <w:sz w:val="20"/>
          <w:szCs w:val="20"/>
          <w:color w:val="auto"/>
        </w:rPr>
      </w:pPr>
      <w:r>
        <w:rPr>
          <w:rFonts w:ascii="Arial" w:cs="Arial" w:eastAsia="Arial" w:hAnsi="Arial"/>
          <w:sz w:val="16"/>
          <w:szCs w:val="16"/>
          <w:color w:val="auto"/>
        </w:rPr>
        <w:t>Cash and cash equivalents and investments are financial instruments that potentially subject the Company to concentrations of credit risk. The Company mitigates this risk by maintaining its cash and cash equivalents and investments with high quality, accredited financial institutions. The management of the Company’s investments is not discretionary on the part of these financial institutions. As of December 31, 2016, the Company’s cash, cash equivalents and investments were deposited at two financial institutions and it has no significant off</w:t>
      </w:r>
      <w:r>
        <w:rPr>
          <w:rFonts w:ascii="MS PGothic" w:cs="MS PGothic" w:eastAsia="MS PGothic" w:hAnsi="MS PGothic"/>
          <w:sz w:val="16"/>
          <w:szCs w:val="16"/>
          <w:color w:val="auto"/>
        </w:rPr>
        <w:t>‑</w:t>
      </w:r>
      <w:r>
        <w:rPr>
          <w:rFonts w:ascii="Arial" w:cs="Arial" w:eastAsia="Arial" w:hAnsi="Arial"/>
          <w:sz w:val="16"/>
          <w:szCs w:val="16"/>
          <w:color w:val="auto"/>
        </w:rPr>
        <w:t>balance sheet concentrations of credit risk, such as foreign currency exchange contracts, option contracts or other hedging arrangements.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and equipment</w:t>
      </w:r>
    </w:p>
    <w:p>
      <w:pPr>
        <w:spacing w:after="0" w:line="228" w:lineRule="exact"/>
        <w:rPr>
          <w:sz w:val="20"/>
          <w:szCs w:val="20"/>
          <w:color w:val="auto"/>
        </w:rPr>
      </w:pPr>
    </w:p>
    <w:p>
      <w:pPr>
        <w:ind w:left="160" w:right="159" w:firstLine="646"/>
        <w:spacing w:after="0" w:line="219" w:lineRule="exact"/>
        <w:rPr>
          <w:sz w:val="20"/>
          <w:szCs w:val="20"/>
          <w:color w:val="auto"/>
        </w:rPr>
      </w:pPr>
      <w:r>
        <w:rPr>
          <w:rFonts w:ascii="Arial" w:cs="Arial" w:eastAsia="Arial" w:hAnsi="Arial"/>
          <w:sz w:val="17"/>
          <w:szCs w:val="17"/>
          <w:color w:val="auto"/>
        </w:rPr>
        <w:t>Property and equipment consists of laboratory equipment, office furniture, computer equipment and leasehold improvements. Expenditures for repairs and maintenance are recorded to expense as incurred, whereas major betterments are capitalized as additions to property and equipment. Depreciation and amortization is calculated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following estimated useful lives of the assets:</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82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5 years</w:t>
            </w: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Furniture</w:t>
            </w:r>
          </w:p>
        </w:tc>
        <w:tc>
          <w:tcPr>
            <w:tcW w:w="4820" w:type="dxa"/>
            <w:vAlign w:val="bottom"/>
          </w:tcPr>
          <w:p>
            <w:pPr>
              <w:ind w:left="2080"/>
              <w:spacing w:after="0"/>
              <w:rPr>
                <w:sz w:val="20"/>
                <w:szCs w:val="20"/>
                <w:color w:val="auto"/>
              </w:rPr>
            </w:pPr>
            <w:r>
              <w:rPr>
                <w:rFonts w:ascii="Arial" w:cs="Arial" w:eastAsia="Arial" w:hAnsi="Arial"/>
                <w:sz w:val="18"/>
                <w:szCs w:val="18"/>
                <w:color w:val="auto"/>
              </w:rPr>
              <w:t>5 years</w:t>
            </w:r>
          </w:p>
        </w:tc>
      </w:tr>
      <w:tr>
        <w:trPr>
          <w:trHeight w:val="215"/>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82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3 years</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820" w:type="dxa"/>
            <w:vAlign w:val="bottom"/>
          </w:tcPr>
          <w:p>
            <w:pPr>
              <w:ind w:left="2220"/>
              <w:spacing w:after="0"/>
              <w:rPr>
                <w:sz w:val="20"/>
                <w:szCs w:val="20"/>
                <w:color w:val="auto"/>
              </w:rPr>
            </w:pPr>
            <w:r>
              <w:rPr>
                <w:rFonts w:ascii="Arial" w:cs="Arial" w:eastAsia="Arial" w:hAnsi="Arial"/>
                <w:sz w:val="18"/>
                <w:szCs w:val="18"/>
                <w:color w:val="auto"/>
                <w:w w:val="94"/>
              </w:rPr>
              <w:t>Lesser of useful life or life of lease</w:t>
            </w:r>
          </w:p>
        </w:tc>
      </w:tr>
    </w:tbl>
    <w:p>
      <w:pPr>
        <w:spacing w:after="0" w:line="186" w:lineRule="exact"/>
        <w:rPr>
          <w:sz w:val="20"/>
          <w:szCs w:val="20"/>
          <w:color w:val="auto"/>
        </w:rPr>
      </w:pPr>
    </w:p>
    <w:p>
      <w:pPr>
        <w:ind w:left="160" w:right="439" w:firstLine="646"/>
        <w:spacing w:after="0" w:line="276" w:lineRule="auto"/>
        <w:rPr>
          <w:sz w:val="20"/>
          <w:szCs w:val="20"/>
          <w:color w:val="auto"/>
        </w:rPr>
      </w:pPr>
      <w:r>
        <w:rPr>
          <w:rFonts w:ascii="Arial" w:cs="Arial" w:eastAsia="Arial" w:hAnsi="Arial"/>
          <w:sz w:val="18"/>
          <w:szCs w:val="18"/>
          <w:color w:val="auto"/>
        </w:rPr>
        <w:t>Upon retirement or sale, the cost of the disposed asset and the related accumulated depreciation are removed from the accounts and any resulting gain or loss is recognized.</w:t>
      </w:r>
    </w:p>
    <w:p>
      <w:pPr>
        <w:spacing w:after="0" w:line="170" w:lineRule="exact"/>
        <w:rPr>
          <w:sz w:val="20"/>
          <w:szCs w:val="20"/>
          <w:color w:val="auto"/>
        </w:rPr>
      </w:pPr>
    </w:p>
    <w:p>
      <w:pPr>
        <w:ind w:left="160" w:right="159" w:firstLine="646"/>
        <w:spacing w:after="0" w:line="218" w:lineRule="exact"/>
        <w:rPr>
          <w:sz w:val="20"/>
          <w:szCs w:val="20"/>
          <w:color w:val="auto"/>
        </w:rPr>
      </w:pPr>
      <w:r>
        <w:rPr>
          <w:rFonts w:ascii="Arial" w:cs="Arial" w:eastAsia="Arial" w:hAnsi="Arial"/>
          <w:sz w:val="16"/>
          <w:szCs w:val="16"/>
          <w:color w:val="auto"/>
        </w:rPr>
        <w:t>The Company reviews its long</w:t>
      </w:r>
      <w:r>
        <w:rPr>
          <w:rFonts w:ascii="MS PGothic" w:cs="MS PGothic" w:eastAsia="MS PGothic" w:hAnsi="MS PGothic"/>
          <w:sz w:val="16"/>
          <w:szCs w:val="16"/>
          <w:color w:val="auto"/>
        </w:rPr>
        <w:t>‑</w:t>
      </w:r>
      <w:r>
        <w:rPr>
          <w:rFonts w:ascii="Arial" w:cs="Arial" w:eastAsia="Arial" w:hAnsi="Arial"/>
          <w:sz w:val="16"/>
          <w:szCs w:val="16"/>
          <w:color w:val="auto"/>
        </w:rPr>
        <w:t>lived assets for impairment whenever events or changes in business circumstances indicate that the carrying value of assets may not be recoverable. Recoverability is measured by comparison of the asset’s book value to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 No material impairment losses have been recorded through December 31, 2016.</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assets</w:t>
      </w:r>
    </w:p>
    <w:p>
      <w:pPr>
        <w:spacing w:after="0" w:line="228" w:lineRule="exact"/>
        <w:rPr>
          <w:sz w:val="20"/>
          <w:szCs w:val="20"/>
          <w:color w:val="auto"/>
        </w:rPr>
      </w:pPr>
    </w:p>
    <w:p>
      <w:pPr>
        <w:ind w:left="160" w:right="179" w:firstLine="646"/>
        <w:spacing w:after="0" w:line="292" w:lineRule="auto"/>
        <w:rPr>
          <w:sz w:val="20"/>
          <w:szCs w:val="20"/>
          <w:color w:val="auto"/>
        </w:rPr>
      </w:pPr>
      <w:r>
        <w:rPr>
          <w:rFonts w:ascii="Arial" w:cs="Arial" w:eastAsia="Arial" w:hAnsi="Arial"/>
          <w:sz w:val="16"/>
          <w:szCs w:val="16"/>
          <w:color w:val="auto"/>
        </w:rPr>
        <w:t>Pursuant to the license agreement between the Company and Infinity Pharmaceuticals, Inc. (Infinity) amended and restated on November 1, 2016, effective as of October 29, 2016 (the License Agreement), the Company assumed the rights to the remaining balance of certain prepaid amounts as of December 31, 2016 on contracts with contract research organizations (CROs). The License Agreement also requires the Company to reimburse Infinity for these prepaid CRO expenses. The prepaid CRO expenses and corresponding liability of approximately $755,000 are recorded as other assets and accrued expenses on the consolidated balance sheets as of December 31, 2016.</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Research and development costs</w:t>
      </w:r>
    </w:p>
    <w:p>
      <w:pPr>
        <w:spacing w:after="0" w:line="228" w:lineRule="exact"/>
        <w:rPr>
          <w:sz w:val="20"/>
          <w:szCs w:val="20"/>
          <w:color w:val="auto"/>
        </w:rPr>
      </w:pPr>
    </w:p>
    <w:p>
      <w:pPr>
        <w:ind w:left="160" w:right="359" w:firstLine="646"/>
        <w:spacing w:after="0" w:line="276" w:lineRule="auto"/>
        <w:rPr>
          <w:sz w:val="20"/>
          <w:szCs w:val="20"/>
          <w:color w:val="auto"/>
        </w:rPr>
      </w:pPr>
      <w:r>
        <w:rPr>
          <w:rFonts w:ascii="Arial" w:cs="Arial" w:eastAsia="Arial" w:hAnsi="Arial"/>
          <w:sz w:val="18"/>
          <w:szCs w:val="18"/>
          <w:color w:val="auto"/>
        </w:rPr>
        <w:t>The Company expenses research and development costs to operations as incurred. Research and development expenses consist of:</w:t>
      </w:r>
    </w:p>
    <w:p>
      <w:pPr>
        <w:spacing w:after="0" w:line="170" w:lineRule="exact"/>
        <w:rPr>
          <w:sz w:val="20"/>
          <w:szCs w:val="20"/>
          <w:color w:val="auto"/>
        </w:rPr>
      </w:pPr>
    </w:p>
    <w:p>
      <w:pPr>
        <w:ind w:left="560" w:hanging="87"/>
        <w:spacing w:after="0" w:line="207" w:lineRule="exact"/>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travel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223" w:lineRule="exact"/>
        <w:rPr>
          <w:rFonts w:ascii="Arial" w:cs="Arial" w:eastAsia="Arial" w:hAnsi="Arial"/>
          <w:sz w:val="18"/>
          <w:szCs w:val="18"/>
          <w:color w:val="auto"/>
        </w:rPr>
      </w:pPr>
    </w:p>
    <w:p>
      <w:pPr>
        <w:ind w:left="560" w:right="179" w:hanging="87"/>
        <w:spacing w:after="0" w:line="306" w:lineRule="auto"/>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CROs, clinical trial sites, manufacturing organizations and consultants, including the scientific advisory board;</w:t>
      </w:r>
    </w:p>
    <w:p>
      <w:pPr>
        <w:spacing w:after="0" w:line="147" w:lineRule="exact"/>
        <w:rPr>
          <w:rFonts w:ascii="Arial" w:cs="Arial" w:eastAsia="Arial" w:hAnsi="Arial"/>
          <w:sz w:val="17"/>
          <w:szCs w:val="17"/>
          <w:color w:val="auto"/>
        </w:rPr>
      </w:pPr>
    </w:p>
    <w:p>
      <w:pPr>
        <w:ind w:left="860" w:hanging="387"/>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license fees; and</w:t>
      </w:r>
    </w:p>
    <w:p>
      <w:pPr>
        <w:spacing w:after="0" w:line="223" w:lineRule="exact"/>
        <w:rPr>
          <w:rFonts w:ascii="Arial" w:cs="Arial" w:eastAsia="Arial" w:hAnsi="Arial"/>
          <w:sz w:val="18"/>
          <w:szCs w:val="18"/>
          <w:color w:val="auto"/>
        </w:rPr>
      </w:pPr>
    </w:p>
    <w:p>
      <w:pPr>
        <w:ind w:left="560" w:right="199" w:hanging="87"/>
        <w:spacing w:after="0" w:line="276"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depreciation of equipment, and laboratory supplies.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9" w:name="page110"/>
    <w:bookmarkEnd w:id="10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ind w:left="160" w:right="299" w:firstLine="646"/>
        <w:spacing w:after="0" w:line="262" w:lineRule="auto"/>
        <w:rPr>
          <w:sz w:val="20"/>
          <w:szCs w:val="20"/>
          <w:color w:val="auto"/>
        </w:rPr>
      </w:pPr>
      <w:r>
        <w:rPr>
          <w:rFonts w:ascii="Arial" w:cs="Arial" w:eastAsia="Arial" w:hAnsi="Arial"/>
          <w:sz w:val="18"/>
          <w:szCs w:val="18"/>
          <w:color w:val="auto"/>
        </w:rPr>
        <w:t>The Company accounts for nonrefundable advance payments for goods and services that will be used in future research and development activities as expenses when the services have been performed or when the goods have been received rather than when the payment is made.</w:t>
      </w:r>
    </w:p>
    <w:p>
      <w:pPr>
        <w:spacing w:after="0" w:line="179"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8" w:lineRule="exact"/>
        <w:rPr>
          <w:sz w:val="20"/>
          <w:szCs w:val="20"/>
          <w:color w:val="auto"/>
        </w:rPr>
      </w:pPr>
    </w:p>
    <w:p>
      <w:pPr>
        <w:ind w:left="160" w:right="159" w:firstLine="646"/>
        <w:spacing w:after="0" w:line="256" w:lineRule="auto"/>
        <w:rPr>
          <w:sz w:val="20"/>
          <w:szCs w:val="20"/>
          <w:color w:val="auto"/>
        </w:rPr>
      </w:pPr>
      <w:r>
        <w:rPr>
          <w:rFonts w:ascii="Arial" w:cs="Arial" w:eastAsia="Arial" w:hAnsi="Arial"/>
          <w:sz w:val="18"/>
          <w:szCs w:val="18"/>
          <w:color w:val="auto"/>
        </w:rPr>
        <w:t>The Company expenses the fair value of employee stock-based awards over the requisite service period, which typically is the vesting period. Compensation expense is measured using the fair value of the award at the grant date, net of estimated forfeitures, and is adjusted annually to reflect actual forfeitures. Awards subject to performance based vesting requirements are expensed utilizing an accelerated attribution model if achievement of the performance criteria is determined to be probable.</w:t>
      </w:r>
    </w:p>
    <w:p>
      <w:pPr>
        <w:spacing w:after="0" w:line="188" w:lineRule="exact"/>
        <w:rPr>
          <w:sz w:val="20"/>
          <w:szCs w:val="20"/>
          <w:color w:val="auto"/>
        </w:rPr>
      </w:pPr>
    </w:p>
    <w:p>
      <w:pPr>
        <w:ind w:left="160" w:right="199" w:firstLine="646"/>
        <w:spacing w:after="0" w:line="217" w:lineRule="exact"/>
        <w:rPr>
          <w:sz w:val="20"/>
          <w:szCs w:val="20"/>
          <w:color w:val="auto"/>
        </w:rPr>
      </w:pPr>
      <w:r>
        <w:rPr>
          <w:rFonts w:ascii="Arial" w:cs="Arial" w:eastAsia="Arial" w:hAnsi="Arial"/>
          <w:sz w:val="16"/>
          <w:szCs w:val="16"/>
          <w:color w:val="auto"/>
        </w:rPr>
        <w:t>The grant date fair value of employee stock options is estimated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that takes into account the fair value of its common stock, the exercise price, the expected life of the option, the expected volatility of its common stock, expected dividends on its common stock, and the risk-free interest rate over the expected life of the option. The Company uses the simplified method described in the Securities and Exchange Commission Staff Accounting Bulletin Topic 14.D.2 to calculate the expected term as it does not have sufficient historical exercise data to provide a reasonable basis upon which to estimate the expected term for options granted to employees. The expected term is applied to the stock option grant group as a whole, as the Company does not expect substantially different exercise or post</w:t>
      </w:r>
      <w:r>
        <w:rPr>
          <w:rFonts w:ascii="MS PGothic" w:cs="MS PGothic" w:eastAsia="MS PGothic" w:hAnsi="MS PGothic"/>
          <w:sz w:val="16"/>
          <w:szCs w:val="16"/>
          <w:color w:val="auto"/>
        </w:rPr>
        <w:t>‑</w:t>
      </w:r>
      <w:r>
        <w:rPr>
          <w:rFonts w:ascii="Arial" w:cs="Arial" w:eastAsia="Arial" w:hAnsi="Arial"/>
          <w:sz w:val="16"/>
          <w:szCs w:val="16"/>
          <w:color w:val="auto"/>
        </w:rPr>
        <w:t>vesting termination behavior among its employee population. The computation of expected volatility is based on the historical volatility of five companies equally weighted, including the Company and a representative group of four public biotechnology and life sciences companies with similar characteristics to the Company, including similar stage of product development and therapeutic focus.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based on a treasury instrument whose term is consistent with the expected term of the stock options. Management assesses expected forfeitures based on the experience of the Company coupled with comparison to data from the representative group of companies and recognizes compensation costs only for those equity awards expected to vest.</w:t>
      </w:r>
    </w:p>
    <w:p>
      <w:pPr>
        <w:spacing w:after="0" w:line="203" w:lineRule="exact"/>
        <w:rPr>
          <w:sz w:val="20"/>
          <w:szCs w:val="20"/>
          <w:color w:val="auto"/>
        </w:rPr>
      </w:pPr>
    </w:p>
    <w:p>
      <w:pPr>
        <w:ind w:left="160" w:right="319" w:firstLine="646"/>
        <w:spacing w:after="0" w:line="219"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nonemployees, including directors for non</w:t>
      </w:r>
      <w:r>
        <w:rPr>
          <w:rFonts w:ascii="MS PGothic" w:cs="MS PGothic" w:eastAsia="MS PGothic" w:hAnsi="MS PGothic"/>
          <w:sz w:val="16"/>
          <w:szCs w:val="16"/>
          <w:color w:val="auto"/>
        </w:rPr>
        <w:t>‑</w:t>
      </w:r>
      <w:r>
        <w:rPr>
          <w:rFonts w:ascii="Arial" w:cs="Arial" w:eastAsia="Arial" w:hAnsi="Arial"/>
          <w:sz w:val="16"/>
          <w:szCs w:val="16"/>
          <w:color w:val="auto"/>
        </w:rPr>
        <w:t>board related services, are accounted for based on the fair value of such services received or of the equity instruments issued, whichever is more reliably measured. Stock option awards to non-employees are revalued at each reporting date and upon vesting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and are expensed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vesting period.</w:t>
      </w:r>
    </w:p>
    <w:p>
      <w:pPr>
        <w:spacing w:after="0" w:line="203" w:lineRule="exact"/>
        <w:rPr>
          <w:sz w:val="20"/>
          <w:szCs w:val="20"/>
          <w:color w:val="auto"/>
        </w:rPr>
      </w:pPr>
    </w:p>
    <w:p>
      <w:pPr>
        <w:ind w:left="160" w:right="179" w:firstLine="646"/>
        <w:spacing w:after="0" w:line="219"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which allowed for greater than the minimum statutory tax withholdings were classified as liabilities. These awards were revalued at each reporting date and were expensed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Upon settlement, the awards were revalued and the amounts were reclassified to additional paid</w:t>
      </w:r>
      <w:r>
        <w:rPr>
          <w:rFonts w:ascii="MS PGothic" w:cs="MS PGothic" w:eastAsia="MS PGothic" w:hAnsi="MS PGothic"/>
          <w:sz w:val="18"/>
          <w:szCs w:val="18"/>
          <w:color w:val="auto"/>
        </w:rPr>
        <w:t>‑</w:t>
      </w:r>
      <w:r>
        <w:rPr>
          <w:rFonts w:ascii="Arial" w:cs="Arial" w:eastAsia="Arial" w:hAnsi="Arial"/>
          <w:sz w:val="18"/>
          <w:szCs w:val="18"/>
          <w:color w:val="auto"/>
        </w:rPr>
        <w:t>in capital. Shares were withheld to cover the tax withholding and amounts paid to settle the tax liability were recorded as a reduction of 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228" w:lineRule="exact"/>
        <w:rPr>
          <w:sz w:val="20"/>
          <w:szCs w:val="20"/>
          <w:color w:val="auto"/>
        </w:rPr>
      </w:pPr>
    </w:p>
    <w:p>
      <w:pPr>
        <w:ind w:left="160" w:right="219" w:firstLine="646"/>
        <w:spacing w:after="0" w:line="292"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using enacted tax rates in effect for the year in which the differences are expected to affect taxable income. Tax benefits are recognized when it is more likely than not that a tax position will be sustained during an audit. Deferred tax assets are reduced by a valuation allowance if current evidence indicates that it is considered more likely than not that these benefits will not be realized.</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0" w:name="page111"/>
    <w:bookmarkEnd w:id="11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loss per share</w:t>
      </w:r>
    </w:p>
    <w:p>
      <w:pPr>
        <w:spacing w:after="0" w:line="228" w:lineRule="exact"/>
        <w:rPr>
          <w:sz w:val="20"/>
          <w:szCs w:val="20"/>
          <w:color w:val="auto"/>
        </w:rPr>
      </w:pPr>
    </w:p>
    <w:p>
      <w:pPr>
        <w:ind w:left="160" w:right="399" w:firstLine="646"/>
        <w:spacing w:after="0" w:line="218" w:lineRule="exact"/>
        <w:rPr>
          <w:sz w:val="20"/>
          <w:szCs w:val="20"/>
          <w:color w:val="auto"/>
        </w:rPr>
      </w:pPr>
      <w:r>
        <w:rPr>
          <w:rFonts w:ascii="Arial" w:cs="Arial" w:eastAsia="Arial" w:hAnsi="Arial"/>
          <w:sz w:val="18"/>
          <w:szCs w:val="18"/>
          <w:color w:val="auto"/>
        </w:rPr>
        <w:t>Basic and diluted net loss per common share is calculated by dividing net loss applicable to common stockholders by the weighted</w:t>
      </w:r>
      <w:r>
        <w:rPr>
          <w:rFonts w:ascii="MS PGothic" w:cs="MS PGothic" w:eastAsia="MS PGothic" w:hAnsi="MS PGothic"/>
          <w:sz w:val="18"/>
          <w:szCs w:val="18"/>
          <w:color w:val="auto"/>
        </w:rPr>
        <w:t>‑</w:t>
      </w:r>
      <w:r>
        <w:rPr>
          <w:rFonts w:ascii="Arial" w:cs="Arial" w:eastAsia="Arial" w:hAnsi="Arial"/>
          <w:sz w:val="18"/>
          <w:szCs w:val="18"/>
          <w:color w:val="auto"/>
        </w:rPr>
        <w:t>average number of common shares outstanding during the period, without consideration for common stock equivalents. The Company’s potentially dilutive shares, which include outstanding stock options, restricted stock units, unvested restricted stock and the warrant issued in 2014 are considered to be common stock equivalents and are only included in the calculation of diluted net loss per share when their effect is dilutive. All potentially dilutive securities were excluded from the calculation of diluted net loss per share as the securities were anti</w:t>
      </w:r>
      <w:r>
        <w:rPr>
          <w:rFonts w:ascii="MS PGothic" w:cs="MS PGothic" w:eastAsia="MS PGothic" w:hAnsi="MS PGothic"/>
          <w:sz w:val="18"/>
          <w:szCs w:val="18"/>
          <w:color w:val="auto"/>
        </w:rPr>
        <w:t>‑</w:t>
      </w:r>
      <w:r>
        <w:rPr>
          <w:rFonts w:ascii="Arial" w:cs="Arial" w:eastAsia="Arial" w:hAnsi="Arial"/>
          <w:sz w:val="18"/>
          <w:szCs w:val="18"/>
          <w:color w:val="auto"/>
        </w:rPr>
        <w:t>dilutive for all periods presented.</w:t>
      </w:r>
    </w:p>
    <w:p>
      <w:pPr>
        <w:spacing w:after="0" w:line="201" w:lineRule="exact"/>
        <w:rPr>
          <w:sz w:val="20"/>
          <w:szCs w:val="20"/>
          <w:color w:val="auto"/>
        </w:rPr>
      </w:pPr>
    </w:p>
    <w:p>
      <w:pPr>
        <w:ind w:left="160" w:right="179" w:firstLine="646"/>
        <w:spacing w:after="0" w:line="223" w:lineRule="exact"/>
        <w:rPr>
          <w:sz w:val="20"/>
          <w:szCs w:val="20"/>
          <w:color w:val="auto"/>
        </w:rPr>
      </w:pPr>
      <w:r>
        <w:rPr>
          <w:rFonts w:ascii="Arial" w:cs="Arial" w:eastAsia="Arial" w:hAnsi="Arial"/>
          <w:sz w:val="18"/>
          <w:szCs w:val="18"/>
          <w:color w:val="auto"/>
        </w:rPr>
        <w:t>The following potentially dilutive securities were excluded from the calculation of diluted net loss per share due to their anti</w:t>
      </w:r>
      <w:r>
        <w:rPr>
          <w:rFonts w:ascii="MS PGothic" w:cs="MS PGothic" w:eastAsia="MS PGothic" w:hAnsi="MS PGothic"/>
          <w:sz w:val="18"/>
          <w:szCs w:val="18"/>
          <w:color w:val="auto"/>
        </w:rPr>
        <w:t>‑</w:t>
      </w:r>
      <w:r>
        <w:rPr>
          <w:rFonts w:ascii="Arial" w:cs="Arial" w:eastAsia="Arial" w:hAnsi="Arial"/>
          <w:sz w:val="18"/>
          <w:szCs w:val="18"/>
          <w:color w:val="auto"/>
        </w:rPr>
        <w:t>dilutive effect:</w:t>
      </w:r>
    </w:p>
    <w:p>
      <w:pPr>
        <w:spacing w:after="0" w:line="354"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80" w:type="dxa"/>
            <w:vAlign w:val="bottom"/>
            <w:gridSpan w:val="6"/>
          </w:tcPr>
          <w:p>
            <w:pPr>
              <w:ind w:left="6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8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1"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1"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3"/>
              <w:spacing w:after="0" w:line="141"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5,848,470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5,390,130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4,206,440</w:t>
            </w:r>
          </w:p>
        </w:tc>
        <w:tc>
          <w:tcPr>
            <w:tcW w:w="80" w:type="dxa"/>
            <w:vAlign w:val="bottom"/>
            <w:shd w:val="clear" w:color="auto" w:fill="CCEEFF"/>
          </w:tcPr>
          <w:p>
            <w:pPr>
              <w:spacing w:after="0"/>
              <w:rPr>
                <w:sz w:val="18"/>
                <w:szCs w:val="18"/>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8"/>
                <w:szCs w:val="18"/>
                <w:color w:val="auto"/>
              </w:rPr>
              <w:t>Outstanding warrants</w:t>
            </w:r>
          </w:p>
        </w:tc>
        <w:tc>
          <w:tcPr>
            <w:tcW w:w="840" w:type="dxa"/>
            <w:vAlign w:val="bottom"/>
          </w:tcPr>
          <w:p>
            <w:pPr>
              <w:jc w:val="right"/>
              <w:spacing w:after="0"/>
              <w:rPr>
                <w:sz w:val="20"/>
                <w:szCs w:val="20"/>
                <w:color w:val="auto"/>
              </w:rPr>
            </w:pPr>
            <w:r>
              <w:rPr>
                <w:rFonts w:ascii="Arial" w:cs="Arial" w:eastAsia="Arial" w:hAnsi="Arial"/>
                <w:sz w:val="18"/>
                <w:szCs w:val="18"/>
                <w:color w:val="auto"/>
              </w:rPr>
              <w:t>142,857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142,857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142,857</w:t>
            </w:r>
          </w:p>
        </w:tc>
        <w:tc>
          <w:tcPr>
            <w:tcW w:w="80" w:type="dxa"/>
            <w:vAlign w:val="bottom"/>
          </w:tcPr>
          <w:p>
            <w:pPr>
              <w:spacing w:after="0"/>
              <w:rPr>
                <w:sz w:val="18"/>
                <w:szCs w:val="18"/>
                <w:color w:val="auto"/>
              </w:rPr>
            </w:pPr>
          </w:p>
        </w:tc>
      </w:tr>
      <w:tr>
        <w:trPr>
          <w:trHeight w:val="215"/>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units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293,747</w:t>
            </w:r>
          </w:p>
        </w:tc>
        <w:tc>
          <w:tcPr>
            <w:tcW w:w="80" w:type="dxa"/>
            <w:vAlign w:val="bottom"/>
            <w:shd w:val="clear" w:color="auto" w:fill="CCEEFF"/>
          </w:tcPr>
          <w:p>
            <w:pPr>
              <w:spacing w:after="0"/>
              <w:rPr>
                <w:sz w:val="18"/>
                <w:szCs w:val="18"/>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7,995</w:t>
            </w:r>
          </w:p>
        </w:tc>
        <w:tc>
          <w:tcPr>
            <w:tcW w:w="80" w:type="dxa"/>
            <w:vAlign w:val="bottom"/>
          </w:tcPr>
          <w:p>
            <w:pPr>
              <w:spacing w:after="0"/>
              <w:rPr>
                <w:sz w:val="18"/>
                <w:szCs w:val="18"/>
                <w:color w:val="auto"/>
              </w:rPr>
            </w:pPr>
          </w:p>
        </w:tc>
      </w:tr>
      <w:tr>
        <w:trPr>
          <w:trHeight w:val="216"/>
        </w:trPr>
        <w:tc>
          <w:tcPr>
            <w:tcW w:w="58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5,991,327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5,586,738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4,651,039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Recently Issued Accounting Standards Updates</w:t>
      </w:r>
    </w:p>
    <w:p>
      <w:pPr>
        <w:spacing w:after="0" w:line="228" w:lineRule="exact"/>
        <w:rPr>
          <w:sz w:val="20"/>
          <w:szCs w:val="20"/>
          <w:color w:val="auto"/>
        </w:rPr>
      </w:pPr>
    </w:p>
    <w:p>
      <w:pPr>
        <w:ind w:left="160" w:right="159" w:firstLine="646"/>
        <w:spacing w:after="0" w:line="252" w:lineRule="auto"/>
        <w:rPr>
          <w:sz w:val="20"/>
          <w:szCs w:val="20"/>
          <w:color w:val="auto"/>
        </w:rPr>
      </w:pPr>
      <w:r>
        <w:rPr>
          <w:rFonts w:ascii="Arial" w:cs="Arial" w:eastAsia="Arial" w:hAnsi="Arial"/>
          <w:sz w:val="18"/>
          <w:szCs w:val="18"/>
          <w:color w:val="auto"/>
        </w:rPr>
        <w:t xml:space="preserve">In November 2016, the Financial Accounting Standards Board (FASB) issued Accounting Standards Update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requires that a statement of cash flows explain the change during the period in the total of cash, cash 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ASU 2016-18 is effective for annual and interim periods beginning after December 15, 2017, with early adoption permitted. The Company has not chosen to early adopt this standard and is currently evaluating the impact the adoption will have on its consolidated financial statements and related disclosures.</w:t>
      </w:r>
    </w:p>
    <w:p>
      <w:pPr>
        <w:spacing w:after="0" w:line="197" w:lineRule="exact"/>
        <w:rPr>
          <w:sz w:val="20"/>
          <w:szCs w:val="20"/>
          <w:color w:val="auto"/>
        </w:rPr>
      </w:pPr>
    </w:p>
    <w:p>
      <w:pPr>
        <w:ind w:left="160" w:right="159" w:firstLine="646"/>
        <w:spacing w:after="0" w:line="289" w:lineRule="auto"/>
        <w:rPr>
          <w:sz w:val="20"/>
          <w:szCs w:val="20"/>
          <w:color w:val="auto"/>
        </w:rPr>
      </w:pPr>
      <w:r>
        <w:rPr>
          <w:rFonts w:ascii="Arial" w:cs="Arial" w:eastAsia="Arial" w:hAnsi="Arial"/>
          <w:sz w:val="16"/>
          <w:szCs w:val="16"/>
          <w:color w:val="auto"/>
        </w:rPr>
        <w:t xml:space="preserve">In October 2016, the FASB issued ASU 2016-17, </w:t>
      </w:r>
      <w:r>
        <w:rPr>
          <w:rFonts w:ascii="Arial" w:cs="Arial" w:eastAsia="Arial" w:hAnsi="Arial"/>
          <w:sz w:val="16"/>
          <w:szCs w:val="16"/>
          <w:i w:val="1"/>
          <w:iCs w:val="1"/>
          <w:color w:val="auto"/>
        </w:rPr>
        <w:t>Consolidation (Topic 810): Interests Held through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Parties That Are under Common Control</w:t>
      </w:r>
      <w:r>
        <w:rPr>
          <w:rFonts w:ascii="Arial" w:cs="Arial" w:eastAsia="Arial" w:hAnsi="Arial"/>
          <w:sz w:val="16"/>
          <w:szCs w:val="16"/>
          <w:color w:val="auto"/>
        </w:rPr>
        <w:t>. ASU 2016-17 updates ASU 2015-02. Under the amendments, a single decision</w:t>
      </w:r>
      <w:r>
        <w:rPr>
          <w:rFonts w:ascii="Arial" w:cs="Arial" w:eastAsia="Arial" w:hAnsi="Arial"/>
          <w:sz w:val="16"/>
          <w:szCs w:val="16"/>
          <w:i w:val="1"/>
          <w:iCs w:val="1"/>
          <w:color w:val="auto"/>
        </w:rPr>
        <w:t xml:space="preserve"> </w:t>
      </w:r>
      <w:r>
        <w:rPr>
          <w:rFonts w:ascii="Arial" w:cs="Arial" w:eastAsia="Arial" w:hAnsi="Arial"/>
          <w:sz w:val="16"/>
          <w:szCs w:val="16"/>
          <w:color w:val="auto"/>
        </w:rPr>
        <w:t>maker is not required to consider indirect interests held through related parties that are under common control with the single decision maker to be the equivalent of direct interests in their entirety. Instead, a single decision maker is required to include those interests on a proportionate basis consistent with indirect interests held through other related parties. ASU 2016-17 is effective for annual and interim periods beginning after December 15, 2016, with early adoption permitted. The Company has not chosen to early adopt this standard and is currently evaluating the impact the adoption will have on its consolidated financial statements and related disclosures.</w:t>
      </w:r>
    </w:p>
    <w:p>
      <w:pPr>
        <w:spacing w:after="0" w:line="166" w:lineRule="exact"/>
        <w:rPr>
          <w:sz w:val="20"/>
          <w:szCs w:val="20"/>
          <w:color w:val="auto"/>
        </w:rPr>
      </w:pPr>
    </w:p>
    <w:p>
      <w:pPr>
        <w:ind w:left="160" w:right="239" w:firstLine="646"/>
        <w:spacing w:after="0" w:line="295" w:lineRule="auto"/>
        <w:rPr>
          <w:sz w:val="20"/>
          <w:szCs w:val="20"/>
          <w:color w:val="auto"/>
        </w:rPr>
      </w:pPr>
      <w:r>
        <w:rPr>
          <w:rFonts w:ascii="Arial" w:cs="Arial" w:eastAsia="Arial" w:hAnsi="Arial"/>
          <w:sz w:val="16"/>
          <w:szCs w:val="16"/>
          <w:color w:val="auto"/>
        </w:rPr>
        <w:t xml:space="preserve">In August 2016, FASB issued ASU 2016-15, </w:t>
      </w:r>
      <w:r>
        <w:rPr>
          <w:rFonts w:ascii="Arial" w:cs="Arial" w:eastAsia="Arial" w:hAnsi="Arial"/>
          <w:sz w:val="16"/>
          <w:szCs w:val="16"/>
          <w:i w:val="1"/>
          <w:iCs w:val="1"/>
          <w:color w:val="auto"/>
        </w:rPr>
        <w:t>Statement of Cash Flows (Topic 230): Classification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Cash Receipts and Cash Payments. </w:t>
      </w:r>
      <w:r>
        <w:rPr>
          <w:rFonts w:ascii="Arial" w:cs="Arial" w:eastAsia="Arial" w:hAnsi="Arial"/>
          <w:sz w:val="16"/>
          <w:szCs w:val="16"/>
          <w:color w:val="auto"/>
        </w:rPr>
        <w:t>ASU 2016-15 adds or clarifies guidance on the classification of certain cash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and payments in the statement of cash flows. The standard is effective for annual and interim periods beginning after December 15, 2017, with early adoption permitted. The Company has not chosen to early adopt this standard and is currently evaluating the impact the adoption will have on its consolidated financial statements and related disclosures.</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ind w:left="160" w:right="179" w:firstLine="646"/>
        <w:spacing w:after="0" w:line="272"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to Employee Share-Based Payment Accounting</w:t>
      </w:r>
      <w:r>
        <w:rPr>
          <w:rFonts w:ascii="Arial" w:cs="Arial" w:eastAsia="Arial" w:hAnsi="Arial"/>
          <w:sz w:val="17"/>
          <w:szCs w:val="17"/>
          <w:color w:val="auto"/>
        </w:rPr>
        <w:t>. ASU 2016-09 simplifies the accounting for share-based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including the income tax impact and classification on the statement of cash flows. The standard is effective for annual and interim periods beginning after December 15, 2016 with early adoption permitted. The Company has not chosen to early adopt this standard and is currently evaluating the impact the adoption will have on its consolidated financial statements and related disclosures.</w:t>
      </w:r>
    </w:p>
    <w:p>
      <w:pPr>
        <w:spacing w:after="0" w:line="205" w:lineRule="exact"/>
        <w:rPr>
          <w:sz w:val="20"/>
          <w:szCs w:val="20"/>
          <w:color w:val="auto"/>
        </w:rPr>
      </w:pPr>
    </w:p>
    <w:p>
      <w:pPr>
        <w:ind w:left="160" w:right="159" w:firstLine="646"/>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the guidance under FASB ASC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resulting in the creation of FASB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requires lessees to recognize in the statement of financial position a liability to make lease payments and a right-of-use asset representing its right to use the underlying asset for the lease term for both finance and operating leases. The guidance also eliminates the current real estate-specific provisions for all entities. ASU 2016-02 is effective for fiscal years, and interim periods within those years, beginning after December 15, 2018 with early adoption permitted. The Company has not chosen to early adopt this standard and is currently evaluating the impact the adoption will have on its consolidated financial statements and related disclosures.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Recently Adopted Accounting Standards Updates</w:t>
      </w:r>
    </w:p>
    <w:p>
      <w:pPr>
        <w:spacing w:after="0" w:line="228" w:lineRule="exact"/>
        <w:rPr>
          <w:sz w:val="20"/>
          <w:szCs w:val="20"/>
          <w:color w:val="auto"/>
        </w:rPr>
      </w:pPr>
    </w:p>
    <w:p>
      <w:pPr>
        <w:ind w:left="160" w:right="199" w:firstLine="646"/>
        <w:spacing w:after="0" w:line="271"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a Business. </w:t>
      </w:r>
      <w:r>
        <w:rPr>
          <w:rFonts w:ascii="Arial" w:cs="Arial" w:eastAsia="Arial" w:hAnsi="Arial"/>
          <w:sz w:val="17"/>
          <w:szCs w:val="17"/>
          <w:color w:val="auto"/>
        </w:rPr>
        <w:t>ASU 2017-01 clarifies the definition of a business, provides a screen to determine when a set of assets is</w:t>
      </w:r>
      <w:r>
        <w:rPr>
          <w:rFonts w:ascii="Arial" w:cs="Arial" w:eastAsia="Arial" w:hAnsi="Arial"/>
          <w:sz w:val="17"/>
          <w:szCs w:val="17"/>
          <w:i w:val="1"/>
          <w:iCs w:val="1"/>
          <w:color w:val="auto"/>
        </w:rPr>
        <w:t xml:space="preserve"> </w:t>
      </w:r>
      <w:r>
        <w:rPr>
          <w:rFonts w:ascii="Arial" w:cs="Arial" w:eastAsia="Arial" w:hAnsi="Arial"/>
          <w:sz w:val="17"/>
          <w:szCs w:val="17"/>
          <w:color w:val="auto"/>
        </w:rPr>
        <w:t>not a business and narrows the definition of the term output. ASU 2017-01 is effective for the interim and annual periods after December 15, 2016. Early adoption is permitted. The Company has elected to early adopt ASU 2017-01 and to apply it to the November 2016 amended and restated license agreement with Infinity, under which it acquired an exclusive worldwide license for the research, development, commercialization, and manufacture of products in oncology indications containing duvelisib.</w:t>
      </w:r>
    </w:p>
    <w:p>
      <w:pPr>
        <w:spacing w:after="0" w:line="178" w:lineRule="exact"/>
        <w:rPr>
          <w:sz w:val="20"/>
          <w:szCs w:val="20"/>
          <w:color w:val="auto"/>
        </w:rPr>
      </w:pPr>
    </w:p>
    <w:p>
      <w:pPr>
        <w:ind w:left="160" w:right="279" w:firstLine="646"/>
        <w:spacing w:after="0" w:line="28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of Uncertainties about an Entity's Ability to Continue as a Going Concern </w:t>
      </w:r>
      <w:r>
        <w:rPr>
          <w:rFonts w:ascii="Arial" w:cs="Arial" w:eastAsia="Arial" w:hAnsi="Arial"/>
          <w:sz w:val="16"/>
          <w:szCs w:val="16"/>
          <w:color w:val="auto"/>
        </w:rPr>
        <w:t>(Subtopic 205-40). ASU 2014-15</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assess an entity’s ability to continue as a going concern every reporting period, and provide certain disclosures if management has substantial doubt about the entity’s ability to operate as a going concern, or an express statement if not, by incorporating and expanding upon certain principles that are currently in U.S. auditing standards. ASU 2014-15 is effective for the interim and annual periods after December 15, 2016. Early adoption is permitted. The Company adopted ASU 2014-15 effective October 1, 2016. The Company has evaluated the impact of the adoption of ASU 2014-15 on its year ended December 31, 2016 consolidated financial statements and determined that there is not substantial doubt about the Company’s ability to continue as a going concern for at least one year from the issuance of the December 31, 2016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3. Property and equipment, net</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8"/>
                <w:szCs w:val="18"/>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color w:val="auto"/>
              </w:rPr>
              <w:t>Laboratory equipment</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r>
      <w:tr>
        <w:trPr>
          <w:trHeight w:val="215"/>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r>
      <w:tr>
        <w:trPr>
          <w:trHeight w:val="215"/>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Computer equipment</w:t>
            </w:r>
          </w:p>
        </w:tc>
        <w:tc>
          <w:tcPr>
            <w:tcW w:w="2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8"/>
                <w:szCs w:val="18"/>
                <w:color w:val="auto"/>
              </w:rPr>
            </w:pPr>
          </w:p>
        </w:tc>
      </w:tr>
      <w:tr>
        <w:trPr>
          <w:trHeight w:val="209"/>
        </w:trPr>
        <w:tc>
          <w:tcPr>
            <w:tcW w:w="45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CEEFF"/>
          </w:tcPr>
          <w:p>
            <w:pPr>
              <w:spacing w:after="0"/>
              <w:rPr>
                <w:sz w:val="18"/>
                <w:szCs w:val="18"/>
                <w:color w:val="auto"/>
              </w:rPr>
            </w:pPr>
          </w:p>
        </w:tc>
      </w:tr>
      <w:tr>
        <w:trPr>
          <w:trHeight w:val="215"/>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2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tcPr>
          <w:p>
            <w:pPr>
              <w:spacing w:after="0"/>
              <w:rPr>
                <w:sz w:val="18"/>
                <w:szCs w:val="18"/>
                <w:color w:val="auto"/>
              </w:rPr>
            </w:pPr>
          </w:p>
        </w:tc>
      </w:tr>
      <w:tr>
        <w:trPr>
          <w:trHeight w:val="216"/>
        </w:trPr>
        <w:tc>
          <w:tcPr>
            <w:tcW w:w="45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14" w:lineRule="exact"/>
        <w:rPr>
          <w:sz w:val="20"/>
          <w:szCs w:val="20"/>
          <w:color w:val="auto"/>
        </w:rPr>
      </w:pPr>
    </w:p>
    <w:p>
      <w:pPr>
        <w:ind w:left="160" w:right="299" w:firstLine="646"/>
        <w:spacing w:after="0" w:line="276" w:lineRule="auto"/>
        <w:rPr>
          <w:sz w:val="20"/>
          <w:szCs w:val="20"/>
          <w:color w:val="auto"/>
        </w:rPr>
      </w:pPr>
      <w:r>
        <w:rPr>
          <w:rFonts w:ascii="Arial" w:cs="Arial" w:eastAsia="Arial" w:hAnsi="Arial"/>
          <w:sz w:val="18"/>
          <w:szCs w:val="18"/>
          <w:color w:val="auto"/>
        </w:rPr>
        <w:t>Approximate total depreciation and amortization expenses amounted to $670,000, $754,000, and $427,000 for the years ended December 31, 2016, 2015 and 2014, respectively.</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10"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5700" w:type="dxa"/>
            <w:vAlign w:val="bottom"/>
            <w:vMerge w:val="restart"/>
          </w:tcPr>
          <w:p>
            <w:pPr>
              <w:spacing w:after="0"/>
              <w:rPr>
                <w:sz w:val="20"/>
                <w:szCs w:val="20"/>
                <w:color w:val="auto"/>
              </w:rPr>
            </w:pPr>
            <w:r>
              <w:rPr>
                <w:rFonts w:ascii="Arial" w:cs="Arial" w:eastAsia="Arial" w:hAnsi="Arial"/>
                <w:sz w:val="18"/>
                <w:szCs w:val="18"/>
                <w:color w:val="auto"/>
              </w:rPr>
              <w:t>Interest receivable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Prepaid contract research organization costs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8"/>
                <w:szCs w:val="18"/>
                <w:color w:val="auto"/>
              </w:rPr>
              <w:t>Prepaid insurance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Prepaid other</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5700" w:type="dxa"/>
            <w:vAlign w:val="bottom"/>
          </w:tcPr>
          <w:p>
            <w:pPr>
              <w:spacing w:after="0"/>
              <w:rPr>
                <w:sz w:val="20"/>
                <w:szCs w:val="20"/>
                <w:color w:val="auto"/>
              </w:rPr>
            </w:pPr>
            <w:r>
              <w:rPr>
                <w:rFonts w:ascii="Arial" w:cs="Arial" w:eastAsia="Arial" w:hAnsi="Arial"/>
                <w:sz w:val="18"/>
                <w:szCs w:val="18"/>
                <w:b w:val="1"/>
                <w:bCs w:val="1"/>
                <w:color w:val="auto"/>
              </w:rPr>
              <w:t>5. Accrued expenses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700" w:type="dxa"/>
            <w:vAlign w:val="bottom"/>
          </w:tcPr>
          <w:p>
            <w:pPr>
              <w:ind w:left="640"/>
              <w:spacing w:after="0"/>
              <w:rPr>
                <w:sz w:val="20"/>
                <w:szCs w:val="20"/>
                <w:color w:val="auto"/>
              </w:rPr>
            </w:pPr>
            <w:r>
              <w:rPr>
                <w:rFonts w:ascii="Arial" w:cs="Arial" w:eastAsia="Arial" w:hAnsi="Arial"/>
                <w:sz w:val="18"/>
                <w:szCs w:val="18"/>
                <w:color w:val="auto"/>
              </w:rPr>
              <w:t>Accrued expenses consist of the following (in thousands):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5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24"/>
                <w:szCs w:val="24"/>
                <w:color w:val="auto"/>
              </w:rPr>
            </w:pPr>
          </w:p>
        </w:tc>
        <w:tc>
          <w:tcPr>
            <w:tcW w:w="10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organization costs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8"/>
                <w:szCs w:val="18"/>
                <w:color w:val="auto"/>
              </w:rPr>
              <w:t>Professional fees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5700" w:type="dxa"/>
            <w:vAlign w:val="bottom"/>
          </w:tcPr>
          <w:p>
            <w:pPr>
              <w:ind w:left="4180"/>
              <w:spacing w:after="0"/>
              <w:rPr>
                <w:sz w:val="20"/>
                <w:szCs w:val="20"/>
                <w:color w:val="auto"/>
              </w:rPr>
            </w:pPr>
            <w:r>
              <w:rPr>
                <w:rFonts w:ascii="Arial" w:cs="Arial" w:eastAsia="Arial" w:hAnsi="Arial"/>
                <w:sz w:val="18"/>
                <w:szCs w:val="18"/>
                <w:color w:val="auto"/>
              </w:rPr>
              <w:t>F-15</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4"/>
        </w:trPr>
        <w:tc>
          <w:tcPr>
            <w:tcW w:w="5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13" w:name="page114"/>
    <w:bookmarkEnd w:id="11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 Common stock</w:t>
      </w:r>
    </w:p>
    <w:p>
      <w:pPr>
        <w:spacing w:after="0" w:line="228" w:lineRule="exact"/>
        <w:rPr>
          <w:sz w:val="20"/>
          <w:szCs w:val="20"/>
          <w:color w:val="auto"/>
        </w:rPr>
      </w:pPr>
    </w:p>
    <w:p>
      <w:pPr>
        <w:jc w:val="both"/>
        <w:ind w:left="160" w:right="279" w:firstLine="646"/>
        <w:spacing w:after="0" w:line="262" w:lineRule="auto"/>
        <w:rPr>
          <w:sz w:val="20"/>
          <w:szCs w:val="20"/>
          <w:color w:val="auto"/>
        </w:rPr>
      </w:pPr>
      <w:r>
        <w:rPr>
          <w:rFonts w:ascii="Arial" w:cs="Arial" w:eastAsia="Arial" w:hAnsi="Arial"/>
          <w:sz w:val="18"/>
          <w:szCs w:val="18"/>
          <w:color w:val="auto"/>
        </w:rPr>
        <w:t>As of December 31, 2016 and 2015, the Company had reserved the following shares of common stock for the issuance of common stock for vested restricted stock units, the exercise of stock options, and an outstanding warrant (in thousands):</w:t>
      </w:r>
    </w:p>
    <w:p>
      <w:pPr>
        <w:spacing w:after="0" w:line="17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under equity compensation plans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120" w:type="dxa"/>
            <w:vAlign w:val="bottom"/>
            <w:shd w:val="clear" w:color="auto" w:fill="CCEEFF"/>
          </w:tcPr>
          <w:p>
            <w:pPr>
              <w:spacing w:after="0"/>
              <w:rPr>
                <w:sz w:val="18"/>
                <w:szCs w:val="18"/>
                <w:color w:val="auto"/>
              </w:rPr>
            </w:pP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Shares reserved for inducement grants</w:t>
            </w:r>
          </w:p>
        </w:tc>
        <w:tc>
          <w:tcPr>
            <w:tcW w:w="880" w:type="dxa"/>
            <w:vAlign w:val="bottom"/>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r>
      <w:tr>
        <w:trPr>
          <w:trHeight w:val="215"/>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outstanding warrants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8,587</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Pr>
          <w:p>
            <w:pPr>
              <w:spacing w:after="0"/>
              <w:rPr>
                <w:sz w:val="18"/>
                <w:szCs w:val="18"/>
                <w:color w:val="auto"/>
              </w:rPr>
            </w:pPr>
          </w:p>
        </w:tc>
      </w:tr>
    </w:tbl>
    <w:p>
      <w:pPr>
        <w:spacing w:after="0" w:line="201" w:lineRule="exact"/>
        <w:rPr>
          <w:sz w:val="20"/>
          <w:szCs w:val="20"/>
          <w:color w:val="auto"/>
        </w:rPr>
      </w:pPr>
    </w:p>
    <w:p>
      <w:pPr>
        <w:ind w:left="160" w:right="699" w:firstLine="646"/>
        <w:spacing w:after="0" w:line="340" w:lineRule="auto"/>
        <w:rPr>
          <w:sz w:val="20"/>
          <w:szCs w:val="20"/>
          <w:color w:val="auto"/>
        </w:rPr>
      </w:pPr>
      <w:r>
        <w:rPr>
          <w:rFonts w:ascii="Arial" w:cs="Arial" w:eastAsia="Arial" w:hAnsi="Arial"/>
          <w:sz w:val="16"/>
          <w:szCs w:val="16"/>
          <w:color w:val="auto"/>
        </w:rPr>
        <w:t>Each share of common stock is entitled to one vote. The holders of the common stock are also entitled to receive dividends whenever funds are legally available and when declared by the board of directors.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At-the-market equity offering program</w:t>
      </w:r>
    </w:p>
    <w:p>
      <w:pPr>
        <w:spacing w:after="0" w:line="228" w:lineRule="exact"/>
        <w:rPr>
          <w:sz w:val="20"/>
          <w:szCs w:val="20"/>
          <w:color w:val="auto"/>
        </w:rPr>
      </w:pPr>
    </w:p>
    <w:p>
      <w:pPr>
        <w:ind w:left="160" w:right="159" w:firstLine="646"/>
        <w:spacing w:after="0" w:line="272" w:lineRule="auto"/>
        <w:rPr>
          <w:sz w:val="20"/>
          <w:szCs w:val="20"/>
          <w:color w:val="auto"/>
        </w:rPr>
      </w:pPr>
      <w:r>
        <w:rPr>
          <w:rFonts w:ascii="Arial" w:cs="Arial" w:eastAsia="Arial" w:hAnsi="Arial"/>
          <w:sz w:val="17"/>
          <w:szCs w:val="17"/>
          <w:color w:val="auto"/>
        </w:rPr>
        <w:t>In December 2013, the Company established an at-the-market equity offering program pursuant to which it was able to offer and sell up to $35.0 million of its common stock at then current market prices from time to time. In November 2014, the Company commenced sales under this program. During the year ended December 31, 2015, the Company sold 1,189,479 shares of common stock under this program with net proceeds (after deducting commissions and other offering expenses) of $12.9 million. No additional sales of the Company’s common stock were made under this program and no proceeds were received during the year ended December 31, 2016.</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Warrant</w:t>
      </w:r>
    </w:p>
    <w:p>
      <w:pPr>
        <w:spacing w:after="0" w:line="228" w:lineRule="exact"/>
        <w:rPr>
          <w:sz w:val="20"/>
          <w:szCs w:val="20"/>
          <w:color w:val="auto"/>
        </w:rPr>
      </w:pPr>
    </w:p>
    <w:p>
      <w:pPr>
        <w:ind w:left="160" w:right="199" w:firstLine="646"/>
        <w:spacing w:after="0" w:line="285" w:lineRule="auto"/>
        <w:rPr>
          <w:sz w:val="20"/>
          <w:szCs w:val="20"/>
          <w:color w:val="auto"/>
        </w:rPr>
      </w:pPr>
      <w:r>
        <w:rPr>
          <w:rFonts w:ascii="Arial" w:cs="Arial" w:eastAsia="Arial" w:hAnsi="Arial"/>
          <w:sz w:val="17"/>
          <w:szCs w:val="17"/>
          <w:color w:val="auto"/>
        </w:rPr>
        <w:t>In February 2014, in connection with the acquisition of intellectual property rights from Encarta, Inc. (Encarta), the Company issued a warrant to purchase 142,857 shares of common stock exercisable at a price of $17.16 per share that expires 3 years from the issuance date. The warrant expired unexercised in February 2017.</w:t>
      </w:r>
    </w:p>
    <w:p>
      <w:pPr>
        <w:spacing w:after="0" w:line="161" w:lineRule="exact"/>
        <w:rPr>
          <w:sz w:val="20"/>
          <w:szCs w:val="20"/>
          <w:color w:val="auto"/>
        </w:rPr>
      </w:pPr>
    </w:p>
    <w:p>
      <w:pPr>
        <w:ind w:left="160"/>
        <w:spacing w:after="0" w:line="207" w:lineRule="exact"/>
        <w:rPr>
          <w:sz w:val="20"/>
          <w:szCs w:val="20"/>
          <w:color w:val="auto"/>
        </w:rPr>
      </w:pPr>
      <w:r>
        <w:rPr>
          <w:rFonts w:ascii="Arial" w:cs="Arial" w:eastAsia="Arial" w:hAnsi="Arial"/>
          <w:sz w:val="18"/>
          <w:szCs w:val="18"/>
          <w:b w:val="1"/>
          <w:bCs w:val="1"/>
          <w:color w:val="auto"/>
        </w:rPr>
        <w:t>7.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8" w:lineRule="exact"/>
        <w:rPr>
          <w:sz w:val="20"/>
          <w:szCs w:val="20"/>
          <w:color w:val="auto"/>
        </w:rPr>
      </w:pPr>
    </w:p>
    <w:p>
      <w:pPr>
        <w:ind w:left="160" w:right="459" w:firstLine="646"/>
        <w:spacing w:after="0" w:line="22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 reflected in the Company’s consolidated statements of operations and comprehensive loss was as follows (in thousands):</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8"/>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6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2015</w:t>
            </w: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Borders>
              <w:bottom w:val="single" w:sz="8" w:color="CCEEFF"/>
            </w:tcBorders>
          </w:tcPr>
          <w:p>
            <w:pPr>
              <w:spacing w:after="0"/>
              <w:rPr>
                <w:sz w:val="18"/>
                <w:szCs w:val="18"/>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1,073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00" w:type="dxa"/>
            <w:vAlign w:val="bottom"/>
            <w:shd w:val="clear" w:color="auto" w:fill="CCEEFF"/>
          </w:tcPr>
          <w:p>
            <w:pPr>
              <w:spacing w:after="0"/>
              <w:rPr>
                <w:sz w:val="18"/>
                <w:szCs w:val="18"/>
                <w:color w:val="auto"/>
              </w:rPr>
            </w:pPr>
          </w:p>
        </w:tc>
      </w:tr>
      <w:tr>
        <w:trPr>
          <w:trHeight w:val="215"/>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5,145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8,385</w:t>
            </w:r>
          </w:p>
        </w:tc>
        <w:tc>
          <w:tcPr>
            <w:tcW w:w="100" w:type="dxa"/>
            <w:vAlign w:val="bottom"/>
            <w:tcBorders>
              <w:bottom w:val="single" w:sz="8" w:color="CCEEFF"/>
            </w:tcBorders>
          </w:tcPr>
          <w:p>
            <w:pPr>
              <w:spacing w:after="0"/>
              <w:rPr>
                <w:sz w:val="18"/>
                <w:szCs w:val="18"/>
                <w:color w:val="auto"/>
              </w:rPr>
            </w:pPr>
          </w:p>
        </w:tc>
      </w:tr>
      <w:tr>
        <w:trPr>
          <w:trHeight w:val="216"/>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6,218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12,112</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14" w:lineRule="exact"/>
        <w:rPr>
          <w:sz w:val="20"/>
          <w:szCs w:val="20"/>
          <w:color w:val="auto"/>
        </w:rPr>
      </w:pPr>
    </w:p>
    <w:p>
      <w:pPr>
        <w:ind w:left="160" w:right="199" w:firstLine="646"/>
        <w:spacing w:after="0" w:line="290" w:lineRule="auto"/>
        <w:rPr>
          <w:sz w:val="20"/>
          <w:szCs w:val="20"/>
          <w:color w:val="auto"/>
        </w:rPr>
      </w:pPr>
      <w:r>
        <w:rPr>
          <w:rFonts w:ascii="Arial" w:cs="Arial" w:eastAsia="Arial" w:hAnsi="Arial"/>
          <w:sz w:val="16"/>
          <w:szCs w:val="16"/>
          <w:color w:val="auto"/>
        </w:rPr>
        <w:t>Of the $6.2 million of stock-based compensation expense recorded during the year ended December 31, 2016, $6.3 million was recorded to additional paid-in capital and approximately $69,000 was recorded as a decrease in liability classified awards. Of the $9.7 million of stock-based compensation expense recorded during the year ended December 31, 2015, $10.1 million was recorded to additional paid-in capital and approximately $400,000 was recorded as a decrease in liability classified awards. Of the $12.1 million of stock-based compensation expense recorded during the year ended December 31, 2014, approximately $12.3 million was recorded to additional paid-in capital and approximately $248,000 was recorded as a decrease in liability classified awards.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4" w:name="page115"/>
    <w:bookmarkEnd w:id="11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ind w:left="160" w:right="199" w:firstLine="646"/>
        <w:spacing w:after="0" w:line="254" w:lineRule="auto"/>
        <w:rPr>
          <w:sz w:val="20"/>
          <w:szCs w:val="20"/>
          <w:color w:val="auto"/>
        </w:rPr>
      </w:pPr>
      <w:r>
        <w:rPr>
          <w:rFonts w:ascii="Arial" w:cs="Arial" w:eastAsia="Arial" w:hAnsi="Arial"/>
          <w:sz w:val="18"/>
          <w:szCs w:val="18"/>
          <w:color w:val="auto"/>
        </w:rPr>
        <w:t>The Company has awards outstanding under two equity compensation plans, the 2012 Incentive Plan (the 2012 Plan) and the 2010 Equity Incentive Plan (the 2010 Plan), as well as the inducement award program. Terms of stock award agreements, including vesting requirements, are determined by the board of directors, subject to the provisions of the individual plans. To date, most options granted by the Company vest twenty-five percent (25%) one year from vesting start date and six and a quarter percent (6.25%) for each successive three-month period, thereafter (subject to acceleration of vesting in the event of certain change of control transactions) and are exercisable for a period of ten years from the date of grant.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2012 Incentive Plan</w:t>
      </w:r>
    </w:p>
    <w:p>
      <w:pPr>
        <w:spacing w:after="0" w:line="228" w:lineRule="exact"/>
        <w:rPr>
          <w:sz w:val="20"/>
          <w:szCs w:val="20"/>
          <w:color w:val="auto"/>
        </w:rPr>
      </w:pPr>
    </w:p>
    <w:p>
      <w:pPr>
        <w:ind w:left="160" w:right="159" w:firstLine="646"/>
        <w:spacing w:after="0" w:line="267" w:lineRule="auto"/>
        <w:rPr>
          <w:sz w:val="20"/>
          <w:szCs w:val="20"/>
          <w:color w:val="auto"/>
        </w:rPr>
      </w:pPr>
      <w:r>
        <w:rPr>
          <w:rFonts w:ascii="Arial" w:cs="Arial" w:eastAsia="Arial" w:hAnsi="Arial"/>
          <w:sz w:val="17"/>
          <w:szCs w:val="17"/>
          <w:color w:val="auto"/>
        </w:rPr>
        <w:t>The 2012 Plan became effective immediately upon the closing of the Company’s IPO in February 2012. Upon effectiveness of the 2012 Plan, the Company ceased making awards under the 2010 Plan. The 2012 Plan initially allowed the Company to grant awards for up to 3,428,571 shares of common stock, plus the number of shares of common stock available for grant under the 2010 Plan as of the effectiveness of the 2012 Plan (which was an additional 30,101 shares), plus that number of shares of common stock related to awards outstanding under the 2010 Plan which terminate by expiration, forfeiture, cancellation or otherwise. The 2012 Plan includes an “evergreen provision” that allows for an annual increase in the number of shares of common stock available for issuance under the 2012 Plan. The annual increase is added on the first day of each year beginning in 2013 and each subsequent anniversary until the expiration of the 2012 Plan, and is equal to the lower of 1,285,714 shares of common stock, 4.0% of the number of shares of common stock outstanding and an amount determined by the board of directors. On January 1, 2016 and 2015, the number of shares available for issuance under the 2012 Plan increased by 1,285,714 and 1,081,045, respectively, under this provision. Subsequently, on January 1, 2017, the number of shares available for issuance under the 2012 Plan increased by 1,285,714 under this provision.</w:t>
      </w:r>
    </w:p>
    <w:p>
      <w:pPr>
        <w:spacing w:after="0" w:line="188" w:lineRule="exact"/>
        <w:rPr>
          <w:sz w:val="20"/>
          <w:szCs w:val="20"/>
          <w:color w:val="auto"/>
        </w:rPr>
      </w:pPr>
    </w:p>
    <w:p>
      <w:pPr>
        <w:ind w:left="160" w:right="199" w:firstLine="646"/>
        <w:spacing w:after="0" w:line="218" w:lineRule="exact"/>
        <w:rPr>
          <w:sz w:val="20"/>
          <w:szCs w:val="20"/>
          <w:color w:val="auto"/>
        </w:rPr>
      </w:pPr>
      <w:r>
        <w:rPr>
          <w:rFonts w:ascii="Arial" w:cs="Arial" w:eastAsia="Arial" w:hAnsi="Arial"/>
          <w:sz w:val="17"/>
          <w:szCs w:val="17"/>
          <w:color w:val="auto"/>
        </w:rPr>
        <w:t>Awards under the 2012 Plan may include the following award types: incentive stock options, nonqualified stock options, stock appreciation rights, restricted stock awards, restricted stock units (RSUs), other stock</w:t>
      </w:r>
      <w:r>
        <w:rPr>
          <w:rFonts w:ascii="MS PGothic" w:cs="MS PGothic" w:eastAsia="MS PGothic" w:hAnsi="MS PGothic"/>
          <w:sz w:val="17"/>
          <w:szCs w:val="17"/>
          <w:color w:val="auto"/>
        </w:rPr>
        <w:t>‑</w:t>
      </w:r>
      <w:r>
        <w:rPr>
          <w:rFonts w:ascii="Arial" w:cs="Arial" w:eastAsia="Arial" w:hAnsi="Arial"/>
          <w:sz w:val="17"/>
          <w:szCs w:val="17"/>
          <w:color w:val="auto"/>
        </w:rPr>
        <w:t>based or cash</w:t>
      </w:r>
      <w:r>
        <w:rPr>
          <w:rFonts w:ascii="MS PGothic" w:cs="MS PGothic" w:eastAsia="MS PGothic" w:hAnsi="MS PGothic"/>
          <w:sz w:val="17"/>
          <w:szCs w:val="17"/>
          <w:color w:val="auto"/>
        </w:rPr>
        <w:t>‑</w:t>
      </w:r>
      <w:r>
        <w:rPr>
          <w:rFonts w:ascii="Arial" w:cs="Arial" w:eastAsia="Arial" w:hAnsi="Arial"/>
          <w:sz w:val="17"/>
          <w:szCs w:val="17"/>
          <w:color w:val="auto"/>
        </w:rPr>
        <w:t>based awards and any combination of the foregoing. As of December 31, 2016, under the 2012 Plan, the Company has granted stock options for 7,874,773 shares of common stock, of which 2,672,751 have been forfeited and restricted stock units for 909,918 shares of common stock, of which 150,101 have been forfeited. The exercise price of each option has been equal to the closing price of a share of our common stock on the grant date.</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Inducement Award Program</w:t>
      </w:r>
    </w:p>
    <w:p>
      <w:pPr>
        <w:spacing w:after="0" w:line="228" w:lineRule="exact"/>
        <w:rPr>
          <w:sz w:val="20"/>
          <w:szCs w:val="20"/>
          <w:color w:val="auto"/>
        </w:rPr>
      </w:pPr>
    </w:p>
    <w:p>
      <w:pPr>
        <w:ind w:left="160" w:right="519" w:firstLine="646"/>
        <w:spacing w:after="0" w:line="290" w:lineRule="auto"/>
        <w:rPr>
          <w:sz w:val="20"/>
          <w:szCs w:val="20"/>
          <w:color w:val="auto"/>
        </w:rPr>
      </w:pPr>
      <w:r>
        <w:rPr>
          <w:rFonts w:ascii="Arial" w:cs="Arial" w:eastAsia="Arial" w:hAnsi="Arial"/>
          <w:sz w:val="16"/>
          <w:szCs w:val="16"/>
          <w:color w:val="auto"/>
        </w:rPr>
        <w:t>In December 2014, the Company established an inducement award program (in accordance with NASDAQ Listing Rule 5635(c)(4)) under which it may grant non-statutory stock options to purchase up to an aggregate</w:t>
      </w:r>
    </w:p>
    <w:p>
      <w:pPr>
        <w:spacing w:after="0" w:line="1" w:lineRule="exact"/>
        <w:rPr>
          <w:sz w:val="20"/>
          <w:szCs w:val="20"/>
          <w:color w:val="auto"/>
        </w:rPr>
      </w:pPr>
    </w:p>
    <w:p>
      <w:pPr>
        <w:ind w:left="160" w:right="299"/>
        <w:spacing w:after="0" w:line="269" w:lineRule="auto"/>
        <w:rPr>
          <w:sz w:val="20"/>
          <w:szCs w:val="20"/>
          <w:color w:val="auto"/>
        </w:rPr>
      </w:pPr>
      <w:r>
        <w:rPr>
          <w:rFonts w:ascii="Arial" w:cs="Arial" w:eastAsia="Arial" w:hAnsi="Arial"/>
          <w:sz w:val="17"/>
          <w:szCs w:val="17"/>
          <w:color w:val="auto"/>
        </w:rPr>
        <w:t>of 750,000 shares of common stock to new or prospective employees as inducement to enter into employment with the Company. In December 2016, the Board of Directors authorized and reserved 580,000 additional shares of common stock under this program. The program is governed by the terms of the 2012 Plan but does not fall under the 2012 Plan. As of December 31, 2016 and 2015, the Company had granted 580,000 and 210,000 shares of common stock under the program, respectively. As of December 31, 2016 and 2015, 75,000 of the options issued under this program had been cancelled and 750,000 remain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5" w:name="page116"/>
    <w:bookmarkEnd w:id="11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Options</w:t>
      </w:r>
    </w:p>
    <w:p>
      <w:pPr>
        <w:spacing w:after="0" w:line="228" w:lineRule="exact"/>
        <w:rPr>
          <w:sz w:val="20"/>
          <w:szCs w:val="20"/>
          <w:color w:val="auto"/>
        </w:rPr>
      </w:pPr>
    </w:p>
    <w:p>
      <w:pPr>
        <w:ind w:left="160" w:right="419" w:firstLine="646"/>
        <w:spacing w:after="0" w:line="258" w:lineRule="auto"/>
        <w:rPr>
          <w:sz w:val="20"/>
          <w:szCs w:val="20"/>
          <w:color w:val="auto"/>
        </w:rPr>
      </w:pPr>
      <w:r>
        <w:rPr>
          <w:rFonts w:ascii="Arial" w:cs="Arial" w:eastAsia="Arial" w:hAnsi="Arial"/>
          <w:sz w:val="18"/>
          <w:szCs w:val="18"/>
          <w:color w:val="auto"/>
        </w:rPr>
        <w:t>A summary of the Company’s stock option activity and related information for the year ended December 31, 2016 is as follows:</w:t>
      </w:r>
    </w:p>
    <w:tbl>
      <w:tblPr>
        <w:tblLayout w:type="fixed"/>
        <w:tblInd w:w="160" w:type="dxa"/>
        <w:tblCellMar>
          <w:top w:w="0" w:type="dxa"/>
          <w:left w:w="0" w:type="dxa"/>
          <w:bottom w:w="0" w:type="dxa"/>
          <w:right w:w="0" w:type="dxa"/>
        </w:tblCellMar>
      </w:tblPr>
      <w:tr>
        <w:trPr>
          <w:trHeight w:val="139"/>
        </w:trPr>
        <w:tc>
          <w:tcPr>
            <w:tcW w:w="2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Weighted-average</w:t>
            </w:r>
          </w:p>
        </w:tc>
        <w:tc>
          <w:tcPr>
            <w:tcW w:w="11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30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90"/>
              </w:rPr>
              <w:t>exercise price per</w:t>
            </w: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contractual term</w:t>
            </w:r>
          </w:p>
        </w:tc>
        <w:tc>
          <w:tcPr>
            <w:tcW w:w="160" w:type="dxa"/>
            <w:vAlign w:val="bottom"/>
          </w:tcPr>
          <w:p>
            <w:pPr>
              <w:spacing w:after="0"/>
              <w:rPr>
                <w:sz w:val="12"/>
                <w:szCs w:val="12"/>
                <w:color w:val="auto"/>
              </w:rPr>
            </w:pPr>
          </w:p>
        </w:tc>
        <w:tc>
          <w:tcPr>
            <w:tcW w:w="100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left="328"/>
              <w:spacing w:after="0"/>
              <w:rPr>
                <w:sz w:val="20"/>
                <w:szCs w:val="20"/>
                <w:color w:val="auto"/>
              </w:rPr>
            </w:pPr>
            <w:r>
              <w:rPr>
                <w:rFonts w:ascii="Arial" w:cs="Arial" w:eastAsia="Arial" w:hAnsi="Arial"/>
                <w:sz w:val="14"/>
                <w:szCs w:val="14"/>
                <w:b w:val="1"/>
                <w:bCs w:val="1"/>
                <w:color w:val="auto"/>
                <w:w w:val="85"/>
              </w:rPr>
              <w:t>share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5,390,130</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8.71</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1,913,280</w:t>
            </w:r>
          </w:p>
        </w:tc>
        <w:tc>
          <w:tcPr>
            <w:tcW w:w="90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1.53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90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0.28</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Forfeited/cancelled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(1,453,335)</w:t>
            </w:r>
          </w:p>
        </w:tc>
        <w:tc>
          <w:tcPr>
            <w:tcW w:w="900" w:type="dxa"/>
            <w:vAlign w:val="bottom"/>
            <w:tcBorders>
              <w:bottom w:val="single" w:sz="8" w:color="CCEEFF"/>
            </w:tcBorders>
            <w:gridSpan w:val="2"/>
          </w:tcPr>
          <w:p>
            <w:pPr>
              <w:jc w:val="right"/>
              <w:ind w:right="60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8.73</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5,848,470</w:t>
            </w:r>
          </w:p>
        </w:tc>
        <w:tc>
          <w:tcPr>
            <w:tcW w:w="90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6.35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Vested at December 31, 2016</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3,444,586</w:t>
            </w:r>
          </w:p>
        </w:tc>
        <w:tc>
          <w:tcPr>
            <w:tcW w:w="14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1"/>
              </w:rPr>
              <w:t>7.94</w:t>
            </w:r>
          </w:p>
        </w:tc>
        <w:tc>
          <w:tcPr>
            <w:tcW w:w="14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Vested and expected to vest at December 31, 2016(1)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5,415,064</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6.70</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18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80" w:right="259" w:hanging="214"/>
        <w:spacing w:after="0" w:line="262" w:lineRule="auto"/>
        <w:rPr>
          <w:sz w:val="20"/>
          <w:szCs w:val="20"/>
          <w:color w:val="auto"/>
        </w:rPr>
      </w:pPr>
      <w:r>
        <w:rPr>
          <w:rFonts w:ascii="Arial" w:cs="Arial" w:eastAsia="Arial" w:hAnsi="Arial"/>
          <w:sz w:val="18"/>
          <w:szCs w:val="18"/>
          <w:color w:val="auto"/>
        </w:rPr>
        <w:t>(1)This represents the number of vested options as of December 31, 2016, plus the number of unvested options expected to vest as of December 31, 2016, based on the unvested options at December 31, 2016, adjusted for the estimated forfeiture rate.</w:t>
      </w:r>
    </w:p>
    <w:p>
      <w:pPr>
        <w:spacing w:after="0" w:line="183" w:lineRule="exact"/>
        <w:rPr>
          <w:sz w:val="20"/>
          <w:szCs w:val="20"/>
          <w:color w:val="auto"/>
        </w:rPr>
      </w:pPr>
    </w:p>
    <w:p>
      <w:pPr>
        <w:ind w:left="160" w:right="899" w:firstLine="646"/>
        <w:spacing w:after="0" w:line="223" w:lineRule="exact"/>
        <w:rPr>
          <w:sz w:val="20"/>
          <w:szCs w:val="20"/>
          <w:color w:val="auto"/>
        </w:rPr>
      </w:pPr>
      <w:r>
        <w:rPr>
          <w:rFonts w:ascii="Arial" w:cs="Arial" w:eastAsia="Arial" w:hAnsi="Arial"/>
          <w:sz w:val="18"/>
          <w:szCs w:val="18"/>
          <w:color w:val="auto"/>
        </w:rPr>
        <w:t>The fair value of each employee stock option was estimated at the date of grant using a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assumptions:</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2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Borders>
              <w:bottom w:val="single" w:sz="8" w:color="auto"/>
            </w:tcBorders>
          </w:tcPr>
          <w:p>
            <w:pPr>
              <w:jc w:val="right"/>
              <w:ind w:right="216"/>
              <w:spacing w:after="0" w:line="14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860" w:type="dxa"/>
            <w:vAlign w:val="bottom"/>
            <w:tcBorders>
              <w:bottom w:val="single" w:sz="8" w:color="auto"/>
            </w:tcBorders>
          </w:tcPr>
          <w:p>
            <w:pPr>
              <w:jc w:val="right"/>
              <w:ind w:right="214"/>
              <w:spacing w:after="0" w:line="141"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1" w:lineRule="exact"/>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1.48 %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1.99 %</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Dividend yield</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 w:right="359" w:firstLine="646"/>
        <w:spacing w:after="0" w:line="218" w:lineRule="exact"/>
        <w:rPr>
          <w:sz w:val="20"/>
          <w:szCs w:val="20"/>
          <w:color w:val="auto"/>
        </w:rPr>
      </w:pPr>
      <w:r>
        <w:rPr>
          <w:rFonts w:ascii="Arial" w:cs="Arial" w:eastAsia="Arial" w:hAnsi="Arial"/>
          <w:sz w:val="17"/>
          <w:szCs w:val="17"/>
          <w:color w:val="auto"/>
        </w:rPr>
        <w:t>The Company recorded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associated with employee stock options of $6.1 million, $7.9 million, and $7.8 million for the years ended December 31, 2016, 2015 and 2014, respectively. The weighted</w:t>
      </w:r>
      <w:r>
        <w:rPr>
          <w:rFonts w:ascii="MS PGothic" w:cs="MS PGothic" w:eastAsia="MS PGothic" w:hAnsi="MS PGothic"/>
          <w:sz w:val="17"/>
          <w:szCs w:val="17"/>
          <w:color w:val="auto"/>
        </w:rPr>
        <w:t>‑</w:t>
      </w:r>
      <w:r>
        <w:rPr>
          <w:rFonts w:ascii="Arial" w:cs="Arial" w:eastAsia="Arial" w:hAnsi="Arial"/>
          <w:sz w:val="17"/>
          <w:szCs w:val="17"/>
          <w:color w:val="auto"/>
        </w:rPr>
        <w:t>average grant date fair value of options granted in the years ended December 31, 2016, 2015 and 2014 was $0.99, $3.80, and $8.61 per share, respectively. The fair value of options that vested during the years ended December 31, 2016, 2015 and 2014 was $6.9 million, $9.5 million, and $6.6 million, respectively.</w:t>
      </w:r>
    </w:p>
    <w:p>
      <w:pPr>
        <w:spacing w:after="0" w:line="205" w:lineRule="exact"/>
        <w:rPr>
          <w:sz w:val="20"/>
          <w:szCs w:val="20"/>
          <w:color w:val="auto"/>
        </w:rPr>
      </w:pPr>
    </w:p>
    <w:p>
      <w:pPr>
        <w:ind w:left="160" w:right="239" w:firstLine="646"/>
        <w:spacing w:after="0" w:line="270" w:lineRule="auto"/>
        <w:rPr>
          <w:sz w:val="20"/>
          <w:szCs w:val="20"/>
          <w:color w:val="auto"/>
        </w:rPr>
      </w:pPr>
      <w:r>
        <w:rPr>
          <w:rFonts w:ascii="Arial" w:cs="Arial" w:eastAsia="Arial" w:hAnsi="Arial"/>
          <w:sz w:val="17"/>
          <w:szCs w:val="17"/>
          <w:color w:val="auto"/>
        </w:rPr>
        <w:t>In June 2016, the Company granted stock options to purchase a total of 500,000 shares of common stock to certain employees that vest only upon the achievement of specified performance conditions. The grant date fair value of these options was approximately $445,000. The Company determined that 50% of performance conditions had been achieved during the year ended December 31, 2016. As a result, 250,000 shares vested in October 2016 and the Company recognized stock-based compensation expense related to these awards of approximately $222,000 for the year ended December 31, 2016. The Company determined that the remaining 50% of the performance conditions were not considered probable of achievement as of December 31, 2016 and as a result, has not recognized any stock-based compensation expense related to the remaining unvested awards.</w:t>
      </w:r>
    </w:p>
    <w:p>
      <w:pPr>
        <w:spacing w:after="0" w:line="179" w:lineRule="exact"/>
        <w:rPr>
          <w:sz w:val="20"/>
          <w:szCs w:val="20"/>
          <w:color w:val="auto"/>
        </w:rPr>
      </w:pPr>
    </w:p>
    <w:p>
      <w:pPr>
        <w:ind w:left="160" w:right="439" w:firstLine="646"/>
        <w:spacing w:after="0" w:line="340" w:lineRule="auto"/>
        <w:rPr>
          <w:sz w:val="20"/>
          <w:szCs w:val="20"/>
          <w:color w:val="auto"/>
        </w:rPr>
      </w:pPr>
      <w:r>
        <w:rPr>
          <w:rFonts w:ascii="Arial" w:cs="Arial" w:eastAsia="Arial" w:hAnsi="Arial"/>
          <w:sz w:val="16"/>
          <w:szCs w:val="16"/>
          <w:color w:val="auto"/>
        </w:rPr>
        <w:t>At December 31, 2016, there was $4.9 million of total unrecognized compensation cost related to unvested stock options and the Company expects to recognize this cost over a remaining weighted-average period of 1.5 years.</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Restricted Stock Units</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 summary of the Company’s RSU activity and related information for the year ended December 31, 2016 is as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9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Vested</w:t>
            </w:r>
          </w:p>
        </w:tc>
        <w:tc>
          <w:tcPr>
            <w:tcW w:w="940" w:type="dxa"/>
            <w:vAlign w:val="bottom"/>
          </w:tcPr>
          <w:p>
            <w:pPr>
              <w:jc w:val="right"/>
              <w:spacing w:after="0"/>
              <w:rPr>
                <w:sz w:val="20"/>
                <w:szCs w:val="20"/>
                <w:color w:val="auto"/>
              </w:rPr>
            </w:pPr>
            <w:r>
              <w:rPr>
                <w:rFonts w:ascii="Arial" w:cs="Arial" w:eastAsia="Arial" w:hAnsi="Arial"/>
                <w:sz w:val="18"/>
                <w:szCs w:val="18"/>
                <w:color w:val="auto"/>
              </w:rPr>
              <w:t>(53,751)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 restricted stock units were granted during the years ended December 31, 2016, 2015 and 2014. The total fair</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value of restricted stock units vested during the years ended December 31, 2016, 2015 and 2014 was approximately</w:t>
      </w:r>
    </w:p>
    <w:p>
      <w:pPr>
        <w:spacing w:after="0" w:line="31"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$65,000, $1.6 million and $2.2 million, respectively. As of December 31, 2016, there was no unrecognized stock</w:t>
      </w:r>
      <w:r>
        <w:rPr>
          <w:rFonts w:ascii="MS PGothic" w:cs="MS PGothic" w:eastAsia="MS PGothic" w:hAnsi="MS PGothic"/>
          <w:sz w:val="16"/>
          <w:szCs w:val="16"/>
          <w:color w:val="auto"/>
        </w:rPr>
        <w:t>‑</w:t>
      </w:r>
      <w:r>
        <w:rPr>
          <w:rFonts w:ascii="Arial" w:cs="Arial" w:eastAsia="Arial" w:hAnsi="Arial"/>
          <w:sz w:val="16"/>
          <w:szCs w:val="16"/>
          <w:color w:val="auto"/>
        </w:rPr>
        <w:t>based</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compensation expense related to unvested RSUs granted under the 2012 Plan.</w:t>
      </w:r>
    </w:p>
    <w:p>
      <w:pPr>
        <w:spacing w:after="0" w:line="209" w:lineRule="exact"/>
        <w:rPr>
          <w:sz w:val="20"/>
          <w:szCs w:val="20"/>
          <w:color w:val="auto"/>
        </w:rPr>
      </w:pPr>
    </w:p>
    <w:p>
      <w:pPr>
        <w:ind w:left="160" w:right="139" w:firstLine="646"/>
        <w:spacing w:after="0" w:line="290" w:lineRule="auto"/>
        <w:rPr>
          <w:sz w:val="20"/>
          <w:szCs w:val="20"/>
          <w:color w:val="auto"/>
        </w:rPr>
      </w:pPr>
      <w:r>
        <w:rPr>
          <w:rFonts w:ascii="Arial" w:cs="Arial" w:eastAsia="Arial" w:hAnsi="Arial"/>
          <w:sz w:val="16"/>
          <w:szCs w:val="16"/>
          <w:color w:val="auto"/>
        </w:rPr>
        <w:t>During 2012, the Company issued a restricted stock unit for 103,306 shares to an employee. The award vests up to 25% per year based on the achievement of stated objectives. The objectives related to 2015 were established on January 8, 2015. In December 2015, the Board of Directors elected not to approve any payment under this award for the year ended December 31, 2015. The Company did not record any stock-based compensation expense for this award during the year ended December 31, 2015. The objectives related to 2014 were established on January 7, 2014 and the objectives were determined to be met on January 8, 2015. The Company recorded $158,000 of stock-based compensation expense for this award during the year ended December 31, 2014 based on the achievement of the stated objectives.</w:t>
      </w:r>
    </w:p>
    <w:p>
      <w:pPr>
        <w:spacing w:after="0" w:line="166" w:lineRule="exact"/>
        <w:rPr>
          <w:sz w:val="20"/>
          <w:szCs w:val="20"/>
          <w:color w:val="auto"/>
        </w:rPr>
      </w:pPr>
    </w:p>
    <w:p>
      <w:pPr>
        <w:jc w:val="both"/>
        <w:ind w:left="160" w:right="239" w:firstLine="646"/>
        <w:spacing w:after="0" w:line="285" w:lineRule="auto"/>
        <w:rPr>
          <w:sz w:val="20"/>
          <w:szCs w:val="20"/>
          <w:color w:val="auto"/>
        </w:rPr>
      </w:pPr>
      <w:r>
        <w:rPr>
          <w:rFonts w:ascii="Arial" w:cs="Arial" w:eastAsia="Arial" w:hAnsi="Arial"/>
          <w:sz w:val="16"/>
          <w:szCs w:val="16"/>
          <w:color w:val="auto"/>
        </w:rPr>
        <w:t>During the first quarter of 2013, the Company amended the terms of certain RSUs related to a total of 697,060 shares of common stock to allow for tax withholdings greater than the minimum required statutory withholding amount. As a result of this change in the terms of the awards, the outstanding RSUs were considered to be liability instruments. As a result of this modification, the Company recorded a liability for the fair value of the awards as of each reporting</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date with the change in fair value recorded through the consolidated statements of operations and comprehensive loss.</w:t>
      </w:r>
    </w:p>
    <w:p>
      <w:pPr>
        <w:spacing w:after="0" w:line="31"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The Company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equal to the greater of the original grant date fair value of the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awards or the settlement date fair value. All RSUs were fully vested as of February 1, 2016. During the year ended</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December 31, 2016, 2015 and 2014, the Company deposited approximately $5,000, $417,000, and $780,000,</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respectively, with tax authorities to settle the tax liability for awards that settled during the respective periods. There was</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 liability related to these awards as of December 31, 2016. The liability related to these awards of approximately</w:t>
      </w:r>
    </w:p>
    <w:p>
      <w:pPr>
        <w:spacing w:after="0" w:line="20"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$69,000 was recorded as liability classified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awards on the consolidated balance sheets as of</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2015.</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Restricted Common Stock</w:t>
      </w:r>
    </w:p>
    <w:p>
      <w:pPr>
        <w:spacing w:after="0" w:line="228" w:lineRule="exact"/>
        <w:rPr>
          <w:sz w:val="20"/>
          <w:szCs w:val="20"/>
          <w:color w:val="auto"/>
        </w:rPr>
      </w:pPr>
    </w:p>
    <w:p>
      <w:pPr>
        <w:ind w:left="160" w:right="239" w:firstLine="646"/>
        <w:spacing w:after="0" w:line="254" w:lineRule="auto"/>
        <w:rPr>
          <w:sz w:val="20"/>
          <w:szCs w:val="20"/>
          <w:color w:val="auto"/>
        </w:rPr>
      </w:pPr>
      <w:r>
        <w:rPr>
          <w:rFonts w:ascii="Arial" w:cs="Arial" w:eastAsia="Arial" w:hAnsi="Arial"/>
          <w:sz w:val="18"/>
          <w:szCs w:val="18"/>
          <w:color w:val="auto"/>
        </w:rPr>
        <w:t>In connection with the Company’s formation, the founders purchased an aggregate of 2,857,138 shares of Company’s common stock at fair value on the date of issuance. The shares were issued subject to restricted stock agreements between the Company and each founder, which allow the Company, at its discretion, to repurchase unvested shares if the founder’s relationship with the Company is terminated. Under these agreements, twenty-five percent (25%) of the shares vested immediately and the remaining seventy-five percent (75%) of shares vest ratably in quarterly installments over the subsequent four years.</w:t>
      </w:r>
    </w:p>
    <w:p>
      <w:pPr>
        <w:spacing w:after="0" w:line="193" w:lineRule="exact"/>
        <w:rPr>
          <w:sz w:val="20"/>
          <w:szCs w:val="20"/>
          <w:color w:val="auto"/>
        </w:rPr>
      </w:pPr>
    </w:p>
    <w:p>
      <w:pPr>
        <w:ind w:left="160" w:right="199" w:firstLine="646"/>
        <w:spacing w:after="0" w:line="220" w:lineRule="exact"/>
        <w:rPr>
          <w:sz w:val="20"/>
          <w:szCs w:val="20"/>
          <w:color w:val="auto"/>
        </w:rPr>
      </w:pPr>
      <w:r>
        <w:rPr>
          <w:rFonts w:ascii="Arial" w:cs="Arial" w:eastAsia="Arial" w:hAnsi="Arial"/>
          <w:sz w:val="17"/>
          <w:szCs w:val="17"/>
          <w:color w:val="auto"/>
        </w:rPr>
        <w:t>The Company records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the common stock subject to repurchase, or restricted common stock grants, based on the grant date fair value for employees and the reporting date and upon vesting fair value for non</w:t>
      </w:r>
      <w:r>
        <w:rPr>
          <w:rFonts w:ascii="MS PGothic" w:cs="MS PGothic" w:eastAsia="MS PGothic" w:hAnsi="MS PGothic"/>
          <w:sz w:val="17"/>
          <w:szCs w:val="17"/>
          <w:color w:val="auto"/>
        </w:rPr>
        <w:t>‑</w:t>
      </w:r>
      <w:r>
        <w:rPr>
          <w:rFonts w:ascii="Arial" w:cs="Arial" w:eastAsia="Arial" w:hAnsi="Arial"/>
          <w:sz w:val="17"/>
          <w:szCs w:val="17"/>
          <w:color w:val="auto"/>
        </w:rPr>
        <w:t>employees. The fair value of the award is considered the intrinsic value as of each</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ind w:left="160" w:right="159"/>
        <w:spacing w:after="0" w:line="219" w:lineRule="exact"/>
        <w:rPr>
          <w:sz w:val="20"/>
          <w:szCs w:val="20"/>
          <w:color w:val="auto"/>
        </w:rPr>
      </w:pPr>
      <w:r>
        <w:rPr>
          <w:rFonts w:ascii="Arial" w:cs="Arial" w:eastAsia="Arial" w:hAnsi="Arial"/>
          <w:sz w:val="16"/>
          <w:szCs w:val="16"/>
          <w:color w:val="auto"/>
        </w:rPr>
        <w:t>measurement date. All of the restricted shares were issued at a purchase price equal to the fair value of the common stock on the date of issuance. The Company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associated with restricted common stock grants of $1.7 million for the year ended December 31, 2014. The Company did not record any stock-based compensation expense related to restricted common stock grants in the years ended December 31, 2016 and 2015.</w:t>
      </w:r>
    </w:p>
    <w:p>
      <w:pPr>
        <w:spacing w:after="0" w:line="203" w:lineRule="exact"/>
        <w:rPr>
          <w:sz w:val="20"/>
          <w:szCs w:val="20"/>
          <w:color w:val="auto"/>
        </w:rPr>
      </w:pPr>
    </w:p>
    <w:p>
      <w:pPr>
        <w:ind w:left="160" w:right="279" w:firstLine="646"/>
        <w:spacing w:after="0" w:line="310" w:lineRule="auto"/>
        <w:rPr>
          <w:sz w:val="20"/>
          <w:szCs w:val="20"/>
          <w:color w:val="auto"/>
        </w:rPr>
      </w:pPr>
      <w:r>
        <w:rPr>
          <w:rFonts w:ascii="Arial" w:cs="Arial" w:eastAsia="Arial" w:hAnsi="Arial"/>
          <w:sz w:val="16"/>
          <w:szCs w:val="16"/>
          <w:color w:val="auto"/>
        </w:rPr>
        <w:t>No restricted common stock was granted during the years ended December 31, 2016, 2015 and 2014. The total fair value of shares vested during the years ended December 31, 2015 and 2014 was approximately $59,000 and $2.2 million, respectively. All restricted common stock grants were fully vested as of December 31, 2015.</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Income Taxes</w:t>
      </w:r>
    </w:p>
    <w:p>
      <w:pPr>
        <w:spacing w:after="0" w:line="228" w:lineRule="exact"/>
        <w:rPr>
          <w:sz w:val="20"/>
          <w:szCs w:val="20"/>
          <w:color w:val="auto"/>
        </w:rPr>
      </w:pPr>
    </w:p>
    <w:p>
      <w:pPr>
        <w:ind w:left="160" w:right="159" w:firstLine="646"/>
        <w:spacing w:after="0" w:line="217" w:lineRule="exact"/>
        <w:rPr>
          <w:sz w:val="20"/>
          <w:szCs w:val="20"/>
          <w:color w:val="auto"/>
        </w:rPr>
      </w:pPr>
      <w:r>
        <w:rPr>
          <w:rFonts w:ascii="Arial" w:cs="Arial" w:eastAsia="Arial" w:hAnsi="Arial"/>
          <w:sz w:val="17"/>
          <w:szCs w:val="17"/>
          <w:color w:val="auto"/>
        </w:rPr>
        <w:t>As of December 31, 2016, the Company had federal and state net operating loss carryforwards of approximately $184.2 million and $182.8 million, respectively, which are available to reduce future taxable income. The Company also had federal and state tax credits of $7.4 million and $1.4 million, respectively, which may be used to offset future tax liabilities. The net operating loss (NOL) and tax credit carryforwards will expire at various dates through 2035. NOL and tax credit carryforwards are subject to review and possible adjustment by the Internal Revenue Service and state tax authorities and may become subject to an annual limitation in the event of certain cumulative changes in the ownership interest of significant stockholders over a three</w:t>
      </w:r>
      <w:r>
        <w:rPr>
          <w:rFonts w:ascii="MS PGothic" w:cs="MS PGothic" w:eastAsia="MS PGothic" w:hAnsi="MS PGothic"/>
          <w:sz w:val="17"/>
          <w:szCs w:val="17"/>
          <w:color w:val="auto"/>
        </w:rPr>
        <w:t>‑</w:t>
      </w:r>
      <w:r>
        <w:rPr>
          <w:rFonts w:ascii="Arial" w:cs="Arial" w:eastAsia="Arial" w:hAnsi="Arial"/>
          <w:sz w:val="17"/>
          <w:szCs w:val="17"/>
          <w:color w:val="auto"/>
        </w:rPr>
        <w:t>year period in excess of 50%, as defined under Sections 382 and 383 of the Internal Revenue Code,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 reconciliation of income taxes computed using the U.S. federal statutory rate to that reflected in operations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follows:</w:t>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Year Ended</w:t>
      </w:r>
    </w:p>
    <w:p>
      <w:pPr>
        <w:jc w:val="center"/>
        <w:ind w:left="6860"/>
        <w:spacing w:after="0" w:line="235" w:lineRule="auto"/>
        <w:rPr>
          <w:sz w:val="20"/>
          <w:szCs w:val="20"/>
          <w:color w:val="auto"/>
        </w:rPr>
      </w:pPr>
      <w:r>
        <w:rPr>
          <w:rFonts w:ascii="Arial" w:cs="Arial" w:eastAsia="Arial" w:hAnsi="Arial"/>
          <w:sz w:val="14"/>
          <w:szCs w:val="14"/>
          <w:b w:val="1"/>
          <w:bCs w:val="1"/>
          <w:color w:val="auto"/>
        </w:rPr>
        <w:t>December 31,</w:t>
      </w:r>
    </w:p>
    <w:tbl>
      <w:tblPr>
        <w:tblLayout w:type="fixed"/>
        <w:tblInd w:w="160" w:type="dxa"/>
        <w:tblCellMar>
          <w:top w:w="0" w:type="dxa"/>
          <w:left w:w="0" w:type="dxa"/>
          <w:bottom w:w="0" w:type="dxa"/>
          <w:right w:w="0" w:type="dxa"/>
        </w:tblCellMar>
      </w:tblPr>
      <w:tr>
        <w:trPr>
          <w:trHeight w:val="142"/>
        </w:trPr>
        <w:tc>
          <w:tcPr>
            <w:tcW w:w="392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1"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1"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tax benefit using U.S. federal statutory rate</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w:t>
            </w: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State tax benefit, net of federal benefit</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3.43 %</w:t>
            </w: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5.91 %</w:t>
            </w:r>
          </w:p>
        </w:tc>
      </w:tr>
      <w:tr>
        <w:trPr>
          <w:trHeight w:val="215"/>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4.42 %</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1.49 %</w:t>
            </w: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Permanent items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(3.02)%</w:t>
            </w:r>
          </w:p>
        </w:tc>
      </w:tr>
      <w:tr>
        <w:trPr>
          <w:trHeight w:val="215"/>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Change in the valuation allowance</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(41.90)%</w:t>
            </w: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3.52 %</w:t>
            </w:r>
          </w:p>
        </w:tc>
      </w:tr>
      <w:tr>
        <w:trPr>
          <w:trHeight w:val="216"/>
        </w:trPr>
        <w:tc>
          <w:tcPr>
            <w:tcW w:w="3920" w:type="dxa"/>
            <w:vAlign w:val="bottom"/>
            <w:tcBorders>
              <w:top w:val="single" w:sz="8" w:color="CCEEFF"/>
              <w:bottom w:val="single" w:sz="8" w:color="CCEEFF"/>
            </w:tcBorders>
            <w:shd w:val="clear" w:color="auto" w:fill="CCEEFF"/>
          </w:tcPr>
          <w:p>
            <w:pPr>
              <w:spacing w:after="0"/>
              <w:rPr>
                <w:sz w:val="18"/>
                <w:szCs w:val="18"/>
                <w:color w:val="auto"/>
              </w:rPr>
            </w:pP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w:t>
            </w:r>
          </w:p>
        </w:tc>
      </w:tr>
      <w:tr>
        <w:trPr>
          <w:trHeight w:val="431"/>
        </w:trPr>
        <w:tc>
          <w:tcPr>
            <w:tcW w:w="7760" w:type="dxa"/>
            <w:vAlign w:val="bottom"/>
            <w:gridSpan w:val="6"/>
          </w:tcPr>
          <w:p>
            <w:pPr>
              <w:ind w:left="640"/>
              <w:spacing w:after="0"/>
              <w:rPr>
                <w:sz w:val="20"/>
                <w:szCs w:val="20"/>
                <w:color w:val="auto"/>
              </w:rPr>
            </w:pPr>
            <w:r>
              <w:rPr>
                <w:rFonts w:ascii="Arial" w:cs="Arial" w:eastAsia="Arial" w:hAnsi="Arial"/>
                <w:sz w:val="18"/>
                <w:szCs w:val="18"/>
                <w:color w:val="auto"/>
                <w:w w:val="94"/>
              </w:rPr>
              <w:t>The principal components of the Company’s deferred tax assets are as follows (in thousands):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7"/>
        </w:trPr>
        <w:tc>
          <w:tcPr>
            <w:tcW w:w="3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92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97"/>
              <w:spacing w:after="0" w:line="141"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392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72,285</w:t>
            </w:r>
          </w:p>
        </w:tc>
        <w:tc>
          <w:tcPr>
            <w:tcW w:w="1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61,606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research and development</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3920" w:type="dxa"/>
            <w:vAlign w:val="bottom"/>
          </w:tcPr>
          <w:p>
            <w:pPr>
              <w:ind w:left="200"/>
              <w:spacing w:after="0"/>
              <w:rPr>
                <w:sz w:val="20"/>
                <w:szCs w:val="20"/>
                <w:color w:val="auto"/>
              </w:rPr>
            </w:pPr>
            <w:r>
              <w:rPr>
                <w:rFonts w:ascii="Arial" w:cs="Arial" w:eastAsia="Arial" w:hAnsi="Arial"/>
                <w:sz w:val="18"/>
                <w:szCs w:val="18"/>
                <w:color w:val="auto"/>
              </w:rPr>
              <w:t>Research and development credits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8,298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3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2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(85,931)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(72,556)</w:t>
            </w:r>
          </w:p>
        </w:tc>
        <w:tc>
          <w:tcPr>
            <w:tcW w:w="140" w:type="dxa"/>
            <w:vAlign w:val="bottom"/>
            <w:tcBorders>
              <w:bottom w:val="single" w:sz="8" w:color="CCEEFF"/>
            </w:tcBorders>
          </w:tcPr>
          <w:p>
            <w:pPr>
              <w:spacing w:after="0"/>
              <w:rPr>
                <w:sz w:val="18"/>
                <w:szCs w:val="18"/>
                <w:color w:val="auto"/>
              </w:rPr>
            </w:pPr>
          </w:p>
        </w:tc>
      </w:tr>
      <w:tr>
        <w:trPr>
          <w:trHeight w:val="216"/>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646"/>
        </w:trPr>
        <w:tc>
          <w:tcPr>
            <w:tcW w:w="3920" w:type="dxa"/>
            <w:vAlign w:val="bottom"/>
          </w:tcPr>
          <w:p>
            <w:pPr>
              <w:spacing w:after="0"/>
              <w:rPr>
                <w:sz w:val="24"/>
                <w:szCs w:val="24"/>
                <w:color w:val="auto"/>
              </w:rPr>
            </w:pPr>
          </w:p>
        </w:tc>
        <w:tc>
          <w:tcPr>
            <w:tcW w:w="3020" w:type="dxa"/>
            <w:vAlign w:val="bottom"/>
            <w:gridSpan w:val="2"/>
          </w:tcPr>
          <w:p>
            <w:pPr>
              <w:jc w:val="right"/>
              <w:ind w:right="233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74"/>
        </w:trPr>
        <w:tc>
          <w:tcPr>
            <w:tcW w:w="3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18" w:name="page119"/>
    <w:bookmarkEnd w:id="118"/>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ind w:left="160" w:right="159" w:firstLine="646"/>
        <w:spacing w:after="0" w:line="278" w:lineRule="auto"/>
        <w:rPr>
          <w:sz w:val="20"/>
          <w:szCs w:val="20"/>
          <w:color w:val="auto"/>
        </w:rPr>
      </w:pPr>
      <w:r>
        <w:rPr>
          <w:rFonts w:ascii="Arial" w:cs="Arial" w:eastAsia="Arial" w:hAnsi="Arial"/>
          <w:sz w:val="17"/>
          <w:szCs w:val="17"/>
          <w:color w:val="auto"/>
        </w:rPr>
        <w:t>The Company has recorded a valuation allowance against its deferred tax assets at December 31, 2016 and 2015 because the Company’s management believes that it is more likely than not that these assets will not be fully realized. The increase in the valuation allowance of $13.4 million and $24.2 million in the years ended December 31, 2016 and 2015, respectively, primarily relates to the net loss incurred by the Company.</w:t>
      </w:r>
    </w:p>
    <w:p>
      <w:pPr>
        <w:spacing w:after="0" w:line="171" w:lineRule="exact"/>
        <w:rPr>
          <w:sz w:val="20"/>
          <w:szCs w:val="20"/>
          <w:color w:val="auto"/>
        </w:rPr>
      </w:pPr>
    </w:p>
    <w:p>
      <w:pPr>
        <w:ind w:left="160" w:right="159" w:firstLine="646"/>
        <w:spacing w:after="0" w:line="285" w:lineRule="auto"/>
        <w:rPr>
          <w:sz w:val="20"/>
          <w:szCs w:val="20"/>
          <w:color w:val="auto"/>
        </w:rPr>
      </w:pPr>
      <w:r>
        <w:rPr>
          <w:rFonts w:ascii="Arial" w:cs="Arial" w:eastAsia="Arial" w:hAnsi="Arial"/>
          <w:sz w:val="16"/>
          <w:szCs w:val="16"/>
          <w:color w:val="auto"/>
        </w:rPr>
        <w:t>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From inception and through December 31, 2016, the Company had no unrecognized tax benefits or related interest and penalties accrued. The Company has not conducted a study of research and development (R&amp;D) credit carryforwards. This study may result in an adjustment to the Company’s R&amp;D credit carryforwards; however, until a study is completed and any adjustment is known, no amounts are being presented as an uncertain tax position. A full valuation allowance has been provided against the Company’s R&amp;D credits and, if an adjustment is required, this adjustment would be offset by an adjustment to the valuation allowance. Thus, there would be no impact to the consolidated balance sheet or statement of operations if an adjustment were required. The Company would recognize both accrued interest and penalties related to unrecognized benefits in income tax expense. The Company’s uncertain tax positions are related to years that remain subject to examination by relevant tax authorities. Since the Company is in a loss carryforward position, the Company is generally subject to examination by the U.S. federal, state and local income tax authorities for all tax years in which a loss carryforward is available.</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Commitments and contingencies</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April 15, 2014, the Company entered into a lease agreement for approximately 15,197 square feet of office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and laboratory space in Needham, Massachusetts. The lease term commenced on April 15, 2014 and expires on</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September 30, 2019. The Company began using the leased premises as its corporate headquarters and commenced rent</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payments effective September 22, 2014. The Company agreed to pay an initial annual base rent of approximately</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$493,000, which base rent increases after every twelve-month period during the lease term to approximately $554,000</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for the last twelve-month period. The Company is recording rent expense on a straight-line basis, beginning in April</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2014. The Company also received a tenant improvement allowance of approximately $684,000 in connection with the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lease. The Company has accounted for the allowance as a lease incentive, which is being recorded as a reduction to rent</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expense over the lease term. Deferred rent and the lease incentive obligation are included in accrued expenses (current</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portion) and other liabilities (noncurrent portion) in the consolidated balance sheets. The Company has also agreed to pay</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its proportionate share of increases in operating expenses and property taxes for the building in which the leased space is</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located. The Company has provided a security deposit in the form of a letter of credit in the amount of approximately</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$203,000, which was reduced to approximately $162,000 on April 15, 2016. The amount is included in long term</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restricted cash on the consolidated balance sheets as of December 31, 2016.</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80" w:type="dxa"/>
            <w:vAlign w:val="bottom"/>
          </w:tcPr>
          <w:p>
            <w:pPr>
              <w:ind w:left="620"/>
              <w:spacing w:after="0"/>
              <w:rPr>
                <w:sz w:val="20"/>
                <w:szCs w:val="20"/>
                <w:color w:val="auto"/>
              </w:rPr>
            </w:pPr>
            <w:r>
              <w:rPr>
                <w:rFonts w:ascii="Arial" w:cs="Arial" w:eastAsia="Arial" w:hAnsi="Arial"/>
                <w:sz w:val="18"/>
                <w:szCs w:val="18"/>
                <w:color w:val="auto"/>
              </w:rPr>
              <w:t>The minimum aggregate future lease commitments are as follows (in thousands):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0" w:right="399" w:firstLine="646"/>
        <w:spacing w:after="0" w:line="276" w:lineRule="auto"/>
        <w:rPr>
          <w:sz w:val="20"/>
          <w:szCs w:val="20"/>
          <w:color w:val="auto"/>
        </w:rPr>
      </w:pPr>
      <w:r>
        <w:rPr>
          <w:rFonts w:ascii="Arial" w:cs="Arial" w:eastAsia="Arial" w:hAnsi="Arial"/>
          <w:sz w:val="18"/>
          <w:szCs w:val="18"/>
          <w:color w:val="auto"/>
        </w:rPr>
        <w:t>The Company recorded rent expense of approximately $352,000, $352,000 and $541,000 for the years ended December 31, 2016, 2015 and 2014, respectively.</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9" w:name="page120"/>
    <w:bookmarkEnd w:id="119"/>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ind w:left="160" w:right="239" w:firstLine="646"/>
        <w:spacing w:after="0" w:line="300" w:lineRule="auto"/>
        <w:rPr>
          <w:sz w:val="20"/>
          <w:szCs w:val="20"/>
          <w:color w:val="auto"/>
        </w:rPr>
      </w:pPr>
      <w:r>
        <w:rPr>
          <w:rFonts w:ascii="Arial" w:cs="Arial" w:eastAsia="Arial" w:hAnsi="Arial"/>
          <w:sz w:val="16"/>
          <w:szCs w:val="16"/>
          <w:color w:val="auto"/>
        </w:rPr>
        <w:t>Pursuant to the terms of various agreements, the Company may be required to pay various development, regulatory and commercial milestones. In addition, if any products related to these agreements are approved for sale, the Company may be required to pay significant royalties on future sales. The payment of these amounts, however, is contingent upon the occurrence of various future events, which have a high degree of uncertainty of occurring.</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10. License agreements</w:t>
      </w:r>
    </w:p>
    <w:p>
      <w:pPr>
        <w:spacing w:after="0" w:line="228" w:lineRule="exact"/>
        <w:rPr>
          <w:sz w:val="20"/>
          <w:szCs w:val="20"/>
          <w:color w:val="auto"/>
        </w:rPr>
      </w:pPr>
    </w:p>
    <w:p>
      <w:pPr>
        <w:ind w:left="160" w:right="219" w:firstLine="646"/>
        <w:spacing w:after="0" w:line="269" w:lineRule="auto"/>
        <w:rPr>
          <w:sz w:val="20"/>
          <w:szCs w:val="20"/>
          <w:color w:val="auto"/>
        </w:rPr>
      </w:pPr>
      <w:r>
        <w:rPr>
          <w:rFonts w:ascii="Arial" w:cs="Arial" w:eastAsia="Arial" w:hAnsi="Arial"/>
          <w:sz w:val="17"/>
          <w:szCs w:val="17"/>
          <w:color w:val="auto"/>
        </w:rPr>
        <w:t>In November 2016, the Company entered into an amended and restated license agreement with Infinity, under which it acquired an exclusive worldwide license for the research, development, commercialization, and manufacture of products in oncology indications containing duvelisib. In connection with the license agreement, the Company assumed operational and financial responsibility for certain activities that were part of Infinity’s duvelisib program, including the DUO study for patients with relapsed/refractory CLL, and Infinity assumed financial responsibility for the shutdown of certain other clinical studies up to a maximum of $4.5 million. The Company is obligated to use diligent efforts to develop and commercialize a product in an oncology indication containing duvelisib. During the term of the license agreement, Infinity has agreed not to research, develop, manufacture or commercialize duvelisib in any other indication in humans or animals.</w:t>
      </w:r>
    </w:p>
    <w:p>
      <w:pPr>
        <w:spacing w:after="0" w:line="181" w:lineRule="exact"/>
        <w:rPr>
          <w:sz w:val="20"/>
          <w:szCs w:val="20"/>
          <w:color w:val="auto"/>
        </w:rPr>
      </w:pPr>
    </w:p>
    <w:p>
      <w:pPr>
        <w:ind w:left="160" w:right="219" w:firstLine="646"/>
        <w:spacing w:after="0" w:line="285" w:lineRule="auto"/>
        <w:rPr>
          <w:sz w:val="20"/>
          <w:szCs w:val="20"/>
          <w:color w:val="auto"/>
        </w:rPr>
      </w:pPr>
      <w:r>
        <w:rPr>
          <w:rFonts w:ascii="Arial" w:cs="Arial" w:eastAsia="Arial" w:hAnsi="Arial"/>
          <w:sz w:val="16"/>
          <w:szCs w:val="16"/>
          <w:color w:val="auto"/>
        </w:rPr>
        <w:t>Pursuant to the terms of the license agreement, the Company is required to make the following payments to Infinity in cash or, at our election, in whole or in part, in shares of our common stock: (i) $6.0 million upon the completion of the DUO study if the results of the DUO study meet certain pre-specified criteria and (ii) $22.0 million upon the approval of a new drug application in the United States or an application for marketing authorization with a regulatory authority outside of the United States for a product in an oncology indication containing duvelisib. For any portion of any of the foregoing payments that it elects to issue in shares of our common stock in lieu of cash, the number of shares of common stock to be issued will be determined by multiplying (1) 1.025 by (2) the number of shares of common stock equal to (a) the amount of the payment to be paid in shares of common stock divided by (b) the average closing price of a share of common stock as quoted on NASDAQ for a twenty day period following the public announcement of the applicable milestone event. The shares of common stock will be issued as unregistered securities, and the Company will have an obligation to promptly file a registration statement with the SEC to register such shares for resale. Any issuance of shares will be subject to the satisfaction of closing conditions, including that all material authorizations, consents, approvals and the like necessary for such issuance shall have been obtained.</w:t>
      </w:r>
    </w:p>
    <w:p>
      <w:pPr>
        <w:spacing w:after="0" w:line="174" w:lineRule="exact"/>
        <w:rPr>
          <w:sz w:val="20"/>
          <w:szCs w:val="20"/>
          <w:color w:val="auto"/>
        </w:rPr>
      </w:pPr>
    </w:p>
    <w:p>
      <w:pPr>
        <w:ind w:left="160" w:right="159" w:firstLine="646"/>
        <w:spacing w:after="0" w:line="268" w:lineRule="auto"/>
        <w:rPr>
          <w:sz w:val="20"/>
          <w:szCs w:val="20"/>
          <w:color w:val="auto"/>
        </w:rPr>
      </w:pPr>
      <w:r>
        <w:rPr>
          <w:rFonts w:ascii="Arial" w:cs="Arial" w:eastAsia="Arial" w:hAnsi="Arial"/>
          <w:sz w:val="17"/>
          <w:szCs w:val="17"/>
          <w:color w:val="auto"/>
        </w:rPr>
        <w:t>The Company is also obligated to pay Infinity royalties on worldwide net sales of any products in an oncology indication containing duvelisib ranging from the mid-single digits to the high single-digits. The royalties will expire on a product-by-product and country-by-country basis until the latest to occur of (i) the last-to-expire patent right covering the applicable product in the applicable country, (ii) the last-to-expire patent right covering the manufacture of the applicable product in the country of manufacture of such product, (iii) the expiration of non-patent regulatory exclusivity in such country and (iv) ten years following the first commercial sale of a product in a country, provided that if royalties on net sales for a product in the United States are payable solely on the basis of non-patent regulatory exclusivity, the applicable royalty on net sales for such product in the United States will be reduced by 50%. The royalties are also subject to reduction by 50% of certain third-party royalty payments or patent litigation damages or settlements which might be required to be paid by us if litigation were to arise, with any such reductions capped at 50% of the amounts otherwise payable during the applicable royalty payment period.</w:t>
      </w:r>
    </w:p>
    <w:p>
      <w:pPr>
        <w:spacing w:after="0" w:line="183" w:lineRule="exact"/>
        <w:rPr>
          <w:sz w:val="20"/>
          <w:szCs w:val="20"/>
          <w:color w:val="auto"/>
        </w:rPr>
      </w:pPr>
    </w:p>
    <w:p>
      <w:pPr>
        <w:ind w:left="160" w:right="139" w:firstLine="646"/>
        <w:spacing w:after="0" w:line="270" w:lineRule="auto"/>
        <w:rPr>
          <w:sz w:val="20"/>
          <w:szCs w:val="20"/>
          <w:color w:val="auto"/>
        </w:rPr>
      </w:pPr>
      <w:r>
        <w:rPr>
          <w:rFonts w:ascii="Arial" w:cs="Arial" w:eastAsia="Arial" w:hAnsi="Arial"/>
          <w:sz w:val="17"/>
          <w:szCs w:val="17"/>
          <w:color w:val="auto"/>
        </w:rPr>
        <w:t>In addition to the foregoing, the Company is obligated to pay Infinity an additional royalty of 4% on worldwide net sales of any products in an oncology indication containing duvelisib to cover the reimbursement of research and development costs owed by Infinity to Mundipharma International Corporation Limited (MICL) and Purdue Pharmaceutical Products L.P. (Purdue). Once Infinity has fully reimbursed MICL and Purdue, the royalty obligations will be reduced to 1% of net sales in the United States. These trailing MICL royalties are payable until the later to occur of the last-to-expire of specified patent rights and the expiration of non-patent regulatory exclusivities in a country. Each of the above royalty rates is reduced by 50% on a product-by-product and country-by-country basis if the applicable royalty is payable solely on the basis of non-patent regulatory exclusivity. In</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0" w:name="page121"/>
    <w:bookmarkEnd w:id="120"/>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jc w:val="both"/>
        <w:ind w:left="160" w:right="359"/>
        <w:spacing w:after="0" w:line="310" w:lineRule="auto"/>
        <w:rPr>
          <w:sz w:val="20"/>
          <w:szCs w:val="20"/>
          <w:color w:val="auto"/>
        </w:rPr>
      </w:pPr>
      <w:r>
        <w:rPr>
          <w:rFonts w:ascii="Arial" w:cs="Arial" w:eastAsia="Arial" w:hAnsi="Arial"/>
          <w:sz w:val="16"/>
          <w:szCs w:val="16"/>
          <w:color w:val="auto"/>
        </w:rPr>
        <w:t>addition, the trailing MICL royalties are subject to reduction by 50% of certain third-party royalty payments or patent litigation damages or settlements which might be required to be paid by the us if litigation were to arise, with any such reductions capped at 50% of the amounts otherwise payable during the applicable royalty payment period.</w:t>
      </w:r>
    </w:p>
    <w:p>
      <w:pPr>
        <w:spacing w:after="0" w:line="148" w:lineRule="exact"/>
        <w:rPr>
          <w:sz w:val="20"/>
          <w:szCs w:val="20"/>
          <w:color w:val="auto"/>
        </w:rPr>
      </w:pPr>
    </w:p>
    <w:p>
      <w:pPr>
        <w:ind w:left="160" w:right="239" w:firstLine="646"/>
        <w:spacing w:after="0" w:line="295" w:lineRule="auto"/>
        <w:rPr>
          <w:sz w:val="20"/>
          <w:szCs w:val="20"/>
          <w:color w:val="auto"/>
        </w:rPr>
      </w:pPr>
      <w:r>
        <w:rPr>
          <w:rFonts w:ascii="Arial" w:cs="Arial" w:eastAsia="Arial" w:hAnsi="Arial"/>
          <w:sz w:val="16"/>
          <w:szCs w:val="16"/>
          <w:color w:val="auto"/>
        </w:rPr>
        <w:t>The Company evaluated the license agreement with Infinity under ASC Topic 805</w:t>
      </w:r>
      <w:r>
        <w:rPr>
          <w:rFonts w:ascii="Arial" w:cs="Arial" w:eastAsia="Arial" w:hAnsi="Arial"/>
          <w:sz w:val="16"/>
          <w:szCs w:val="16"/>
          <w:i w:val="1"/>
          <w:iCs w:val="1"/>
          <w:color w:val="auto"/>
        </w:rPr>
        <w:t>, Business Combinations</w:t>
      </w:r>
      <w:r>
        <w:rPr>
          <w:rFonts w:ascii="Arial" w:cs="Arial" w:eastAsia="Arial" w:hAnsi="Arial"/>
          <w:sz w:val="16"/>
          <w:szCs w:val="16"/>
          <w:color w:val="auto"/>
        </w:rPr>
        <w:t xml:space="preserve"> and ASU 2017-01 and concluded that as substantially all of the fair value of the gross assets acquired is concentrated in a single identifiable asset or group of similar assets, the transaction did not meet the requirements to be accounted for as a business combination and therefore was accounted for as an asset acquisition. All consideration to be paid under the License Agreement is contingent in nature and will be recognized when the respective contingency is resolved.</w:t>
      </w:r>
    </w:p>
    <w:p>
      <w:pPr>
        <w:spacing w:after="0" w:line="161" w:lineRule="exact"/>
        <w:rPr>
          <w:sz w:val="20"/>
          <w:szCs w:val="20"/>
          <w:color w:val="auto"/>
        </w:rPr>
      </w:pPr>
    </w:p>
    <w:p>
      <w:pPr>
        <w:ind w:left="160" w:right="219" w:firstLine="646"/>
        <w:spacing w:after="0" w:line="284" w:lineRule="auto"/>
        <w:rPr>
          <w:sz w:val="20"/>
          <w:szCs w:val="20"/>
          <w:color w:val="auto"/>
        </w:rPr>
      </w:pPr>
      <w:r>
        <w:rPr>
          <w:rFonts w:ascii="Arial" w:cs="Arial" w:eastAsia="Arial" w:hAnsi="Arial"/>
          <w:sz w:val="16"/>
          <w:szCs w:val="16"/>
          <w:color w:val="auto"/>
        </w:rPr>
        <w:t>On July 11, 2012, the Company entered into a license agreement with Pfizer Inc. (Pfizer), under which Pfizer granted the Company worldwide, exclusive rights to research, develop, manufacture and commercialize products containing certain of Pfizer’s inhibitors of focal adhesion kinase (the FAK Products) for all therapeutic, diagnostic and prophylactic uses in humans. The Company is solely responsible, at its expense, for the clinical development of the FAK Products, which is to be conducted in accordance with an agreed upon development plan. The Company is also responsible for all manufacturing and commercialization activities at its own expense. Pfizer is required to provide the Company with an initial quantity of clinical supply of one of the FAK Products for an agreed upon price. Under the agreement, the Company made a one-time cash payment to Pfizer in the amount of $1.5 million and issued 192,012 shares of its common stock. Pfizer is also eligible to receive up to $2.0 million in developmental milestones and up to an additional $125.0 million based on the successful attainment of regulatory and commercial sales milestones. Pfizer is also eligible to receive high single to mid-double digit royalties on future net sales of the FAK Products. The Company’s royalty obligations with respect to each FAK Product in each country begin on the date of first commercial sale of the FAK Product in that country, and end on the later of 10 years after the date of first commercial sale of the FAK Product in that country or the date of expiration or abandonment of the last claim contained in any issued patent or patent application licensed by Pfizer to the Company that covers the FAK Product in that country. The Company accounted for the license agreement as the licensing of in process research and development with no alternative future use.</w:t>
      </w:r>
    </w:p>
    <w:p>
      <w:pPr>
        <w:spacing w:after="0" w:line="177" w:lineRule="exact"/>
        <w:rPr>
          <w:sz w:val="20"/>
          <w:szCs w:val="20"/>
          <w:color w:val="auto"/>
        </w:rPr>
      </w:pPr>
    </w:p>
    <w:p>
      <w:pPr>
        <w:ind w:left="160" w:right="139" w:firstLine="646"/>
        <w:spacing w:after="0" w:line="285" w:lineRule="auto"/>
        <w:rPr>
          <w:sz w:val="20"/>
          <w:szCs w:val="20"/>
          <w:color w:val="auto"/>
        </w:rPr>
      </w:pPr>
      <w:r>
        <w:rPr>
          <w:rFonts w:ascii="Arial" w:cs="Arial" w:eastAsia="Arial" w:hAnsi="Arial"/>
          <w:sz w:val="16"/>
          <w:szCs w:val="16"/>
          <w:color w:val="auto"/>
        </w:rPr>
        <w:t>Under the license agreement with Poniard that the Company entered into in November 2011 relating to VS-4718 and certain other compounds, the Company paid an upfront license fee and agreed to pay Poniard milestone payments upon the achievement of specified development and regulatory milestones. In February 2014, the Company purchased the assets which were the subject of the license agreement with Poniard from Encarta, who had previously purchased these assets in 2013. In consideration for these assets, the Company issued 97,500 shares of common stock, a warrant to purchase 142,857 shares of common stock with an exercise price equal to $17.16 per share and paid $25,000. All existing obligations under the license agreement, including an achieved development milestone and an obligation to issue a warrant, were settled as part of this transaction. The Company incurred $1.2 million of research and development expense in 2014 as a result of this transaction. In connection with the asset purchase agreement, the Company also assumed the rights and obligations under the Scripps License Agreement. Pursuant to the Scripps License Agreement, the Company is obligated to pay Scripps potential product development milestone payments of up to an aggregate of $3.0 million upon the achievement of specified development and regulatory milestones. In addition, the Company is obligated to pay Scripps low-single digit royalties as a percentage of net sales of licensed products, subject to adjustments in certain circumstances. The Company’s obligation to pay royalties on net sales is on a country-by-country basis.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Employee benefit plan</w:t>
      </w:r>
    </w:p>
    <w:p>
      <w:pPr>
        <w:spacing w:after="0" w:line="228" w:lineRule="exact"/>
        <w:rPr>
          <w:sz w:val="20"/>
          <w:szCs w:val="20"/>
          <w:color w:val="auto"/>
        </w:rPr>
      </w:pPr>
    </w:p>
    <w:p>
      <w:pPr>
        <w:ind w:left="160" w:right="239" w:firstLine="646"/>
        <w:spacing w:after="0" w:line="218" w:lineRule="exact"/>
        <w:rPr>
          <w:sz w:val="20"/>
          <w:szCs w:val="20"/>
          <w:color w:val="auto"/>
        </w:rPr>
      </w:pPr>
      <w:r>
        <w:rPr>
          <w:rFonts w:ascii="Arial" w:cs="Arial" w:eastAsia="Arial" w:hAnsi="Arial"/>
          <w:sz w:val="16"/>
          <w:szCs w:val="16"/>
          <w:color w:val="auto"/>
        </w:rPr>
        <w:t>In June 2011, the Company adopted a 401(k) retirement and savings plan (the 401(k) Plan) covering all employees. The 401(k) Plan allows employees to make pre</w:t>
      </w:r>
      <w:r>
        <w:rPr>
          <w:rFonts w:ascii="MS PGothic" w:cs="MS PGothic" w:eastAsia="MS PGothic" w:hAnsi="MS PGothic"/>
          <w:sz w:val="16"/>
          <w:szCs w:val="16"/>
          <w:color w:val="auto"/>
        </w:rPr>
        <w:t>‑</w:t>
      </w:r>
      <w:r>
        <w:rPr>
          <w:rFonts w:ascii="Arial" w:cs="Arial" w:eastAsia="Arial" w:hAnsi="Arial"/>
          <w:sz w:val="16"/>
          <w:szCs w:val="16"/>
          <w:color w:val="auto"/>
        </w:rPr>
        <w:t>tax or post</w:t>
      </w:r>
      <w:r>
        <w:rPr>
          <w:rFonts w:ascii="MS PGothic" w:cs="MS PGothic" w:eastAsia="MS PGothic" w:hAnsi="MS PGothic"/>
          <w:sz w:val="16"/>
          <w:szCs w:val="16"/>
          <w:color w:val="auto"/>
        </w:rPr>
        <w:t>‑</w:t>
      </w:r>
      <w:r>
        <w:rPr>
          <w:rFonts w:ascii="Arial" w:cs="Arial" w:eastAsia="Arial" w:hAnsi="Arial"/>
          <w:sz w:val="16"/>
          <w:szCs w:val="16"/>
          <w:color w:val="auto"/>
        </w:rPr>
        <w:t>tax contributions up to the maximum allowable amount set by the Internal Revenue Service. Under the 401(k) Plan, the Company may make discretionary contributions as approved by the board of directors. The Company made approximate contributions to the 401(k) Plan of $162,000, $295,000 and $219,000 for the years ended December 31, 2016, 2015 and 2014, respectively.</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1" w:name="page122"/>
    <w:bookmarkEnd w:id="121"/>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12. Reduction in force</w:t>
      </w:r>
    </w:p>
    <w:p>
      <w:pPr>
        <w:spacing w:after="0" w:line="228" w:lineRule="exact"/>
        <w:rPr>
          <w:sz w:val="20"/>
          <w:szCs w:val="20"/>
          <w:color w:val="auto"/>
        </w:rPr>
      </w:pPr>
    </w:p>
    <w:p>
      <w:pPr>
        <w:ind w:left="160" w:right="339" w:firstLine="646"/>
        <w:spacing w:after="0" w:line="256" w:lineRule="auto"/>
        <w:rPr>
          <w:sz w:val="20"/>
          <w:szCs w:val="20"/>
          <w:color w:val="auto"/>
        </w:rPr>
      </w:pPr>
      <w:r>
        <w:rPr>
          <w:rFonts w:ascii="Arial" w:cs="Arial" w:eastAsia="Arial" w:hAnsi="Arial"/>
          <w:sz w:val="18"/>
          <w:szCs w:val="18"/>
          <w:color w:val="auto"/>
        </w:rPr>
        <w:t>In October 2015, the Company announced a reduction of workforce by approximately 50% to 20 full time employees. All affected employees received severance pay and outplacement assistance. As a result of the reduction in force and associated costs, the Company paid one-time severance and related costs of $1.1 million. Of these one-time severance and related costs, approximately $713,000 and approximately $349,000 was paid during the years ended December 31, 2016 and 2015, respectively.</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Quarterly financial information (unaudited, in thousands, except per share data)</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6"/>
              </w:rPr>
              <w:t>First Quarter</w:t>
            </w:r>
          </w:p>
        </w:tc>
        <w:tc>
          <w:tcPr>
            <w:tcW w:w="26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Second Quarter</w:t>
            </w:r>
          </w:p>
        </w:tc>
        <w:tc>
          <w:tcPr>
            <w:tcW w:w="6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Third Quarter</w:t>
            </w:r>
          </w:p>
        </w:tc>
        <w:tc>
          <w:tcPr>
            <w:tcW w:w="60" w:type="dxa"/>
            <w:vAlign w:val="bottom"/>
          </w:tcPr>
          <w:p>
            <w:pPr>
              <w:spacing w:after="0"/>
              <w:rPr>
                <w:sz w:val="14"/>
                <w:szCs w:val="14"/>
                <w:color w:val="auto"/>
              </w:rPr>
            </w:pPr>
          </w:p>
        </w:tc>
        <w:tc>
          <w:tcPr>
            <w:tcW w:w="1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9"/>
              </w:rPr>
              <w:t>Fourth Quarter</w:t>
            </w:r>
          </w:p>
        </w:tc>
      </w:tr>
      <w:tr>
        <w:trPr>
          <w:trHeight w:val="148"/>
        </w:trPr>
        <w:tc>
          <w:tcPr>
            <w:tcW w:w="2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500"/>
              <w:spacing w:after="0" w:line="148"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2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gridSpan w:val="4"/>
          </w:tcPr>
          <w:p>
            <w:pPr>
              <w:ind w:left="180"/>
              <w:spacing w:after="0" w:line="148"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2"/>
                <w:szCs w:val="12"/>
                <w:color w:val="auto"/>
              </w:rPr>
            </w:pPr>
          </w:p>
        </w:tc>
        <w:tc>
          <w:tcPr>
            <w:tcW w:w="108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2"/>
                <w:szCs w:val="12"/>
                <w:color w:val="auto"/>
              </w:rPr>
            </w:pPr>
          </w:p>
        </w:tc>
        <w:tc>
          <w:tcPr>
            <w:tcW w:w="1240" w:type="dxa"/>
            <w:vAlign w:val="bottom"/>
            <w:gridSpan w:val="5"/>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21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4,179</w:t>
            </w:r>
          </w:p>
        </w:tc>
        <w:tc>
          <w:tcPr>
            <w:tcW w:w="6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4,492</w:t>
            </w:r>
          </w:p>
        </w:tc>
        <w:tc>
          <w:tcPr>
            <w:tcW w:w="14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4,216</w:t>
            </w:r>
          </w:p>
        </w:tc>
        <w:tc>
          <w:tcPr>
            <w:tcW w:w="160" w:type="dxa"/>
            <w:vAlign w:val="bottom"/>
          </w:tcPr>
          <w:p>
            <w:pPr>
              <w:spacing w:after="0"/>
              <w:rPr>
                <w:sz w:val="18"/>
                <w:szCs w:val="18"/>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6,892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38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w:t>
            </w: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(0.22)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Weighted-average number of common shares used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 net loss per share —basic and diluted</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36,992</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36,992</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68"/>
        </w:trPr>
        <w:tc>
          <w:tcPr>
            <w:tcW w:w="2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First Quarter</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Second Quarter</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Third Quarter</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Fourth Quarter</w:t>
            </w:r>
          </w:p>
        </w:tc>
      </w:tr>
      <w:tr>
        <w:trPr>
          <w:trHeight w:val="148"/>
        </w:trPr>
        <w:tc>
          <w:tcPr>
            <w:tcW w:w="2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2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center"/>
              <w:ind w:right="80"/>
              <w:spacing w:after="0" w:line="148"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1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09"/>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10,528</w:t>
            </w:r>
          </w:p>
        </w:tc>
        <w:tc>
          <w:tcPr>
            <w:tcW w:w="60" w:type="dxa"/>
            <w:vAlign w:val="bottom"/>
          </w:tcPr>
          <w:p>
            <w:pPr>
              <w:spacing w:after="0"/>
              <w:rPr>
                <w:sz w:val="18"/>
                <w:szCs w:val="18"/>
                <w:color w:val="auto"/>
              </w:rPr>
            </w:pP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11,045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11,304</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7,688</w:t>
            </w:r>
          </w:p>
        </w:tc>
        <w:tc>
          <w:tcPr>
            <w:tcW w:w="80" w:type="dxa"/>
            <w:vAlign w:val="bottom"/>
          </w:tcPr>
          <w:p>
            <w:pPr>
              <w:spacing w:after="0"/>
              <w:rPr>
                <w:sz w:val="18"/>
                <w:szCs w:val="18"/>
                <w:color w:val="auto"/>
              </w:rPr>
            </w:pPr>
          </w:p>
        </w:tc>
      </w:tr>
      <w:tr>
        <w:trPr>
          <w:trHeight w:val="215"/>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4,273</w:t>
            </w:r>
          </w:p>
        </w:tc>
        <w:tc>
          <w:tcPr>
            <w:tcW w:w="80" w:type="dxa"/>
            <w:vAlign w:val="bottom"/>
            <w:shd w:val="clear" w:color="auto" w:fill="CCEEFF"/>
          </w:tcPr>
          <w:p>
            <w:pPr>
              <w:spacing w:after="0"/>
              <w:rPr>
                <w:sz w:val="18"/>
                <w:szCs w:val="18"/>
                <w:color w:val="auto"/>
              </w:rPr>
            </w:pPr>
          </w:p>
        </w:tc>
      </w:tr>
      <w:tr>
        <w:trPr>
          <w:trHeight w:val="209"/>
        </w:trPr>
        <w:tc>
          <w:tcPr>
            <w:tcW w:w="38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15,462</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15,534</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11,961</w:t>
            </w:r>
          </w:p>
        </w:tc>
        <w:tc>
          <w:tcPr>
            <w:tcW w:w="80" w:type="dxa"/>
            <w:vAlign w:val="bottom"/>
            <w:tcBorders>
              <w:bottom w:val="single" w:sz="8" w:color="CCEEFF"/>
            </w:tcBorders>
          </w:tcPr>
          <w:p>
            <w:pPr>
              <w:spacing w:after="0"/>
              <w:rPr>
                <w:sz w:val="18"/>
                <w:szCs w:val="18"/>
                <w:color w:val="auto"/>
              </w:rPr>
            </w:pPr>
          </w:p>
        </w:tc>
      </w:tr>
      <w:tr>
        <w:trPr>
          <w:trHeight w:val="209"/>
        </w:trPr>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80" w:type="dxa"/>
            <w:vAlign w:val="bottom"/>
            <w:shd w:val="clear" w:color="auto" w:fill="CCEEFF"/>
          </w:tcPr>
          <w:p>
            <w:pPr>
              <w:spacing w:after="0"/>
              <w:rPr>
                <w:sz w:val="18"/>
                <w:szCs w:val="18"/>
                <w:color w:val="auto"/>
              </w:rPr>
            </w:pPr>
          </w:p>
        </w:tc>
      </w:tr>
      <w:tr>
        <w:trPr>
          <w:trHeight w:val="215"/>
        </w:trPr>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85</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89</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tcPr>
          <w:p>
            <w:pPr>
              <w:spacing w:after="0"/>
              <w:rPr>
                <w:sz w:val="18"/>
                <w:szCs w:val="18"/>
                <w:color w:val="auto"/>
              </w:rPr>
            </w:pPr>
          </w:p>
        </w:tc>
      </w:tr>
      <w:tr>
        <w:trPr>
          <w:trHeight w:val="229"/>
        </w:trPr>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(15,180)</w:t>
            </w:r>
          </w:p>
        </w:tc>
        <w:tc>
          <w:tcPr>
            <w:tcW w:w="4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(15,377)</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(11,863)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2"/>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(0.46)</w:t>
            </w:r>
          </w:p>
        </w:tc>
        <w:tc>
          <w:tcPr>
            <w:tcW w:w="400" w:type="dxa"/>
            <w:vAlign w:val="bottom"/>
            <w:gridSpan w:val="2"/>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(0.42)</w:t>
            </w:r>
          </w:p>
        </w:tc>
        <w:tc>
          <w:tcPr>
            <w:tcW w:w="22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(0.42)</w:t>
            </w:r>
          </w:p>
        </w:tc>
        <w:tc>
          <w:tcPr>
            <w:tcW w:w="220" w:type="dxa"/>
            <w:vAlign w:val="bottom"/>
            <w:gridSpan w:val="2"/>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(0.32)</w:t>
            </w:r>
          </w:p>
        </w:tc>
        <w:tc>
          <w:tcPr>
            <w:tcW w:w="80" w:type="dxa"/>
            <w:vAlign w:val="bottom"/>
          </w:tcPr>
          <w:p>
            <w:pPr>
              <w:spacing w:after="0"/>
              <w:rPr>
                <w:sz w:val="17"/>
                <w:szCs w:val="17"/>
                <w:color w:val="auto"/>
              </w:rPr>
            </w:pPr>
          </w:p>
        </w:tc>
      </w:tr>
      <w:tr>
        <w:trPr>
          <w:trHeight w:val="201"/>
        </w:trPr>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8"/>
              </w:rPr>
              <w:t>Weighted-average number of common shares used in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9"/>
              </w:rPr>
              <w:t>33,323 (a)(b)</w:t>
            </w:r>
          </w:p>
        </w:tc>
        <w:tc>
          <w:tcPr>
            <w:tcW w:w="1240" w:type="dxa"/>
            <w:vAlign w:val="bottom"/>
            <w:gridSpan w:val="5"/>
            <w:shd w:val="clear" w:color="auto" w:fill="CCEEFF"/>
          </w:tcPr>
          <w:p>
            <w:pPr>
              <w:jc w:val="right"/>
              <w:ind w:right="48"/>
              <w:spacing w:after="0"/>
              <w:rPr>
                <w:sz w:val="20"/>
                <w:szCs w:val="20"/>
                <w:color w:val="auto"/>
              </w:rPr>
            </w:pPr>
            <w:r>
              <w:rPr>
                <w:rFonts w:ascii="Arial" w:cs="Arial" w:eastAsia="Arial" w:hAnsi="Arial"/>
                <w:sz w:val="18"/>
                <w:szCs w:val="18"/>
                <w:color w:val="auto"/>
              </w:rPr>
              <w:t>36,522 (b)</w:t>
            </w:r>
          </w:p>
        </w:tc>
        <w:tc>
          <w:tcPr>
            <w:tcW w:w="114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36,898 (b)</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36,935</w:t>
            </w:r>
          </w:p>
        </w:tc>
        <w:tc>
          <w:tcPr>
            <w:tcW w:w="80" w:type="dxa"/>
            <w:vAlign w:val="bottom"/>
            <w:shd w:val="clear" w:color="auto" w:fill="CCEEFF"/>
          </w:tcPr>
          <w:p>
            <w:pPr>
              <w:spacing w:after="0"/>
              <w:rPr>
                <w:sz w:val="19"/>
                <w:szCs w:val="19"/>
                <w:color w:val="auto"/>
              </w:rPr>
            </w:pPr>
          </w:p>
        </w:tc>
      </w:tr>
      <w:tr>
        <w:trPr>
          <w:trHeight w:val="108"/>
        </w:trPr>
        <w:tc>
          <w:tcPr>
            <w:tcW w:w="218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93" w:lineRule="exact"/>
        <w:rPr>
          <w:sz w:val="20"/>
          <w:szCs w:val="20"/>
          <w:color w:val="auto"/>
        </w:rPr>
      </w:pPr>
    </w:p>
    <w:p>
      <w:pPr>
        <w:jc w:val="both"/>
        <w:ind w:left="360" w:right="499" w:hanging="201"/>
        <w:spacing w:after="0" w:line="285" w:lineRule="auto"/>
        <w:rPr>
          <w:sz w:val="20"/>
          <w:szCs w:val="20"/>
          <w:color w:val="auto"/>
        </w:rPr>
      </w:pPr>
      <w:r>
        <w:rPr>
          <w:rFonts w:ascii="Arial" w:cs="Arial" w:eastAsia="Arial" w:hAnsi="Arial"/>
          <w:sz w:val="17"/>
          <w:szCs w:val="17"/>
          <w:color w:val="auto"/>
        </w:rPr>
        <w:t>(a)In January 2015, the Company closed a public offering in which it sold 8,337,500 shares of its common stock at a price of $6.50 per share, including 1,087,500 shares issued pursuant to the exercise of the underwriters’ option to purchase additional shares, which resulted in net proceeds of $50.9 million.</w:t>
      </w:r>
    </w:p>
    <w:p>
      <w:pPr>
        <w:spacing w:after="0" w:line="165" w:lineRule="exact"/>
        <w:rPr>
          <w:sz w:val="20"/>
          <w:szCs w:val="20"/>
          <w:color w:val="auto"/>
        </w:rPr>
      </w:pPr>
    </w:p>
    <w:p>
      <w:pPr>
        <w:ind w:left="360" w:right="299" w:hanging="214"/>
        <w:spacing w:after="0" w:line="262" w:lineRule="auto"/>
        <w:rPr>
          <w:sz w:val="20"/>
          <w:szCs w:val="20"/>
          <w:color w:val="auto"/>
        </w:rPr>
      </w:pPr>
      <w:r>
        <w:rPr>
          <w:rFonts w:ascii="Arial" w:cs="Arial" w:eastAsia="Arial" w:hAnsi="Arial"/>
          <w:sz w:val="18"/>
          <w:szCs w:val="18"/>
          <w:color w:val="auto"/>
        </w:rPr>
        <w:t>(b)In the first, second and third quarters of 2015, the Company sold 470,309, 690,370 and 28,800 shares of its common stock under the Company’s at-the-market equity offering program, which resulted in net proceeds of $4.4 million, $6.2 million and approximately $250,000,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2" w:name="page123"/>
    <w:bookmarkEnd w:id="122"/>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Verastem,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14. Subsequent events</w:t>
      </w:r>
    </w:p>
    <w:p>
      <w:pPr>
        <w:spacing w:after="0" w:line="228" w:lineRule="exact"/>
        <w:rPr>
          <w:sz w:val="20"/>
          <w:szCs w:val="20"/>
          <w:color w:val="auto"/>
        </w:rPr>
      </w:pPr>
    </w:p>
    <w:p>
      <w:pPr>
        <w:jc w:val="both"/>
        <w:ind w:left="160" w:right="219" w:firstLine="646"/>
        <w:spacing w:after="0" w:line="310" w:lineRule="auto"/>
        <w:rPr>
          <w:sz w:val="20"/>
          <w:szCs w:val="20"/>
          <w:color w:val="auto"/>
        </w:rPr>
      </w:pPr>
      <w:r>
        <w:rPr>
          <w:rFonts w:ascii="Arial" w:cs="Arial" w:eastAsia="Arial" w:hAnsi="Arial"/>
          <w:sz w:val="16"/>
          <w:szCs w:val="16"/>
          <w:color w:val="auto"/>
        </w:rPr>
        <w:t>The Company reviews all activity subsequent to year end but prior to the issuance of the consolidated financial statements for events that could require disclosure or that could impact the carrying value of assets or liabilities as of the consolidated balance sheets date. The Company is not aware of any material subsequent events other than the following:</w:t>
      </w:r>
    </w:p>
    <w:p>
      <w:pPr>
        <w:spacing w:after="0" w:line="148" w:lineRule="exact"/>
        <w:rPr>
          <w:sz w:val="20"/>
          <w:szCs w:val="20"/>
          <w:color w:val="auto"/>
        </w:rPr>
      </w:pPr>
    </w:p>
    <w:p>
      <w:pPr>
        <w:ind w:left="160" w:right="159" w:firstLine="646"/>
        <w:spacing w:after="0" w:line="268" w:lineRule="auto"/>
        <w:rPr>
          <w:sz w:val="20"/>
          <w:szCs w:val="20"/>
          <w:color w:val="auto"/>
        </w:rPr>
      </w:pPr>
      <w:r>
        <w:rPr>
          <w:rFonts w:ascii="Arial" w:cs="Arial" w:eastAsia="Arial" w:hAnsi="Arial"/>
          <w:sz w:val="17"/>
          <w:szCs w:val="17"/>
          <w:color w:val="auto"/>
        </w:rPr>
        <w:t>On March 21, 2017 (Closing Date), Verastem, Inc. (Borrower) entered into a term loan facility of up to $25.0 million (Term Loan) with Hercules Capital, Inc., a Maryland corporation (Hercules), the proceeds of which will be used for its ongoing research and development programs and for general corporate purposes. The Term Loan is governed by a loan and security agreement, dated March 21, 2017 (Loan Agreement), which provides for up to four separate advances. The first tranche of $2.5 million was drawn on the Closing Date. The second tranche of $2.5 million and the third tranche of $5.0 million may be drawn, at the Borrower’s option but subject to the Borrower receiving favorable data from its ongoing Phase III clinical study evaluating the safety and efficacy of duvelisib in patients with relapsed/refractory chronic leukemia or small lymphocytic lymphoma on or prior to September 20, 2017 (Milestone Event), during the period beginning on the Closing Date and ending on the earliest to occur of the date that is 90 days after the Milestone Event and December 20, 2017. The fourth tranche of $15.0 million may be drawn, at the Borrower’s option and at the sole discretion of Hercules, on or prior to June 30, 2018.</w:t>
      </w:r>
    </w:p>
    <w:p>
      <w:pPr>
        <w:spacing w:after="0" w:line="183" w:lineRule="exact"/>
        <w:rPr>
          <w:sz w:val="20"/>
          <w:szCs w:val="20"/>
          <w:color w:val="auto"/>
        </w:rPr>
      </w:pPr>
    </w:p>
    <w:p>
      <w:pPr>
        <w:ind w:left="160" w:right="479" w:firstLine="646"/>
        <w:spacing w:after="0" w:line="290" w:lineRule="auto"/>
        <w:rPr>
          <w:sz w:val="20"/>
          <w:szCs w:val="20"/>
          <w:color w:val="auto"/>
        </w:rPr>
      </w:pPr>
      <w:r>
        <w:rPr>
          <w:rFonts w:ascii="Arial" w:cs="Arial" w:eastAsia="Arial" w:hAnsi="Arial"/>
          <w:sz w:val="16"/>
          <w:szCs w:val="16"/>
          <w:color w:val="auto"/>
        </w:rPr>
        <w:t>The Term Loan will mature on December 1, 2020 (Loan Maturity Date). Each advance accrues interest at a floating per annum rate equal to the greater of either (a) 10.5% or (b) the lesser of (i) 12.75% and (ii) the sum of (x)</w:t>
      </w:r>
    </w:p>
    <w:p>
      <w:pPr>
        <w:spacing w:after="0" w:line="1" w:lineRule="exact"/>
        <w:rPr>
          <w:sz w:val="20"/>
          <w:szCs w:val="20"/>
          <w:color w:val="auto"/>
        </w:rPr>
      </w:pPr>
    </w:p>
    <w:p>
      <w:pPr>
        <w:ind w:left="160" w:right="199"/>
        <w:spacing w:after="0" w:line="266" w:lineRule="auto"/>
        <w:rPr>
          <w:sz w:val="20"/>
          <w:szCs w:val="20"/>
          <w:color w:val="auto"/>
        </w:rPr>
      </w:pPr>
      <w:r>
        <w:rPr>
          <w:rFonts w:ascii="Arial" w:cs="Arial" w:eastAsia="Arial" w:hAnsi="Arial"/>
          <w:sz w:val="17"/>
          <w:szCs w:val="17"/>
          <w:color w:val="auto"/>
        </w:rPr>
        <w:t>10.5% plus (y) (A) the prime rate minus (B) 4.5%. The Term Loan provides for interest-only payments until November 1, 2018. The interest-only period may be extended to May 1, 2019 if the Borrower obtains minimum cash proceeds of $20.0 million from a sale of equity securities or subordinated debt and/or ongoing commercial partnerships. Thereafter, amortization payments will be payable monthly in twenty-six installments (or, if the period requiring interest-only payments has been extended to May 1, 2019, in twenty installments) of principal and interest (subject to recalculation upon a change in prime rates). Any advance may be prepaid in whole or in part upon seven business days’ prior written notice to Hercules, subject to a prepayment charge of 3.0%, if such advance is prepaid in any of the first twelve (12) months following the Closing Date, 2.0%, if such advance is prepaid after twelve (12) months following the Closing Date but on or prior to twenty-four (24) months following the Closing Date, and 1.0% thereafter. In addition, a final payment equal to 4.5% of the greater of (a) $5.0 million and (b) the total principal amount of the Term Loan extended by Hercules which is due on the Loan Maturity Date, or such earlier date specified in the Loan Agreement. Amounts outstanding during an event of default shall be payable on demand and shall accrue interest at an additional rate of 5.0% per annum of the past due amount outstanding.</w:t>
      </w:r>
    </w:p>
    <w:p>
      <w:pPr>
        <w:spacing w:after="0" w:line="184" w:lineRule="exact"/>
        <w:rPr>
          <w:sz w:val="20"/>
          <w:szCs w:val="20"/>
          <w:color w:val="auto"/>
        </w:rPr>
      </w:pPr>
    </w:p>
    <w:p>
      <w:pPr>
        <w:ind w:left="160" w:right="539" w:firstLine="646"/>
        <w:spacing w:after="0" w:line="278" w:lineRule="auto"/>
        <w:rPr>
          <w:sz w:val="20"/>
          <w:szCs w:val="20"/>
          <w:color w:val="auto"/>
        </w:rPr>
      </w:pPr>
      <w:r>
        <w:rPr>
          <w:rFonts w:ascii="Arial" w:cs="Arial" w:eastAsia="Arial" w:hAnsi="Arial"/>
          <w:sz w:val="17"/>
          <w:szCs w:val="17"/>
          <w:color w:val="auto"/>
        </w:rPr>
        <w:t>The Term Loan is secured by a lien on substantially all of the assets of the Borrower,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w:t>
      </w:r>
    </w:p>
    <w:p>
      <w:pPr>
        <w:spacing w:after="0" w:line="171" w:lineRule="exact"/>
        <w:rPr>
          <w:sz w:val="20"/>
          <w:szCs w:val="20"/>
          <w:color w:val="auto"/>
        </w:rPr>
      </w:pPr>
    </w:p>
    <w:p>
      <w:pPr>
        <w:ind w:left="160" w:right="239" w:firstLine="646"/>
        <w:spacing w:after="0" w:line="284" w:lineRule="auto"/>
        <w:rPr>
          <w:sz w:val="20"/>
          <w:szCs w:val="20"/>
          <w:color w:val="auto"/>
        </w:rPr>
      </w:pPr>
      <w:r>
        <w:rPr>
          <w:rFonts w:ascii="Arial" w:cs="Arial" w:eastAsia="Arial" w:hAnsi="Arial"/>
          <w:sz w:val="16"/>
          <w:szCs w:val="16"/>
          <w:color w:val="auto"/>
        </w:rPr>
        <w:t>The events of default under the Loan Agreement include, without limitation, and subject to customary grace periods, (1) the Borrower’s failure to make any payments of principal or interest under the Loan Agreement, promissory notes or other loan documents, (2) the Borrower’s breach or default in the performance of any covenant under the Loan Agreement, (3) the Borrower making a false or misleading representation or warranty in any material respect, (4) the Borrower’s insolvency or bankruptcy, (5) certain attachments or judgments on the Borrower’s assets, or (6) the occurrence of any material default under certain agreements or obligations of the Borrower involving indebtedness, or</w:t>
      </w:r>
    </w:p>
    <w:p>
      <w:pPr>
        <w:ind w:left="160" w:right="519" w:hanging="10"/>
        <w:spacing w:after="0" w:line="259" w:lineRule="auto"/>
        <w:tabs>
          <w:tab w:leader="none" w:pos="41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occurrence of a material adverse effect. If an event of default occurs, Hercules is entitled to take enforcement action, including acceleration of amounts due under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492760</wp:posOffset>
            </wp:positionV>
            <wp:extent cx="55378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3" w:name="page124"/>
    <w:bookmarkEnd w:id="123"/>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60" w:type="dxa"/>
            <w:vAlign w:val="bottom"/>
          </w:tcPr>
          <w:p>
            <w:pPr>
              <w:ind w:left="2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4"/>
        </w:trPr>
        <w:tc>
          <w:tcPr>
            <w:tcW w:w="900" w:type="dxa"/>
            <w:vAlign w:val="bottom"/>
          </w:tcPr>
          <w:p>
            <w:pPr>
              <w:jc w:val="right"/>
              <w:ind w:right="153"/>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7460" w:type="dxa"/>
            <w:vAlign w:val="bottom"/>
            <w:vMerge w:val="restart"/>
          </w:tcPr>
          <w:p>
            <w:pPr>
              <w:ind w:left="30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7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6"/>
                <w:szCs w:val="16"/>
                <w:color w:val="auto"/>
              </w:rPr>
            </w:pPr>
          </w:p>
        </w:tc>
        <w:tc>
          <w:tcPr>
            <w:tcW w:w="7460" w:type="dxa"/>
            <w:vAlign w:val="bottom"/>
          </w:tcPr>
          <w:p>
            <w:pPr>
              <w:spacing w:after="0" w:line="195" w:lineRule="exact"/>
              <w:rPr>
                <w:sz w:val="20"/>
                <w:szCs w:val="20"/>
                <w:color w:val="auto"/>
              </w:rPr>
            </w:pPr>
            <w:r>
              <w:rPr>
                <w:rFonts w:ascii="Arial" w:cs="Arial" w:eastAsia="Arial" w:hAnsi="Arial"/>
                <w:sz w:val="18"/>
                <w:szCs w:val="18"/>
                <w:color w:val="auto"/>
                <w:w w:val="96"/>
              </w:rPr>
              <w:t>Restated Certificate of Incorporation of the Registrant (incorporated by reference to Exhibit 3.1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rPr>
              <w:t>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 No. 001</w:t>
            </w:r>
            <w:r>
              <w:rPr>
                <w:rFonts w:ascii="MS PGothic" w:cs="MS PGothic" w:eastAsia="MS PGothic" w:hAnsi="MS PGothic"/>
                <w:sz w:val="18"/>
                <w:szCs w:val="18"/>
                <w:color w:val="auto"/>
              </w:rPr>
              <w:t>‑</w:t>
            </w:r>
            <w:r>
              <w:rPr>
                <w:rFonts w:ascii="Arial" w:cs="Arial" w:eastAsia="Arial" w:hAnsi="Arial"/>
                <w:sz w:val="18"/>
                <w:szCs w:val="18"/>
                <w:color w:val="auto"/>
              </w:rPr>
              <w:t>35403) filed by the Registrant on March 30, 2012)</w:t>
            </w:r>
          </w:p>
        </w:tc>
        <w:tc>
          <w:tcPr>
            <w:tcW w:w="0" w:type="dxa"/>
            <w:vAlign w:val="bottom"/>
          </w:tcPr>
          <w:p>
            <w:pPr>
              <w:spacing w:after="0"/>
              <w:rPr>
                <w:sz w:val="1"/>
                <w:szCs w:val="1"/>
                <w:color w:val="auto"/>
              </w:rPr>
            </w:pPr>
          </w:p>
        </w:tc>
      </w:tr>
      <w:tr>
        <w:trPr>
          <w:trHeight w:val="416"/>
        </w:trPr>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rPr>
              <w:t>Amended and Restated Bylaws of the Registrant (incorporated by reference to Exhibit 3.4 to</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w w:val="97"/>
              </w:rPr>
              <w:t>Amendment No. 3 to the Registration Statement on Form S</w:t>
            </w:r>
            <w:r>
              <w:rPr>
                <w:rFonts w:ascii="MS PGothic" w:cs="MS PGothic" w:eastAsia="MS PGothic" w:hAnsi="MS PGothic"/>
                <w:sz w:val="18"/>
                <w:szCs w:val="18"/>
                <w:color w:val="auto"/>
                <w:w w:val="97"/>
              </w:rPr>
              <w:t>‑</w:t>
            </w:r>
            <w:r>
              <w:rPr>
                <w:rFonts w:ascii="Arial" w:cs="Arial" w:eastAsia="Arial" w:hAnsi="Arial"/>
                <w:sz w:val="18"/>
                <w:szCs w:val="18"/>
                <w:color w:val="auto"/>
                <w:w w:val="97"/>
              </w:rPr>
              <w:t>1 (File No. 333</w:t>
            </w:r>
            <w:r>
              <w:rPr>
                <w:rFonts w:ascii="MS PGothic" w:cs="MS PGothic" w:eastAsia="MS PGothic" w:hAnsi="MS PGothic"/>
                <w:sz w:val="18"/>
                <w:szCs w:val="18"/>
                <w:color w:val="auto"/>
                <w:w w:val="97"/>
              </w:rPr>
              <w:t>‑</w:t>
            </w:r>
            <w:r>
              <w:rPr>
                <w:rFonts w:ascii="Arial" w:cs="Arial" w:eastAsia="Arial" w:hAnsi="Arial"/>
                <w:sz w:val="18"/>
                <w:szCs w:val="18"/>
                <w:color w:val="auto"/>
                <w:w w:val="97"/>
              </w:rPr>
              <w:t>177677) filed by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rPr>
              <w:t>Registrant on January 13, 2012)</w:t>
            </w:r>
          </w:p>
        </w:tc>
        <w:tc>
          <w:tcPr>
            <w:tcW w:w="0" w:type="dxa"/>
            <w:vAlign w:val="bottom"/>
          </w:tcPr>
          <w:p>
            <w:pPr>
              <w:spacing w:after="0"/>
              <w:rPr>
                <w:sz w:val="1"/>
                <w:szCs w:val="1"/>
                <w:color w:val="auto"/>
              </w:rPr>
            </w:pPr>
          </w:p>
        </w:tc>
      </w:tr>
      <w:tr>
        <w:trPr>
          <w:trHeight w:val="416"/>
        </w:trPr>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3"/>
              </w:rPr>
              <w:t>Specimen certificate evidencing shares of common stock (incorporated by reference to Exhibit 4.1 to</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w w:val="97"/>
              </w:rPr>
              <w:t>Amendment No. 3 to the Registration Statement on Form S</w:t>
            </w:r>
            <w:r>
              <w:rPr>
                <w:rFonts w:ascii="MS PGothic" w:cs="MS PGothic" w:eastAsia="MS PGothic" w:hAnsi="MS PGothic"/>
                <w:sz w:val="18"/>
                <w:szCs w:val="18"/>
                <w:color w:val="auto"/>
                <w:w w:val="97"/>
              </w:rPr>
              <w:t>‑</w:t>
            </w:r>
            <w:r>
              <w:rPr>
                <w:rFonts w:ascii="Arial" w:cs="Arial" w:eastAsia="Arial" w:hAnsi="Arial"/>
                <w:sz w:val="18"/>
                <w:szCs w:val="18"/>
                <w:color w:val="auto"/>
                <w:w w:val="97"/>
              </w:rPr>
              <w:t>1 (File No. 333</w:t>
            </w:r>
            <w:r>
              <w:rPr>
                <w:rFonts w:ascii="MS PGothic" w:cs="MS PGothic" w:eastAsia="MS PGothic" w:hAnsi="MS PGothic"/>
                <w:sz w:val="18"/>
                <w:szCs w:val="18"/>
                <w:color w:val="auto"/>
                <w:w w:val="97"/>
              </w:rPr>
              <w:t>‑</w:t>
            </w:r>
            <w:r>
              <w:rPr>
                <w:rFonts w:ascii="Arial" w:cs="Arial" w:eastAsia="Arial" w:hAnsi="Arial"/>
                <w:sz w:val="18"/>
                <w:szCs w:val="18"/>
                <w:color w:val="auto"/>
                <w:w w:val="97"/>
              </w:rPr>
              <w:t>177677) filed by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rPr>
              <w:t>Registrant on January 13, 2012)</w:t>
            </w:r>
          </w:p>
        </w:tc>
        <w:tc>
          <w:tcPr>
            <w:tcW w:w="0" w:type="dxa"/>
            <w:vAlign w:val="bottom"/>
          </w:tcPr>
          <w:p>
            <w:pPr>
              <w:spacing w:after="0"/>
              <w:rPr>
                <w:sz w:val="1"/>
                <w:szCs w:val="1"/>
                <w:color w:val="auto"/>
              </w:rPr>
            </w:pPr>
          </w:p>
        </w:tc>
      </w:tr>
      <w:tr>
        <w:trPr>
          <w:trHeight w:val="416"/>
        </w:trPr>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0"/>
              </w:rPr>
              <w:t>Common Stock Warrant Agreement between the Registrant and Encarta, Inc. dated February 21, 2014</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w w:val="93"/>
              </w:rPr>
              <w:t>(incorporated by reference to Exhibit 4.1 of the Quarterly Report on Form 10</w:t>
            </w:r>
            <w:r>
              <w:rPr>
                <w:rFonts w:ascii="MS PGothic" w:cs="MS PGothic" w:eastAsia="MS PGothic" w:hAnsi="MS PGothic"/>
                <w:sz w:val="18"/>
                <w:szCs w:val="18"/>
                <w:color w:val="auto"/>
                <w:w w:val="93"/>
              </w:rPr>
              <w:t>‑</w:t>
            </w:r>
            <w:r>
              <w:rPr>
                <w:rFonts w:ascii="Arial" w:cs="Arial" w:eastAsia="Arial" w:hAnsi="Arial"/>
                <w:sz w:val="18"/>
                <w:szCs w:val="18"/>
                <w:color w:val="auto"/>
                <w:w w:val="93"/>
              </w:rPr>
              <w:t>Q (File No. 001</w:t>
            </w:r>
            <w:r>
              <w:rPr>
                <w:rFonts w:ascii="MS PGothic" w:cs="MS PGothic" w:eastAsia="MS PGothic" w:hAnsi="MS PGothic"/>
                <w:sz w:val="18"/>
                <w:szCs w:val="18"/>
                <w:color w:val="auto"/>
                <w:w w:val="93"/>
              </w:rPr>
              <w:t>‑</w:t>
            </w:r>
            <w:r>
              <w:rPr>
                <w:rFonts w:ascii="Arial" w:cs="Arial" w:eastAsia="Arial" w:hAnsi="Arial"/>
                <w:sz w:val="18"/>
                <w:szCs w:val="18"/>
                <w:color w:val="auto"/>
                <w:w w:val="93"/>
              </w:rPr>
              <w:t>35403)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rPr>
              <w:t>filed by the Registrant on May 8, 2014)</w:t>
            </w:r>
          </w:p>
        </w:tc>
        <w:tc>
          <w:tcPr>
            <w:tcW w:w="0" w:type="dxa"/>
            <w:vAlign w:val="bottom"/>
          </w:tcPr>
          <w:p>
            <w:pPr>
              <w:spacing w:after="0"/>
              <w:rPr>
                <w:sz w:val="1"/>
                <w:szCs w:val="1"/>
                <w:color w:val="auto"/>
              </w:rPr>
            </w:pPr>
          </w:p>
        </w:tc>
      </w:tr>
      <w:tr>
        <w:trPr>
          <w:trHeight w:val="416"/>
        </w:trPr>
        <w:tc>
          <w:tcPr>
            <w:tcW w:w="900" w:type="dxa"/>
            <w:vAlign w:val="bottom"/>
          </w:tcPr>
          <w:p>
            <w:pPr>
              <w:jc w:val="center"/>
              <w:ind w:left="393"/>
              <w:spacing w:after="0"/>
              <w:rPr>
                <w:sz w:val="20"/>
                <w:szCs w:val="20"/>
                <w:color w:val="auto"/>
              </w:rPr>
            </w:pPr>
            <w:r>
              <w:rPr>
                <w:rFonts w:ascii="Arial" w:cs="Arial" w:eastAsia="Arial" w:hAnsi="Arial"/>
                <w:sz w:val="18"/>
                <w:szCs w:val="18"/>
                <w:color w:val="auto"/>
                <w:w w:val="93"/>
              </w:rPr>
              <w:t>10.1#</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1"/>
              </w:rPr>
              <w:t>2010 Equity Incentive Plan (incorporated by reference to Exhibit 10.1 to the Registration Statement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rPr>
              <w:t>Form S</w:t>
            </w:r>
            <w:r>
              <w:rPr>
                <w:rFonts w:ascii="MS PGothic" w:cs="MS PGothic" w:eastAsia="MS PGothic" w:hAnsi="MS PGothic"/>
                <w:sz w:val="18"/>
                <w:szCs w:val="18"/>
                <w:color w:val="auto"/>
              </w:rPr>
              <w:t>‑</w:t>
            </w:r>
            <w:r>
              <w:rPr>
                <w:rFonts w:ascii="Arial" w:cs="Arial" w:eastAsia="Arial" w:hAnsi="Arial"/>
                <w:sz w:val="18"/>
                <w:szCs w:val="18"/>
                <w:color w:val="auto"/>
              </w:rPr>
              <w:t>1 (File No. 333</w:t>
            </w:r>
            <w:r>
              <w:rPr>
                <w:rFonts w:ascii="MS PGothic" w:cs="MS PGothic" w:eastAsia="MS PGothic" w:hAnsi="MS PGothic"/>
                <w:sz w:val="18"/>
                <w:szCs w:val="18"/>
                <w:color w:val="auto"/>
              </w:rPr>
              <w:t>‑</w:t>
            </w:r>
            <w:r>
              <w:rPr>
                <w:rFonts w:ascii="Arial" w:cs="Arial" w:eastAsia="Arial" w:hAnsi="Arial"/>
                <w:sz w:val="18"/>
                <w:szCs w:val="18"/>
                <w:color w:val="auto"/>
              </w:rPr>
              <w:t>177677) filed by the Registrant on November 3, 2011)</w:t>
            </w:r>
          </w:p>
        </w:tc>
        <w:tc>
          <w:tcPr>
            <w:tcW w:w="0" w:type="dxa"/>
            <w:vAlign w:val="bottom"/>
          </w:tcPr>
          <w:p>
            <w:pPr>
              <w:spacing w:after="0"/>
              <w:rPr>
                <w:sz w:val="1"/>
                <w:szCs w:val="1"/>
                <w:color w:val="auto"/>
              </w:rPr>
            </w:pPr>
          </w:p>
        </w:tc>
      </w:tr>
      <w:tr>
        <w:trPr>
          <w:trHeight w:val="416"/>
        </w:trPr>
        <w:tc>
          <w:tcPr>
            <w:tcW w:w="900" w:type="dxa"/>
            <w:vAlign w:val="bottom"/>
          </w:tcPr>
          <w:p>
            <w:pPr>
              <w:jc w:val="center"/>
              <w:ind w:left="393"/>
              <w:spacing w:after="0"/>
              <w:rPr>
                <w:sz w:val="20"/>
                <w:szCs w:val="20"/>
                <w:color w:val="auto"/>
              </w:rPr>
            </w:pPr>
            <w:r>
              <w:rPr>
                <w:rFonts w:ascii="Arial" w:cs="Arial" w:eastAsia="Arial" w:hAnsi="Arial"/>
                <w:sz w:val="18"/>
                <w:szCs w:val="18"/>
                <w:color w:val="auto"/>
                <w:w w:val="93"/>
              </w:rPr>
              <w:t>10.2#</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1"/>
              </w:rPr>
              <w:t>2012 Incentive Plan (incorporated by reference to Exhibit 10.2 to Amendment No. 3 to the Registration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rPr>
              <w:t>Statement on Form S</w:t>
            </w:r>
            <w:r>
              <w:rPr>
                <w:rFonts w:ascii="MS PGothic" w:cs="MS PGothic" w:eastAsia="MS PGothic" w:hAnsi="MS PGothic"/>
                <w:sz w:val="18"/>
                <w:szCs w:val="18"/>
                <w:color w:val="auto"/>
              </w:rPr>
              <w:t>‑</w:t>
            </w:r>
            <w:r>
              <w:rPr>
                <w:rFonts w:ascii="Arial" w:cs="Arial" w:eastAsia="Arial" w:hAnsi="Arial"/>
                <w:sz w:val="18"/>
                <w:szCs w:val="18"/>
                <w:color w:val="auto"/>
              </w:rPr>
              <w:t>1 (File No. 333</w:t>
            </w:r>
            <w:r>
              <w:rPr>
                <w:rFonts w:ascii="MS PGothic" w:cs="MS PGothic" w:eastAsia="MS PGothic" w:hAnsi="MS PGothic"/>
                <w:sz w:val="18"/>
                <w:szCs w:val="18"/>
                <w:color w:val="auto"/>
              </w:rPr>
              <w:t>‑</w:t>
            </w:r>
            <w:r>
              <w:rPr>
                <w:rFonts w:ascii="Arial" w:cs="Arial" w:eastAsia="Arial" w:hAnsi="Arial"/>
                <w:sz w:val="18"/>
                <w:szCs w:val="18"/>
                <w:color w:val="auto"/>
              </w:rPr>
              <w:t>177677) filed by the Registrant on January 13, 2012)</w:t>
            </w:r>
          </w:p>
        </w:tc>
        <w:tc>
          <w:tcPr>
            <w:tcW w:w="0" w:type="dxa"/>
            <w:vAlign w:val="bottom"/>
          </w:tcPr>
          <w:p>
            <w:pPr>
              <w:spacing w:after="0"/>
              <w:rPr>
                <w:sz w:val="1"/>
                <w:szCs w:val="1"/>
                <w:color w:val="auto"/>
              </w:rPr>
            </w:pPr>
          </w:p>
        </w:tc>
      </w:tr>
      <w:tr>
        <w:trPr>
          <w:trHeight w:val="416"/>
        </w:trPr>
        <w:tc>
          <w:tcPr>
            <w:tcW w:w="900" w:type="dxa"/>
            <w:vAlign w:val="bottom"/>
          </w:tcPr>
          <w:p>
            <w:pPr>
              <w:jc w:val="center"/>
              <w:ind w:left="393"/>
              <w:spacing w:after="0"/>
              <w:rPr>
                <w:sz w:val="20"/>
                <w:szCs w:val="20"/>
                <w:color w:val="auto"/>
              </w:rPr>
            </w:pPr>
            <w:r>
              <w:rPr>
                <w:rFonts w:ascii="Arial" w:cs="Arial" w:eastAsia="Arial" w:hAnsi="Arial"/>
                <w:sz w:val="18"/>
                <w:szCs w:val="18"/>
                <w:color w:val="auto"/>
                <w:w w:val="93"/>
              </w:rPr>
              <w:t>10.3#</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4"/>
              </w:rPr>
              <w:t>Form of Incentive Stock Option Agreement under 2012 Incentive Plan (incorporated by reference to</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w w:val="94"/>
              </w:rPr>
              <w:t>Exhibit 10.3 to Amendment No. 3 to the Registration Statement on Form S</w:t>
            </w:r>
            <w:r>
              <w:rPr>
                <w:rFonts w:ascii="MS PGothic" w:cs="MS PGothic" w:eastAsia="MS PGothic" w:hAnsi="MS PGothic"/>
                <w:sz w:val="18"/>
                <w:szCs w:val="18"/>
                <w:color w:val="auto"/>
                <w:w w:val="94"/>
              </w:rPr>
              <w:t>‑</w:t>
            </w:r>
            <w:r>
              <w:rPr>
                <w:rFonts w:ascii="Arial" w:cs="Arial" w:eastAsia="Arial" w:hAnsi="Arial"/>
                <w:sz w:val="18"/>
                <w:szCs w:val="18"/>
                <w:color w:val="auto"/>
                <w:w w:val="94"/>
              </w:rPr>
              <w:t>1 (File No. 333</w:t>
            </w:r>
            <w:r>
              <w:rPr>
                <w:rFonts w:ascii="MS PGothic" w:cs="MS PGothic" w:eastAsia="MS PGothic" w:hAnsi="MS PGothic"/>
                <w:sz w:val="18"/>
                <w:szCs w:val="18"/>
                <w:color w:val="auto"/>
                <w:w w:val="94"/>
              </w:rPr>
              <w:t>‑</w:t>
            </w:r>
            <w:r>
              <w:rPr>
                <w:rFonts w:ascii="Arial" w:cs="Arial" w:eastAsia="Arial" w:hAnsi="Arial"/>
                <w:sz w:val="18"/>
                <w:szCs w:val="18"/>
                <w:color w:val="auto"/>
                <w:w w:val="94"/>
              </w:rPr>
              <w:t>177677)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rPr>
              <w:t>filed by the Registrant on January 13, 2012)</w:t>
            </w:r>
          </w:p>
        </w:tc>
        <w:tc>
          <w:tcPr>
            <w:tcW w:w="0" w:type="dxa"/>
            <w:vAlign w:val="bottom"/>
          </w:tcPr>
          <w:p>
            <w:pPr>
              <w:spacing w:after="0"/>
              <w:rPr>
                <w:sz w:val="1"/>
                <w:szCs w:val="1"/>
                <w:color w:val="auto"/>
              </w:rPr>
            </w:pPr>
          </w:p>
        </w:tc>
      </w:tr>
      <w:tr>
        <w:trPr>
          <w:trHeight w:val="416"/>
        </w:trPr>
        <w:tc>
          <w:tcPr>
            <w:tcW w:w="900" w:type="dxa"/>
            <w:vAlign w:val="bottom"/>
          </w:tcPr>
          <w:p>
            <w:pPr>
              <w:jc w:val="center"/>
              <w:ind w:left="393"/>
              <w:spacing w:after="0"/>
              <w:rPr>
                <w:sz w:val="20"/>
                <w:szCs w:val="20"/>
                <w:color w:val="auto"/>
              </w:rPr>
            </w:pPr>
            <w:r>
              <w:rPr>
                <w:rFonts w:ascii="Arial" w:cs="Arial" w:eastAsia="Arial" w:hAnsi="Arial"/>
                <w:sz w:val="18"/>
                <w:szCs w:val="18"/>
                <w:color w:val="auto"/>
                <w:w w:val="93"/>
              </w:rPr>
              <w:t>10.4#</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3"/>
              </w:rPr>
              <w:t>Form of Nonqualified Stock Option Agreement under 2012 Incentive Plan (incorporated by reference</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w w:val="92"/>
              </w:rPr>
              <w:t>to Exhibit 10.4 to Amendment No. 3 to the Registration Statement on Form S</w:t>
            </w:r>
            <w:r>
              <w:rPr>
                <w:rFonts w:ascii="MS PGothic" w:cs="MS PGothic" w:eastAsia="MS PGothic" w:hAnsi="MS PGothic"/>
                <w:sz w:val="18"/>
                <w:szCs w:val="18"/>
                <w:color w:val="auto"/>
                <w:w w:val="92"/>
              </w:rPr>
              <w:t>‑</w:t>
            </w:r>
            <w:r>
              <w:rPr>
                <w:rFonts w:ascii="Arial" w:cs="Arial" w:eastAsia="Arial" w:hAnsi="Arial"/>
                <w:sz w:val="18"/>
                <w:szCs w:val="18"/>
                <w:color w:val="auto"/>
                <w:w w:val="92"/>
              </w:rPr>
              <w:t>1 (File No. 333</w:t>
            </w:r>
            <w:r>
              <w:rPr>
                <w:rFonts w:ascii="MS PGothic" w:cs="MS PGothic" w:eastAsia="MS PGothic" w:hAnsi="MS PGothic"/>
                <w:sz w:val="18"/>
                <w:szCs w:val="18"/>
                <w:color w:val="auto"/>
                <w:w w:val="92"/>
              </w:rPr>
              <w:t>‑</w:t>
            </w:r>
            <w:r>
              <w:rPr>
                <w:rFonts w:ascii="Arial" w:cs="Arial" w:eastAsia="Arial" w:hAnsi="Arial"/>
                <w:sz w:val="18"/>
                <w:szCs w:val="18"/>
                <w:color w:val="auto"/>
                <w:w w:val="92"/>
              </w:rPr>
              <w:t>177677)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rPr>
              <w:t>filed by the Registrant on January 13, 2012)</w:t>
            </w:r>
          </w:p>
        </w:tc>
        <w:tc>
          <w:tcPr>
            <w:tcW w:w="0" w:type="dxa"/>
            <w:vAlign w:val="bottom"/>
          </w:tcPr>
          <w:p>
            <w:pPr>
              <w:spacing w:after="0"/>
              <w:rPr>
                <w:sz w:val="1"/>
                <w:szCs w:val="1"/>
                <w:color w:val="auto"/>
              </w:rPr>
            </w:pPr>
          </w:p>
        </w:tc>
      </w:tr>
      <w:tr>
        <w:trPr>
          <w:trHeight w:val="416"/>
        </w:trPr>
        <w:tc>
          <w:tcPr>
            <w:tcW w:w="900" w:type="dxa"/>
            <w:vAlign w:val="bottom"/>
          </w:tcPr>
          <w:p>
            <w:pPr>
              <w:jc w:val="center"/>
              <w:ind w:left="393"/>
              <w:spacing w:after="0"/>
              <w:rPr>
                <w:sz w:val="20"/>
                <w:szCs w:val="20"/>
                <w:color w:val="auto"/>
              </w:rPr>
            </w:pPr>
            <w:r>
              <w:rPr>
                <w:rFonts w:ascii="Arial" w:cs="Arial" w:eastAsia="Arial" w:hAnsi="Arial"/>
                <w:sz w:val="18"/>
                <w:szCs w:val="18"/>
                <w:color w:val="auto"/>
                <w:w w:val="93"/>
              </w:rPr>
              <w:t>10.5#</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5"/>
              </w:rPr>
              <w:t>Form of Restricted Stock Unit Agreement under 2012 Incentive Plan (incorporated by reference to</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w w:val="93"/>
              </w:rPr>
              <w:t>Exhibit 10.16 to Amendment No. 3 to the Registration Statement on Form S</w:t>
            </w:r>
            <w:r>
              <w:rPr>
                <w:rFonts w:ascii="MS PGothic" w:cs="MS PGothic" w:eastAsia="MS PGothic" w:hAnsi="MS PGothic"/>
                <w:sz w:val="18"/>
                <w:szCs w:val="18"/>
                <w:color w:val="auto"/>
                <w:w w:val="93"/>
              </w:rPr>
              <w:t>‑</w:t>
            </w:r>
            <w:r>
              <w:rPr>
                <w:rFonts w:ascii="Arial" w:cs="Arial" w:eastAsia="Arial" w:hAnsi="Arial"/>
                <w:sz w:val="18"/>
                <w:szCs w:val="18"/>
                <w:color w:val="auto"/>
                <w:w w:val="93"/>
              </w:rPr>
              <w:t>1 (File No. 333</w:t>
            </w:r>
            <w:r>
              <w:rPr>
                <w:rFonts w:ascii="MS PGothic" w:cs="MS PGothic" w:eastAsia="MS PGothic" w:hAnsi="MS PGothic"/>
                <w:sz w:val="18"/>
                <w:szCs w:val="18"/>
                <w:color w:val="auto"/>
                <w:w w:val="93"/>
              </w:rPr>
              <w:t>‑</w:t>
            </w:r>
            <w:r>
              <w:rPr>
                <w:rFonts w:ascii="Arial" w:cs="Arial" w:eastAsia="Arial" w:hAnsi="Arial"/>
                <w:sz w:val="18"/>
                <w:szCs w:val="18"/>
                <w:color w:val="auto"/>
                <w:w w:val="93"/>
              </w:rPr>
              <w:t>177677)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rPr>
              <w:t>filed by the Registrant on January 13, 2012)</w:t>
            </w:r>
          </w:p>
        </w:tc>
        <w:tc>
          <w:tcPr>
            <w:tcW w:w="0" w:type="dxa"/>
            <w:vAlign w:val="bottom"/>
          </w:tcPr>
          <w:p>
            <w:pPr>
              <w:spacing w:after="0"/>
              <w:rPr>
                <w:sz w:val="1"/>
                <w:szCs w:val="1"/>
                <w:color w:val="auto"/>
              </w:rPr>
            </w:pPr>
          </w:p>
        </w:tc>
      </w:tr>
      <w:tr>
        <w:trPr>
          <w:trHeight w:val="416"/>
        </w:trPr>
        <w:tc>
          <w:tcPr>
            <w:tcW w:w="900" w:type="dxa"/>
            <w:vAlign w:val="bottom"/>
          </w:tcPr>
          <w:p>
            <w:pPr>
              <w:jc w:val="center"/>
              <w:ind w:left="393"/>
              <w:spacing w:after="0"/>
              <w:rPr>
                <w:sz w:val="20"/>
                <w:szCs w:val="20"/>
                <w:color w:val="auto"/>
              </w:rPr>
            </w:pPr>
            <w:r>
              <w:rPr>
                <w:rFonts w:ascii="Arial" w:cs="Arial" w:eastAsia="Arial" w:hAnsi="Arial"/>
                <w:sz w:val="18"/>
                <w:szCs w:val="18"/>
                <w:color w:val="auto"/>
                <w:w w:val="93"/>
              </w:rPr>
              <w:t>10.6#</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9"/>
              </w:rPr>
              <w:t>Amended and Restated Employment Agreement between the Registrant and Robert Forrester</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7"/>
              </w:rPr>
              <w:t>(incorporated by reference to Exhibit 10.5 to Amendment No. 3 to the Registration Statement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rPr>
              <w:t>Form S</w:t>
            </w:r>
            <w:r>
              <w:rPr>
                <w:rFonts w:ascii="MS PGothic" w:cs="MS PGothic" w:eastAsia="MS PGothic" w:hAnsi="MS PGothic"/>
                <w:sz w:val="18"/>
                <w:szCs w:val="18"/>
                <w:color w:val="auto"/>
              </w:rPr>
              <w:t>‑</w:t>
            </w:r>
            <w:r>
              <w:rPr>
                <w:rFonts w:ascii="Arial" w:cs="Arial" w:eastAsia="Arial" w:hAnsi="Arial"/>
                <w:sz w:val="18"/>
                <w:szCs w:val="18"/>
                <w:color w:val="auto"/>
              </w:rPr>
              <w:t>1 (File No. 333</w:t>
            </w:r>
            <w:r>
              <w:rPr>
                <w:rFonts w:ascii="MS PGothic" w:cs="MS PGothic" w:eastAsia="MS PGothic" w:hAnsi="MS PGothic"/>
                <w:sz w:val="18"/>
                <w:szCs w:val="18"/>
                <w:color w:val="auto"/>
              </w:rPr>
              <w:t>‑</w:t>
            </w:r>
            <w:r>
              <w:rPr>
                <w:rFonts w:ascii="Arial" w:cs="Arial" w:eastAsia="Arial" w:hAnsi="Arial"/>
                <w:sz w:val="18"/>
                <w:szCs w:val="18"/>
                <w:color w:val="auto"/>
              </w:rPr>
              <w:t>177677) filed by the Registrant on January 13, 2012)</w:t>
            </w:r>
          </w:p>
        </w:tc>
        <w:tc>
          <w:tcPr>
            <w:tcW w:w="0" w:type="dxa"/>
            <w:vAlign w:val="bottom"/>
          </w:tcPr>
          <w:p>
            <w:pPr>
              <w:spacing w:after="0"/>
              <w:rPr>
                <w:sz w:val="1"/>
                <w:szCs w:val="1"/>
                <w:color w:val="auto"/>
              </w:rPr>
            </w:pPr>
          </w:p>
        </w:tc>
      </w:tr>
      <w:tr>
        <w:trPr>
          <w:trHeight w:val="416"/>
        </w:trPr>
        <w:tc>
          <w:tcPr>
            <w:tcW w:w="900" w:type="dxa"/>
            <w:vAlign w:val="bottom"/>
          </w:tcPr>
          <w:p>
            <w:pPr>
              <w:jc w:val="center"/>
              <w:ind w:left="393"/>
              <w:spacing w:after="0"/>
              <w:rPr>
                <w:sz w:val="20"/>
                <w:szCs w:val="20"/>
                <w:color w:val="auto"/>
              </w:rPr>
            </w:pPr>
            <w:r>
              <w:rPr>
                <w:rFonts w:ascii="Arial" w:cs="Arial" w:eastAsia="Arial" w:hAnsi="Arial"/>
                <w:sz w:val="18"/>
                <w:szCs w:val="18"/>
                <w:color w:val="auto"/>
                <w:w w:val="93"/>
              </w:rPr>
              <w:t>10.7#</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8"/>
              </w:rPr>
              <w:t>Amended and Restated Employment Agreement between the Registrant and Jonathan Pachter</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7"/>
              </w:rPr>
              <w:t>(incorporated by reference to Exhibit 10.6 to Amendment No. 3 to the Registration Statement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rPr>
              <w:t>Form S</w:t>
            </w:r>
            <w:r>
              <w:rPr>
                <w:rFonts w:ascii="MS PGothic" w:cs="MS PGothic" w:eastAsia="MS PGothic" w:hAnsi="MS PGothic"/>
                <w:sz w:val="18"/>
                <w:szCs w:val="18"/>
                <w:color w:val="auto"/>
              </w:rPr>
              <w:t>‑</w:t>
            </w:r>
            <w:r>
              <w:rPr>
                <w:rFonts w:ascii="Arial" w:cs="Arial" w:eastAsia="Arial" w:hAnsi="Arial"/>
                <w:sz w:val="18"/>
                <w:szCs w:val="18"/>
                <w:color w:val="auto"/>
              </w:rPr>
              <w:t>1 (File No. 333</w:t>
            </w:r>
            <w:r>
              <w:rPr>
                <w:rFonts w:ascii="MS PGothic" w:cs="MS PGothic" w:eastAsia="MS PGothic" w:hAnsi="MS PGothic"/>
                <w:sz w:val="18"/>
                <w:szCs w:val="18"/>
                <w:color w:val="auto"/>
              </w:rPr>
              <w:t>‑</w:t>
            </w:r>
            <w:r>
              <w:rPr>
                <w:rFonts w:ascii="Arial" w:cs="Arial" w:eastAsia="Arial" w:hAnsi="Arial"/>
                <w:sz w:val="18"/>
                <w:szCs w:val="18"/>
                <w:color w:val="auto"/>
              </w:rPr>
              <w:t>177677) filed by the Registrant on January 13, 2012)</w:t>
            </w:r>
          </w:p>
        </w:tc>
        <w:tc>
          <w:tcPr>
            <w:tcW w:w="0" w:type="dxa"/>
            <w:vAlign w:val="bottom"/>
          </w:tcPr>
          <w:p>
            <w:pPr>
              <w:spacing w:after="0"/>
              <w:rPr>
                <w:sz w:val="1"/>
                <w:szCs w:val="1"/>
                <w:color w:val="auto"/>
              </w:rPr>
            </w:pPr>
          </w:p>
        </w:tc>
      </w:tr>
      <w:tr>
        <w:trPr>
          <w:trHeight w:val="416"/>
        </w:trPr>
        <w:tc>
          <w:tcPr>
            <w:tcW w:w="900" w:type="dxa"/>
            <w:vAlign w:val="bottom"/>
          </w:tcPr>
          <w:p>
            <w:pPr>
              <w:jc w:val="center"/>
              <w:ind w:left="393"/>
              <w:spacing w:after="0"/>
              <w:rPr>
                <w:sz w:val="20"/>
                <w:szCs w:val="20"/>
                <w:color w:val="auto"/>
              </w:rPr>
            </w:pPr>
            <w:r>
              <w:rPr>
                <w:rFonts w:ascii="Arial" w:cs="Arial" w:eastAsia="Arial" w:hAnsi="Arial"/>
                <w:sz w:val="18"/>
                <w:szCs w:val="18"/>
                <w:color w:val="auto"/>
                <w:w w:val="93"/>
              </w:rPr>
              <w:t>10.8#</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9"/>
              </w:rPr>
              <w:t>Form of Indemnification Agreement between the Registrant and each director (incorporated by</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w w:val="99"/>
              </w:rPr>
              <w:t>reference to Exhibit 10.7 to Amendment No. 1 to the Registration Statement on Form S</w:t>
            </w:r>
            <w:r>
              <w:rPr>
                <w:rFonts w:ascii="MS PGothic" w:cs="MS PGothic" w:eastAsia="MS PGothic" w:hAnsi="MS PGothic"/>
                <w:sz w:val="18"/>
                <w:szCs w:val="18"/>
                <w:color w:val="auto"/>
                <w:w w:val="99"/>
              </w:rPr>
              <w:t>‑</w:t>
            </w:r>
            <w:r>
              <w:rPr>
                <w:rFonts w:ascii="Arial" w:cs="Arial" w:eastAsia="Arial" w:hAnsi="Arial"/>
                <w:sz w:val="18"/>
                <w:szCs w:val="18"/>
                <w:color w:val="auto"/>
                <w:w w:val="99"/>
              </w:rPr>
              <w:t>1 (File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rPr>
              <w:t>No. 333</w:t>
            </w:r>
            <w:r>
              <w:rPr>
                <w:rFonts w:ascii="MS PGothic" w:cs="MS PGothic" w:eastAsia="MS PGothic" w:hAnsi="MS PGothic"/>
                <w:sz w:val="18"/>
                <w:szCs w:val="18"/>
                <w:color w:val="auto"/>
              </w:rPr>
              <w:t>‑</w:t>
            </w:r>
            <w:r>
              <w:rPr>
                <w:rFonts w:ascii="Arial" w:cs="Arial" w:eastAsia="Arial" w:hAnsi="Arial"/>
                <w:sz w:val="18"/>
                <w:szCs w:val="18"/>
                <w:color w:val="auto"/>
              </w:rPr>
              <w:t>177677) filed by the Registrant on December 7, 2011)</w:t>
            </w:r>
          </w:p>
        </w:tc>
        <w:tc>
          <w:tcPr>
            <w:tcW w:w="0" w:type="dxa"/>
            <w:vAlign w:val="bottom"/>
          </w:tcPr>
          <w:p>
            <w:pPr>
              <w:spacing w:after="0"/>
              <w:rPr>
                <w:sz w:val="1"/>
                <w:szCs w:val="1"/>
                <w:color w:val="auto"/>
              </w:rPr>
            </w:pPr>
          </w:p>
        </w:tc>
      </w:tr>
      <w:tr>
        <w:trPr>
          <w:trHeight w:val="416"/>
        </w:trPr>
        <w:tc>
          <w:tcPr>
            <w:tcW w:w="900" w:type="dxa"/>
            <w:vAlign w:val="bottom"/>
          </w:tcPr>
          <w:p>
            <w:pPr>
              <w:jc w:val="center"/>
              <w:ind w:left="393"/>
              <w:spacing w:after="0"/>
              <w:rPr>
                <w:sz w:val="20"/>
                <w:szCs w:val="20"/>
                <w:color w:val="auto"/>
              </w:rPr>
            </w:pPr>
            <w:r>
              <w:rPr>
                <w:rFonts w:ascii="Arial" w:cs="Arial" w:eastAsia="Arial" w:hAnsi="Arial"/>
                <w:sz w:val="18"/>
                <w:szCs w:val="18"/>
                <w:color w:val="auto"/>
                <w:w w:val="85"/>
              </w:rPr>
              <w:t>10.9</w:t>
            </w:r>
          </w:p>
        </w:tc>
        <w:tc>
          <w:tcPr>
            <w:tcW w:w="7820" w:type="dxa"/>
            <w:vAlign w:val="bottom"/>
            <w:gridSpan w:val="2"/>
          </w:tcPr>
          <w:p>
            <w:pPr>
              <w:ind w:left="360"/>
              <w:spacing w:after="0"/>
              <w:rPr>
                <w:sz w:val="20"/>
                <w:szCs w:val="20"/>
                <w:color w:val="auto"/>
              </w:rPr>
            </w:pPr>
            <w:r>
              <w:rPr>
                <w:rFonts w:ascii="Arial" w:cs="Arial" w:eastAsia="Arial" w:hAnsi="Arial"/>
                <w:sz w:val="18"/>
                <w:szCs w:val="18"/>
                <w:color w:val="auto"/>
                <w:w w:val="96"/>
              </w:rPr>
              <w:t>Lease Agreement, dated April 15, 2014, between the Registrant and Intercontinental Fund III 117</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w w:val="96"/>
              </w:rPr>
              <w:t>Kendrick Street LLC (incorporated by reference to Exhibit 10.1 to the Current Report on Form 8</w:t>
            </w:r>
            <w:r>
              <w:rPr>
                <w:rFonts w:ascii="MS PGothic" w:cs="MS PGothic" w:eastAsia="MS PGothic" w:hAnsi="MS PGothic"/>
                <w:sz w:val="18"/>
                <w:szCs w:val="18"/>
                <w:color w:val="auto"/>
                <w:w w:val="96"/>
              </w:rPr>
              <w:t>‑</w:t>
            </w:r>
            <w:r>
              <w:rPr>
                <w:rFonts w:ascii="Arial" w:cs="Arial" w:eastAsia="Arial" w:hAnsi="Arial"/>
                <w:sz w:val="18"/>
                <w:szCs w:val="18"/>
                <w:color w:val="auto"/>
                <w:w w:val="96"/>
              </w:rPr>
              <w:t>K</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7820" w:type="dxa"/>
            <w:vAlign w:val="bottom"/>
            <w:gridSpan w:val="2"/>
          </w:tcPr>
          <w:p>
            <w:pPr>
              <w:ind w:left="360"/>
              <w:spacing w:after="0" w:line="207" w:lineRule="exact"/>
              <w:rPr>
                <w:sz w:val="20"/>
                <w:szCs w:val="20"/>
                <w:color w:val="auto"/>
              </w:rPr>
            </w:pPr>
            <w:r>
              <w:rPr>
                <w:rFonts w:ascii="Arial" w:cs="Arial" w:eastAsia="Arial" w:hAnsi="Arial"/>
                <w:sz w:val="18"/>
                <w:szCs w:val="18"/>
                <w:color w:val="auto"/>
              </w:rPr>
              <w:t>(File No. 001</w:t>
            </w:r>
            <w:r>
              <w:rPr>
                <w:rFonts w:ascii="MS PGothic" w:cs="MS PGothic" w:eastAsia="MS PGothic" w:hAnsi="MS PGothic"/>
                <w:sz w:val="18"/>
                <w:szCs w:val="18"/>
                <w:color w:val="auto"/>
              </w:rPr>
              <w:t>‑</w:t>
            </w:r>
            <w:r>
              <w:rPr>
                <w:rFonts w:ascii="Arial" w:cs="Arial" w:eastAsia="Arial" w:hAnsi="Arial"/>
                <w:sz w:val="18"/>
                <w:szCs w:val="18"/>
                <w:color w:val="auto"/>
              </w:rPr>
              <w:t>35403, filed by the Registrant on April 18, 2014)</w:t>
            </w:r>
          </w:p>
        </w:tc>
        <w:tc>
          <w:tcPr>
            <w:tcW w:w="0" w:type="dxa"/>
            <w:vAlign w:val="bottom"/>
          </w:tcPr>
          <w:p>
            <w:pPr>
              <w:spacing w:after="0"/>
              <w:rPr>
                <w:sz w:val="1"/>
                <w:szCs w:val="1"/>
                <w:color w:val="auto"/>
              </w:rPr>
            </w:pPr>
          </w:p>
        </w:tc>
      </w:tr>
      <w:tr>
        <w:trPr>
          <w:trHeight w:val="861"/>
        </w:trPr>
        <w:tc>
          <w:tcPr>
            <w:tcW w:w="900" w:type="dxa"/>
            <w:vAlign w:val="bottom"/>
          </w:tcPr>
          <w:p>
            <w:pPr>
              <w:spacing w:after="0"/>
              <w:rPr>
                <w:sz w:val="24"/>
                <w:szCs w:val="24"/>
                <w:color w:val="auto"/>
              </w:rPr>
            </w:pPr>
          </w:p>
        </w:tc>
        <w:tc>
          <w:tcPr>
            <w:tcW w:w="7820" w:type="dxa"/>
            <w:vAlign w:val="bottom"/>
            <w:gridSpan w:val="2"/>
          </w:tcPr>
          <w:p>
            <w:pPr>
              <w:ind w:left="33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28"/>
        </w:trPr>
        <w:tc>
          <w:tcPr>
            <w:tcW w:w="9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24" w:name="page125"/>
    <w:bookmarkEnd w:id="124"/>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1420" w:right="219" w:hanging="855"/>
        <w:spacing w:after="0" w:line="219" w:lineRule="exact"/>
        <w:tabs>
          <w:tab w:leader="none" w:pos="14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License Agreement dated May 5, 2008 by and between The Scripps Research Institute and Poniard Pharmaceuticals, Inc. (Registrant assumed the rights and obligations of Encarta, Inc., which previously assumed the rights and obligations from Poniard Pharmaceuticals, Inc., on February 21, 2014) (incorporated by reference to Exhibit 10.1 of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 No. 001</w:t>
      </w:r>
      <w:r>
        <w:rPr>
          <w:rFonts w:ascii="MS PGothic" w:cs="MS PGothic" w:eastAsia="MS PGothic" w:hAnsi="MS PGothic"/>
          <w:sz w:val="18"/>
          <w:szCs w:val="18"/>
          <w:color w:val="auto"/>
        </w:rPr>
        <w:t>‑</w:t>
      </w:r>
      <w:r>
        <w:rPr>
          <w:rFonts w:ascii="Arial" w:cs="Arial" w:eastAsia="Arial" w:hAnsi="Arial"/>
          <w:sz w:val="18"/>
          <w:szCs w:val="18"/>
          <w:color w:val="auto"/>
        </w:rPr>
        <w:t>35403) filed by the Registrant on May 8, 2014)</w:t>
      </w:r>
    </w:p>
    <w:p>
      <w:pPr>
        <w:spacing w:after="0" w:line="201" w:lineRule="exact"/>
        <w:rPr>
          <w:sz w:val="20"/>
          <w:szCs w:val="20"/>
          <w:color w:val="auto"/>
        </w:rPr>
      </w:pPr>
    </w:p>
    <w:p>
      <w:pPr>
        <w:jc w:val="both"/>
        <w:ind w:left="1420" w:right="159" w:hanging="849"/>
        <w:spacing w:after="0" w:line="220" w:lineRule="exact"/>
        <w:tabs>
          <w:tab w:leader="none" w:pos="14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Letter Agreement, dated October 1, 2010, between the Registrant and the Broad Institute (incorporated by reference to Exhibit 10.11 to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(File No. 333</w:t>
      </w:r>
      <w:r>
        <w:rPr>
          <w:rFonts w:ascii="MS PGothic" w:cs="MS PGothic" w:eastAsia="MS PGothic" w:hAnsi="MS PGothic"/>
          <w:sz w:val="18"/>
          <w:szCs w:val="18"/>
          <w:color w:val="auto"/>
        </w:rPr>
        <w:t>‑</w:t>
      </w:r>
      <w:r>
        <w:rPr>
          <w:rFonts w:ascii="Arial" w:cs="Arial" w:eastAsia="Arial" w:hAnsi="Arial"/>
          <w:sz w:val="18"/>
          <w:szCs w:val="18"/>
          <w:color w:val="auto"/>
        </w:rPr>
        <w:t>177677) filed by the Registrant on November 3, 2011)</w:t>
      </w:r>
    </w:p>
    <w:p>
      <w:pPr>
        <w:spacing w:after="0" w:line="202" w:lineRule="exact"/>
        <w:rPr>
          <w:sz w:val="20"/>
          <w:szCs w:val="20"/>
          <w:color w:val="auto"/>
        </w:rPr>
      </w:pPr>
    </w:p>
    <w:p>
      <w:pPr>
        <w:jc w:val="both"/>
        <w:ind w:left="1420" w:right="159" w:hanging="855"/>
        <w:spacing w:after="0" w:line="220" w:lineRule="exact"/>
        <w:tabs>
          <w:tab w:leader="none" w:pos="14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Letter Agreement, dated August 20, 2010, between the Registrant and Eric Lander, Ph.D. (incorporated by reference to Exhibit 10.13 to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(File No. 333</w:t>
      </w:r>
      <w:r>
        <w:rPr>
          <w:rFonts w:ascii="MS PGothic" w:cs="MS PGothic" w:eastAsia="MS PGothic" w:hAnsi="MS PGothic"/>
          <w:sz w:val="18"/>
          <w:szCs w:val="18"/>
          <w:color w:val="auto"/>
        </w:rPr>
        <w:t>‑</w:t>
      </w:r>
      <w:r>
        <w:rPr>
          <w:rFonts w:ascii="Arial" w:cs="Arial" w:eastAsia="Arial" w:hAnsi="Arial"/>
          <w:sz w:val="18"/>
          <w:szCs w:val="18"/>
          <w:color w:val="auto"/>
        </w:rPr>
        <w:t>177677) filed by the Registrant on November 3, 2011)</w:t>
      </w:r>
    </w:p>
    <w:p>
      <w:pPr>
        <w:spacing w:after="0" w:line="202" w:lineRule="exact"/>
        <w:rPr>
          <w:sz w:val="20"/>
          <w:szCs w:val="20"/>
          <w:color w:val="auto"/>
        </w:rPr>
      </w:pPr>
    </w:p>
    <w:p>
      <w:pPr>
        <w:ind w:left="1420" w:right="379" w:hanging="855"/>
        <w:spacing w:after="0" w:line="220" w:lineRule="exact"/>
        <w:tabs>
          <w:tab w:leader="none" w:pos="14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Letter Agreement, dated July 30, 2010, as amended October 18, 2010, between the Registrant and Robert Weinberg, Ph.D. (incorporated by reference to Exhibit 10.14 to the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(File No. 333</w:t>
      </w:r>
      <w:r>
        <w:rPr>
          <w:rFonts w:ascii="MS PGothic" w:cs="MS PGothic" w:eastAsia="MS PGothic" w:hAnsi="MS PGothic"/>
          <w:sz w:val="17"/>
          <w:szCs w:val="17"/>
          <w:color w:val="auto"/>
        </w:rPr>
        <w:t>‑</w:t>
      </w:r>
      <w:r>
        <w:rPr>
          <w:rFonts w:ascii="Arial" w:cs="Arial" w:eastAsia="Arial" w:hAnsi="Arial"/>
          <w:sz w:val="17"/>
          <w:szCs w:val="17"/>
          <w:color w:val="auto"/>
        </w:rPr>
        <w:t>177677) filed by the Registrant on November 3, 2011)</w:t>
      </w:r>
    </w:p>
    <w:p>
      <w:pPr>
        <w:spacing w:after="0" w:line="202" w:lineRule="exact"/>
        <w:rPr>
          <w:sz w:val="20"/>
          <w:szCs w:val="20"/>
          <w:color w:val="auto"/>
        </w:rPr>
      </w:pPr>
    </w:p>
    <w:p>
      <w:pPr>
        <w:ind w:left="1420" w:right="179" w:hanging="855"/>
        <w:spacing w:after="0" w:line="220" w:lineRule="exact"/>
        <w:tabs>
          <w:tab w:leader="none" w:pos="14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Employment Agreement, dated March 1, 2012, between the Registrant and Daniel Paterson (incorporated by reference to Exhibit 10.18 to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 No. 001</w:t>
      </w:r>
      <w:r>
        <w:rPr>
          <w:rFonts w:ascii="MS PGothic" w:cs="MS PGothic" w:eastAsia="MS PGothic" w:hAnsi="MS PGothic"/>
          <w:sz w:val="18"/>
          <w:szCs w:val="18"/>
          <w:color w:val="auto"/>
        </w:rPr>
        <w:t>‑</w:t>
      </w:r>
      <w:r>
        <w:rPr>
          <w:rFonts w:ascii="Arial" w:cs="Arial" w:eastAsia="Arial" w:hAnsi="Arial"/>
          <w:sz w:val="18"/>
          <w:szCs w:val="18"/>
          <w:color w:val="auto"/>
        </w:rPr>
        <w:t>35403) filed by the Registrant on March 26, 2013)</w:t>
      </w:r>
    </w:p>
    <w:p>
      <w:pPr>
        <w:spacing w:after="0" w:line="202" w:lineRule="exact"/>
        <w:rPr>
          <w:sz w:val="20"/>
          <w:szCs w:val="20"/>
          <w:color w:val="auto"/>
        </w:rPr>
      </w:pPr>
    </w:p>
    <w:p>
      <w:pPr>
        <w:jc w:val="both"/>
        <w:ind w:left="1420" w:right="479" w:hanging="855"/>
        <w:spacing w:after="0" w:line="220" w:lineRule="exact"/>
        <w:tabs>
          <w:tab w:leader="none" w:pos="14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Asset Purchase Agreement, dated May 10, 2012, by and between the Registrant and S*Bio Pte Ltd. (incorporated by reference to Exhibit 10.1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 No. 001</w:t>
      </w:r>
      <w:r>
        <w:rPr>
          <w:rFonts w:ascii="MS PGothic" w:cs="MS PGothic" w:eastAsia="MS PGothic" w:hAnsi="MS PGothic"/>
          <w:sz w:val="18"/>
          <w:szCs w:val="18"/>
          <w:color w:val="auto"/>
        </w:rPr>
        <w:t>‑</w:t>
      </w:r>
      <w:r>
        <w:rPr>
          <w:rFonts w:ascii="Arial" w:cs="Arial" w:eastAsia="Arial" w:hAnsi="Arial"/>
          <w:sz w:val="18"/>
          <w:szCs w:val="18"/>
          <w:color w:val="auto"/>
        </w:rPr>
        <w:t>35403) filed by the Registrant on August 13, 2012)</w:t>
      </w:r>
    </w:p>
    <w:p>
      <w:pPr>
        <w:spacing w:after="0" w:line="202" w:lineRule="exact"/>
        <w:rPr>
          <w:sz w:val="20"/>
          <w:szCs w:val="20"/>
          <w:color w:val="auto"/>
        </w:rPr>
      </w:pPr>
    </w:p>
    <w:p>
      <w:pPr>
        <w:ind w:left="1420" w:right="339" w:hanging="855"/>
        <w:spacing w:after="0" w:line="220" w:lineRule="exact"/>
        <w:tabs>
          <w:tab w:leader="none" w:pos="14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License Agreement, dated July 11, 2012, by and between the Registrant and Pfizer Inc. (incorporated by reference to Exhibit 10.2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 No. 001</w:t>
      </w:r>
      <w:r>
        <w:rPr>
          <w:rFonts w:ascii="MS PGothic" w:cs="MS PGothic" w:eastAsia="MS PGothic" w:hAnsi="MS PGothic"/>
          <w:sz w:val="18"/>
          <w:szCs w:val="18"/>
          <w:color w:val="auto"/>
        </w:rPr>
        <w:t>‑</w:t>
      </w:r>
      <w:r>
        <w:rPr>
          <w:rFonts w:ascii="Arial" w:cs="Arial" w:eastAsia="Arial" w:hAnsi="Arial"/>
          <w:sz w:val="18"/>
          <w:szCs w:val="18"/>
          <w:color w:val="auto"/>
        </w:rPr>
        <w:t>35403) filed by the Registrant on August 13, 2012)</w:t>
      </w:r>
    </w:p>
    <w:p>
      <w:pPr>
        <w:spacing w:after="0" w:line="202" w:lineRule="exact"/>
        <w:rPr>
          <w:sz w:val="20"/>
          <w:szCs w:val="20"/>
          <w:color w:val="auto"/>
        </w:rPr>
      </w:pPr>
    </w:p>
    <w:p>
      <w:pPr>
        <w:ind w:left="1420" w:right="159" w:hanging="855"/>
        <w:spacing w:after="0" w:line="220" w:lineRule="exact"/>
        <w:tabs>
          <w:tab w:leader="none" w:pos="14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Amendment to Form of Restricted Stock Unit Agreement under 2012 Incentive Plan (incorporated by reference to Exhibit 10.25 to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 No. 001</w:t>
      </w:r>
      <w:r>
        <w:rPr>
          <w:rFonts w:ascii="MS PGothic" w:cs="MS PGothic" w:eastAsia="MS PGothic" w:hAnsi="MS PGothic"/>
          <w:sz w:val="18"/>
          <w:szCs w:val="18"/>
          <w:color w:val="auto"/>
        </w:rPr>
        <w:t>‑</w:t>
      </w:r>
      <w:r>
        <w:rPr>
          <w:rFonts w:ascii="Arial" w:cs="Arial" w:eastAsia="Arial" w:hAnsi="Arial"/>
          <w:sz w:val="18"/>
          <w:szCs w:val="18"/>
          <w:color w:val="auto"/>
        </w:rPr>
        <w:t>35403) filed by the Registrant on March 26, 2013)</w:t>
      </w:r>
    </w:p>
    <w:p>
      <w:pPr>
        <w:spacing w:after="0" w:line="202" w:lineRule="exact"/>
        <w:rPr>
          <w:sz w:val="20"/>
          <w:szCs w:val="20"/>
          <w:color w:val="auto"/>
        </w:rPr>
      </w:pPr>
    </w:p>
    <w:p>
      <w:pPr>
        <w:ind w:left="1420" w:right="499" w:hanging="855"/>
        <w:spacing w:after="0" w:line="220" w:lineRule="exact"/>
        <w:tabs>
          <w:tab w:leader="none" w:pos="14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Letter Agreement, dated June 6, 2013, by and between the Registrant and Robert Forrester (incorporated by reference to Exhibit 10.2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 No. 001</w:t>
      </w:r>
      <w:r>
        <w:rPr>
          <w:rFonts w:ascii="MS PGothic" w:cs="MS PGothic" w:eastAsia="MS PGothic" w:hAnsi="MS PGothic"/>
          <w:sz w:val="18"/>
          <w:szCs w:val="18"/>
          <w:color w:val="auto"/>
        </w:rPr>
        <w:t>‑</w:t>
      </w:r>
      <w:r>
        <w:rPr>
          <w:rFonts w:ascii="Arial" w:cs="Arial" w:eastAsia="Arial" w:hAnsi="Arial"/>
          <w:sz w:val="18"/>
          <w:szCs w:val="18"/>
          <w:color w:val="auto"/>
        </w:rPr>
        <w:t>35403) filed by the Registrant on August 13, 2013)</w:t>
      </w:r>
    </w:p>
    <w:p>
      <w:pPr>
        <w:spacing w:after="0" w:line="202" w:lineRule="exact"/>
        <w:rPr>
          <w:sz w:val="20"/>
          <w:szCs w:val="20"/>
          <w:color w:val="auto"/>
        </w:rPr>
      </w:pPr>
    </w:p>
    <w:p>
      <w:pPr>
        <w:ind w:left="1420" w:right="179" w:hanging="855"/>
        <w:spacing w:after="0" w:line="220" w:lineRule="exact"/>
        <w:tabs>
          <w:tab w:leader="none" w:pos="14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Letter Agreement, dated December 7, 2012, by and between the Registrant and Pfizer Inc. (incorporated by reference to Exhibit 10.31 to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 No. 001</w:t>
      </w:r>
      <w:r>
        <w:rPr>
          <w:rFonts w:ascii="MS PGothic" w:cs="MS PGothic" w:eastAsia="MS PGothic" w:hAnsi="MS PGothic"/>
          <w:sz w:val="18"/>
          <w:szCs w:val="18"/>
          <w:color w:val="auto"/>
        </w:rPr>
        <w:t>‑</w:t>
      </w:r>
      <w:r>
        <w:rPr>
          <w:rFonts w:ascii="Arial" w:cs="Arial" w:eastAsia="Arial" w:hAnsi="Arial"/>
          <w:sz w:val="18"/>
          <w:szCs w:val="18"/>
          <w:color w:val="auto"/>
        </w:rPr>
        <w:t>35403) filed by the Registrant on March 6, 2014)</w:t>
      </w:r>
    </w:p>
    <w:p>
      <w:pPr>
        <w:spacing w:after="0" w:line="202" w:lineRule="exact"/>
        <w:rPr>
          <w:sz w:val="20"/>
          <w:szCs w:val="20"/>
          <w:color w:val="auto"/>
        </w:rPr>
      </w:pPr>
    </w:p>
    <w:p>
      <w:pPr>
        <w:jc w:val="both"/>
        <w:ind w:left="1420" w:right="679" w:hanging="855"/>
        <w:spacing w:after="0" w:line="220" w:lineRule="exact"/>
        <w:tabs>
          <w:tab w:leader="none" w:pos="14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7"/>
          <w:szCs w:val="17"/>
          <w:color w:val="auto"/>
        </w:rPr>
        <w:t>Amended and Restated Employment Agreement, dated November 22, 2013, by and between the Registrant and Robert Forrester (incorporated by reference to Exhibit 10.32 to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 No. 001</w:t>
      </w:r>
      <w:r>
        <w:rPr>
          <w:rFonts w:ascii="MS PGothic" w:cs="MS PGothic" w:eastAsia="MS PGothic" w:hAnsi="MS PGothic"/>
          <w:sz w:val="17"/>
          <w:szCs w:val="17"/>
          <w:color w:val="auto"/>
        </w:rPr>
        <w:t>‑</w:t>
      </w:r>
      <w:r>
        <w:rPr>
          <w:rFonts w:ascii="Arial" w:cs="Arial" w:eastAsia="Arial" w:hAnsi="Arial"/>
          <w:sz w:val="17"/>
          <w:szCs w:val="17"/>
          <w:color w:val="auto"/>
        </w:rPr>
        <w:t>35403) filed by the Registrant on March 6, 2014)</w:t>
      </w:r>
    </w:p>
    <w:p>
      <w:pPr>
        <w:spacing w:after="0" w:line="202" w:lineRule="exact"/>
        <w:rPr>
          <w:sz w:val="20"/>
          <w:szCs w:val="20"/>
          <w:color w:val="auto"/>
        </w:rPr>
      </w:pPr>
    </w:p>
    <w:p>
      <w:pPr>
        <w:ind w:left="1420" w:right="259" w:hanging="855"/>
        <w:spacing w:after="0" w:line="223" w:lineRule="exact"/>
        <w:tabs>
          <w:tab w:leader="none" w:pos="14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Letter Agreement with Robert Forrester, dated June 6, 2013 (incorporated by reference to Exhibit 10.2 to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(File No. 001</w:t>
      </w:r>
      <w:r>
        <w:rPr>
          <w:rFonts w:ascii="MS PGothic" w:cs="MS PGothic" w:eastAsia="MS PGothic" w:hAnsi="MS PGothic"/>
          <w:sz w:val="16"/>
          <w:szCs w:val="16"/>
          <w:color w:val="auto"/>
        </w:rPr>
        <w:t>‑</w:t>
      </w:r>
      <w:r>
        <w:rPr>
          <w:rFonts w:ascii="Arial" w:cs="Arial" w:eastAsia="Arial" w:hAnsi="Arial"/>
          <w:sz w:val="16"/>
          <w:szCs w:val="16"/>
          <w:color w:val="auto"/>
        </w:rPr>
        <w:t>35403) filed by the Registrant on August 13, 2013)</w:t>
      </w:r>
    </w:p>
    <w:p>
      <w:pPr>
        <w:spacing w:after="0" w:line="201" w:lineRule="exact"/>
        <w:rPr>
          <w:sz w:val="20"/>
          <w:szCs w:val="20"/>
          <w:color w:val="auto"/>
        </w:rPr>
      </w:pPr>
    </w:p>
    <w:p>
      <w:pPr>
        <w:ind w:left="1420" w:right="499" w:hanging="855"/>
        <w:spacing w:after="0" w:line="220" w:lineRule="exact"/>
        <w:tabs>
          <w:tab w:leader="none" w:pos="14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Employment Agreement between the Registrant and Gregory Berk (incorporated by reference to Exhibit 10.2 to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 No. 001</w:t>
      </w:r>
      <w:r>
        <w:rPr>
          <w:rFonts w:ascii="MS PGothic" w:cs="MS PGothic" w:eastAsia="MS PGothic" w:hAnsi="MS PGothic"/>
          <w:sz w:val="18"/>
          <w:szCs w:val="18"/>
          <w:color w:val="auto"/>
        </w:rPr>
        <w:t>‑</w:t>
      </w:r>
      <w:r>
        <w:rPr>
          <w:rFonts w:ascii="Arial" w:cs="Arial" w:eastAsia="Arial" w:hAnsi="Arial"/>
          <w:sz w:val="18"/>
          <w:szCs w:val="18"/>
          <w:color w:val="auto"/>
        </w:rPr>
        <w:t>35403) filed by the Registrant on May 9, 2016)</w:t>
      </w:r>
    </w:p>
    <w:p>
      <w:pPr>
        <w:spacing w:after="0" w:line="20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Separation Agreement between the Registrant and Gregory Berk, effective January 19, 2017</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5" w:name="page126"/>
    <w:bookmarkEnd w:id="125"/>
    <w:p>
      <w:pPr>
        <w:ind w:left="16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10.24*#</w:t>
            </w:r>
          </w:p>
        </w:tc>
        <w:tc>
          <w:tcPr>
            <w:tcW w:w="7580" w:type="dxa"/>
            <w:vAlign w:val="bottom"/>
          </w:tcPr>
          <w:p>
            <w:pPr>
              <w:ind w:left="180"/>
              <w:spacing w:after="0"/>
              <w:rPr>
                <w:sz w:val="20"/>
                <w:szCs w:val="20"/>
                <w:color w:val="auto"/>
              </w:rPr>
            </w:pPr>
            <w:r>
              <w:rPr>
                <w:rFonts w:ascii="Arial" w:cs="Arial" w:eastAsia="Arial" w:hAnsi="Arial"/>
                <w:sz w:val="18"/>
                <w:szCs w:val="18"/>
                <w:color w:val="auto"/>
              </w:rPr>
              <w:t>Consulting Agreement between the Registrant and Gregory Berk, effective January 20, 2017</w:t>
            </w:r>
          </w:p>
        </w:tc>
      </w:tr>
      <w:tr>
        <w:trPr>
          <w:trHeight w:val="416"/>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10.25*‡</w:t>
            </w:r>
          </w:p>
        </w:tc>
        <w:tc>
          <w:tcPr>
            <w:tcW w:w="7580" w:type="dxa"/>
            <w:vAlign w:val="bottom"/>
          </w:tcPr>
          <w:p>
            <w:pPr>
              <w:ind w:left="180"/>
              <w:spacing w:after="0"/>
              <w:rPr>
                <w:sz w:val="20"/>
                <w:szCs w:val="20"/>
                <w:color w:val="auto"/>
              </w:rPr>
            </w:pPr>
            <w:r>
              <w:rPr>
                <w:rFonts w:ascii="Arial" w:cs="Arial" w:eastAsia="Arial" w:hAnsi="Arial"/>
                <w:sz w:val="18"/>
                <w:szCs w:val="18"/>
                <w:color w:val="auto"/>
                <w:w w:val="90"/>
              </w:rPr>
              <w:t>Amended and Restated License Agreement, dated November 1, 2016, by and between the Registrant</w:t>
            </w:r>
          </w:p>
        </w:tc>
      </w:tr>
      <w:tr>
        <w:trPr>
          <w:trHeight w:val="230"/>
        </w:trPr>
        <w:tc>
          <w:tcPr>
            <w:tcW w:w="960" w:type="dxa"/>
            <w:vAlign w:val="bottom"/>
          </w:tcPr>
          <w:p>
            <w:pPr>
              <w:spacing w:after="0"/>
              <w:rPr>
                <w:sz w:val="19"/>
                <w:szCs w:val="19"/>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and Infinity Pharmaceuticals, Inc.</w:t>
            </w:r>
          </w:p>
        </w:tc>
      </w:tr>
      <w:tr>
        <w:trPr>
          <w:trHeight w:val="416"/>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10.26*</w:t>
            </w:r>
          </w:p>
        </w:tc>
        <w:tc>
          <w:tcPr>
            <w:tcW w:w="7580" w:type="dxa"/>
            <w:vAlign w:val="bottom"/>
          </w:tcPr>
          <w:p>
            <w:pPr>
              <w:ind w:left="180"/>
              <w:spacing w:after="0"/>
              <w:rPr>
                <w:sz w:val="20"/>
                <w:szCs w:val="20"/>
                <w:color w:val="auto"/>
              </w:rPr>
            </w:pPr>
            <w:r>
              <w:rPr>
                <w:rFonts w:ascii="Arial" w:cs="Arial" w:eastAsia="Arial" w:hAnsi="Arial"/>
                <w:sz w:val="18"/>
                <w:szCs w:val="18"/>
                <w:color w:val="auto"/>
                <w:w w:val="93"/>
              </w:rPr>
              <w:t>Loan and Security Agreement, dated March 21, 2017, by and between the Registrant and Hercules</w:t>
            </w:r>
          </w:p>
        </w:tc>
      </w:tr>
      <w:tr>
        <w:trPr>
          <w:trHeight w:val="230"/>
        </w:trPr>
        <w:tc>
          <w:tcPr>
            <w:tcW w:w="960" w:type="dxa"/>
            <w:vAlign w:val="bottom"/>
          </w:tcPr>
          <w:p>
            <w:pPr>
              <w:spacing w:after="0"/>
              <w:rPr>
                <w:sz w:val="19"/>
                <w:szCs w:val="19"/>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Capital, Inc.</w:t>
            </w:r>
          </w:p>
        </w:tc>
      </w:tr>
      <w:tr>
        <w:trPr>
          <w:trHeight w:val="431"/>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21.1*</w:t>
            </w:r>
          </w:p>
        </w:tc>
        <w:tc>
          <w:tcPr>
            <w:tcW w:w="7580" w:type="dxa"/>
            <w:vAlign w:val="bottom"/>
          </w:tcPr>
          <w:p>
            <w:pPr>
              <w:ind w:left="180"/>
              <w:spacing w:after="0"/>
              <w:rPr>
                <w:sz w:val="20"/>
                <w:szCs w:val="20"/>
                <w:color w:val="auto"/>
              </w:rPr>
            </w:pPr>
            <w:r>
              <w:rPr>
                <w:rFonts w:ascii="Arial" w:cs="Arial" w:eastAsia="Arial" w:hAnsi="Arial"/>
                <w:sz w:val="18"/>
                <w:szCs w:val="18"/>
                <w:color w:val="auto"/>
              </w:rPr>
              <w:t>Subsidiaries of the Registrant</w:t>
            </w:r>
          </w:p>
        </w:tc>
      </w:tr>
      <w:tr>
        <w:trPr>
          <w:trHeight w:val="431"/>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23.1*</w:t>
            </w:r>
          </w:p>
        </w:tc>
        <w:tc>
          <w:tcPr>
            <w:tcW w:w="7580" w:type="dxa"/>
            <w:vAlign w:val="bottom"/>
          </w:tcPr>
          <w:p>
            <w:pPr>
              <w:ind w:left="180"/>
              <w:spacing w:after="0"/>
              <w:rPr>
                <w:sz w:val="20"/>
                <w:szCs w:val="20"/>
                <w:color w:val="auto"/>
              </w:rPr>
            </w:pPr>
            <w:r>
              <w:rPr>
                <w:rFonts w:ascii="Arial" w:cs="Arial" w:eastAsia="Arial" w:hAnsi="Arial"/>
                <w:sz w:val="18"/>
                <w:szCs w:val="18"/>
                <w:color w:val="auto"/>
              </w:rPr>
              <w:t>Consent of Ernst &amp; Young LLP</w:t>
            </w:r>
          </w:p>
        </w:tc>
      </w:tr>
      <w:tr>
        <w:trPr>
          <w:trHeight w:val="431"/>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7580" w:type="dxa"/>
            <w:vAlign w:val="bottom"/>
          </w:tcPr>
          <w:p>
            <w:pPr>
              <w:ind w:left="180"/>
              <w:spacing w:after="0" w:line="207" w:lineRule="exact"/>
              <w:rPr>
                <w:sz w:val="20"/>
                <w:szCs w:val="20"/>
                <w:color w:val="auto"/>
              </w:rPr>
            </w:pPr>
            <w:r>
              <w:rPr>
                <w:rFonts w:ascii="Arial" w:cs="Arial" w:eastAsia="Arial" w:hAnsi="Arial"/>
                <w:sz w:val="18"/>
                <w:szCs w:val="18"/>
                <w:color w:val="auto"/>
              </w:rPr>
              <w:t>Certification of the Chief Executive Officer pursuant to Exchange Act Rule 13a</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431"/>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7580" w:type="dxa"/>
            <w:vAlign w:val="bottom"/>
          </w:tcPr>
          <w:p>
            <w:pPr>
              <w:ind w:left="180"/>
              <w:spacing w:after="0" w:line="207" w:lineRule="exact"/>
              <w:rPr>
                <w:sz w:val="20"/>
                <w:szCs w:val="20"/>
                <w:color w:val="auto"/>
              </w:rPr>
            </w:pPr>
            <w:r>
              <w:rPr>
                <w:rFonts w:ascii="Arial" w:cs="Arial" w:eastAsia="Arial" w:hAnsi="Arial"/>
                <w:sz w:val="18"/>
                <w:szCs w:val="18"/>
                <w:color w:val="auto"/>
              </w:rPr>
              <w:t>Certification of the Vice President, Finance pursuant to Exchange Act Rule 13a</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416"/>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32.1*</w:t>
            </w:r>
          </w:p>
        </w:tc>
        <w:tc>
          <w:tcPr>
            <w:tcW w:w="7580" w:type="dxa"/>
            <w:vAlign w:val="bottom"/>
          </w:tcPr>
          <w:p>
            <w:pPr>
              <w:ind w:left="18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w:t>
            </w:r>
          </w:p>
        </w:tc>
      </w:tr>
      <w:tr>
        <w:trPr>
          <w:trHeight w:val="230"/>
        </w:trPr>
        <w:tc>
          <w:tcPr>
            <w:tcW w:w="960" w:type="dxa"/>
            <w:vAlign w:val="bottom"/>
          </w:tcPr>
          <w:p>
            <w:pPr>
              <w:spacing w:after="0"/>
              <w:rPr>
                <w:sz w:val="19"/>
                <w:szCs w:val="19"/>
                <w:color w:val="auto"/>
              </w:rPr>
            </w:pPr>
          </w:p>
        </w:tc>
        <w:tc>
          <w:tcPr>
            <w:tcW w:w="7580" w:type="dxa"/>
            <w:vAlign w:val="bottom"/>
          </w:tcPr>
          <w:p>
            <w:pPr>
              <w:ind w:left="180"/>
              <w:spacing w:after="0" w:line="207" w:lineRule="exact"/>
              <w:rPr>
                <w:sz w:val="20"/>
                <w:szCs w:val="20"/>
                <w:color w:val="auto"/>
              </w:rPr>
            </w:pPr>
            <w:r>
              <w:rPr>
                <w:rFonts w:ascii="Arial" w:cs="Arial" w:eastAsia="Arial" w:hAnsi="Arial"/>
                <w:sz w:val="18"/>
                <w:szCs w:val="18"/>
                <w:color w:val="auto"/>
              </w:rPr>
              <w:t>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w:t>
            </w:r>
          </w:p>
        </w:tc>
      </w:tr>
      <w:tr>
        <w:trPr>
          <w:trHeight w:val="416"/>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7580" w:type="dxa"/>
            <w:vAlign w:val="bottom"/>
          </w:tcPr>
          <w:p>
            <w:pPr>
              <w:ind w:left="180"/>
              <w:spacing w:after="0"/>
              <w:rPr>
                <w:sz w:val="20"/>
                <w:szCs w:val="20"/>
                <w:color w:val="auto"/>
              </w:rPr>
            </w:pPr>
            <w:r>
              <w:rPr>
                <w:rFonts w:ascii="Arial" w:cs="Arial" w:eastAsia="Arial" w:hAnsi="Arial"/>
                <w:sz w:val="18"/>
                <w:szCs w:val="18"/>
                <w:color w:val="auto"/>
                <w:w w:val="89"/>
              </w:rPr>
              <w:t>Certification of the Vice President, Finance pursuant to 18 U.S.C. Section 1350, as adopted pursuant to</w:t>
            </w:r>
          </w:p>
        </w:tc>
      </w:tr>
      <w:tr>
        <w:trPr>
          <w:trHeight w:val="230"/>
        </w:trPr>
        <w:tc>
          <w:tcPr>
            <w:tcW w:w="960" w:type="dxa"/>
            <w:vAlign w:val="bottom"/>
          </w:tcPr>
          <w:p>
            <w:pPr>
              <w:spacing w:after="0"/>
              <w:rPr>
                <w:sz w:val="19"/>
                <w:szCs w:val="19"/>
                <w:color w:val="auto"/>
              </w:rPr>
            </w:pPr>
          </w:p>
        </w:tc>
        <w:tc>
          <w:tcPr>
            <w:tcW w:w="7580" w:type="dxa"/>
            <w:vAlign w:val="bottom"/>
          </w:tcPr>
          <w:p>
            <w:pPr>
              <w:ind w:left="180"/>
              <w:spacing w:after="0" w:line="207" w:lineRule="exact"/>
              <w:rPr>
                <w:sz w:val="20"/>
                <w:szCs w:val="20"/>
                <w:color w:val="auto"/>
              </w:rPr>
            </w:pPr>
            <w:r>
              <w:rPr>
                <w:rFonts w:ascii="Arial" w:cs="Arial" w:eastAsia="Arial" w:hAnsi="Arial"/>
                <w:sz w:val="18"/>
                <w:szCs w:val="18"/>
                <w:color w:val="auto"/>
              </w:rPr>
              <w:t>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w:t>
            </w:r>
          </w:p>
        </w:tc>
      </w:tr>
      <w:tr>
        <w:trPr>
          <w:trHeight w:val="431"/>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99.1*</w:t>
            </w:r>
          </w:p>
        </w:tc>
        <w:tc>
          <w:tcPr>
            <w:tcW w:w="7580" w:type="dxa"/>
            <w:vAlign w:val="bottom"/>
          </w:tcPr>
          <w:p>
            <w:pPr>
              <w:ind w:left="180"/>
              <w:spacing w:after="0"/>
              <w:rPr>
                <w:sz w:val="20"/>
                <w:szCs w:val="20"/>
                <w:color w:val="auto"/>
              </w:rPr>
            </w:pPr>
            <w:r>
              <w:rPr>
                <w:rFonts w:ascii="Arial" w:cs="Arial" w:eastAsia="Arial" w:hAnsi="Arial"/>
                <w:sz w:val="18"/>
                <w:szCs w:val="18"/>
                <w:color w:val="auto"/>
              </w:rPr>
              <w:t>Press Release issued by Verastem, Inc. on March 23, 2017</w:t>
            </w:r>
          </w:p>
        </w:tc>
      </w:tr>
      <w:tr>
        <w:trPr>
          <w:trHeight w:val="431"/>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75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431"/>
        </w:trPr>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101.SCH*</w:t>
            </w:r>
          </w:p>
        </w:tc>
        <w:tc>
          <w:tcPr>
            <w:tcW w:w="75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431"/>
        </w:trPr>
        <w:tc>
          <w:tcPr>
            <w:tcW w:w="960" w:type="dxa"/>
            <w:vAlign w:val="bottom"/>
          </w:tcPr>
          <w:p>
            <w:pPr>
              <w:jc w:val="right"/>
              <w:ind w:right="90"/>
              <w:spacing w:after="0"/>
              <w:rPr>
                <w:sz w:val="20"/>
                <w:szCs w:val="20"/>
                <w:color w:val="auto"/>
              </w:rPr>
            </w:pPr>
            <w:r>
              <w:rPr>
                <w:rFonts w:ascii="Arial" w:cs="Arial" w:eastAsia="Arial" w:hAnsi="Arial"/>
                <w:sz w:val="18"/>
                <w:szCs w:val="18"/>
                <w:color w:val="auto"/>
                <w:w w:val="98"/>
              </w:rPr>
              <w:t>101.CAL*</w:t>
            </w:r>
          </w:p>
        </w:tc>
        <w:tc>
          <w:tcPr>
            <w:tcW w:w="75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1"/>
        </w:trPr>
        <w:tc>
          <w:tcPr>
            <w:tcW w:w="960" w:type="dxa"/>
            <w:vAlign w:val="bottom"/>
          </w:tcPr>
          <w:p>
            <w:pPr>
              <w:jc w:val="right"/>
              <w:ind w:right="90"/>
              <w:spacing w:after="0"/>
              <w:rPr>
                <w:sz w:val="20"/>
                <w:szCs w:val="20"/>
                <w:color w:val="auto"/>
              </w:rPr>
            </w:pPr>
            <w:r>
              <w:rPr>
                <w:rFonts w:ascii="Arial" w:cs="Arial" w:eastAsia="Arial" w:hAnsi="Arial"/>
                <w:sz w:val="18"/>
                <w:szCs w:val="18"/>
                <w:color w:val="auto"/>
                <w:w w:val="97"/>
              </w:rPr>
              <w:t>101.DEF*</w:t>
            </w:r>
          </w:p>
        </w:tc>
        <w:tc>
          <w:tcPr>
            <w:tcW w:w="75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1"/>
        </w:trPr>
        <w:tc>
          <w:tcPr>
            <w:tcW w:w="960" w:type="dxa"/>
            <w:vAlign w:val="bottom"/>
          </w:tcPr>
          <w:p>
            <w:pPr>
              <w:jc w:val="right"/>
              <w:ind w:right="90"/>
              <w:spacing w:after="0"/>
              <w:rPr>
                <w:sz w:val="20"/>
                <w:szCs w:val="20"/>
                <w:color w:val="auto"/>
              </w:rPr>
            </w:pPr>
            <w:r>
              <w:rPr>
                <w:rFonts w:ascii="Arial" w:cs="Arial" w:eastAsia="Arial" w:hAnsi="Arial"/>
                <w:sz w:val="18"/>
                <w:szCs w:val="18"/>
                <w:color w:val="auto"/>
                <w:w w:val="99"/>
              </w:rPr>
              <w:t>101.LAB*</w:t>
            </w:r>
          </w:p>
        </w:tc>
        <w:tc>
          <w:tcPr>
            <w:tcW w:w="75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431"/>
        </w:trPr>
        <w:tc>
          <w:tcPr>
            <w:tcW w:w="960" w:type="dxa"/>
            <w:vAlign w:val="bottom"/>
          </w:tcPr>
          <w:p>
            <w:pPr>
              <w:jc w:val="right"/>
              <w:ind w:right="90"/>
              <w:spacing w:after="0"/>
              <w:rPr>
                <w:sz w:val="20"/>
                <w:szCs w:val="20"/>
                <w:color w:val="auto"/>
              </w:rPr>
            </w:pPr>
            <w:r>
              <w:rPr>
                <w:rFonts w:ascii="Arial" w:cs="Arial" w:eastAsia="Arial" w:hAnsi="Arial"/>
                <w:sz w:val="18"/>
                <w:szCs w:val="18"/>
                <w:color w:val="auto"/>
                <w:w w:val="96"/>
              </w:rPr>
              <w:t>101.PRE*</w:t>
            </w:r>
          </w:p>
        </w:tc>
        <w:tc>
          <w:tcPr>
            <w:tcW w:w="75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68580</wp:posOffset>
            </wp:positionV>
            <wp:extent cx="13843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194" w:lineRule="exact"/>
        <w:rPr>
          <w:sz w:val="20"/>
          <w:szCs w:val="20"/>
          <w:color w:val="auto"/>
        </w:rPr>
      </w:pPr>
    </w:p>
    <w:p>
      <w:pPr>
        <w:ind w:left="460" w:hanging="310"/>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4" w:lineRule="exact"/>
        <w:rPr>
          <w:sz w:val="20"/>
          <w:szCs w:val="20"/>
          <w:color w:val="auto"/>
        </w:rPr>
      </w:pPr>
    </w:p>
    <w:p>
      <w:pPr>
        <w:ind w:left="480" w:right="259" w:hanging="330"/>
        <w:spacing w:after="0" w:line="276" w:lineRule="auto"/>
        <w:tabs>
          <w:tab w:leader="none" w:pos="4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the exhibit. Confidential materials omitted and filed separately with the Securities and Exchange Commission.</w:t>
      </w:r>
    </w:p>
    <w:p>
      <w:pPr>
        <w:spacing w:after="0" w:line="170" w:lineRule="exact"/>
        <w:rPr>
          <w:sz w:val="20"/>
          <w:szCs w:val="20"/>
          <w:color w:val="auto"/>
        </w:rPr>
      </w:pPr>
    </w:p>
    <w:p>
      <w:pPr>
        <w:ind w:left="480" w:right="359" w:hanging="330"/>
        <w:spacing w:after="0" w:line="220" w:lineRule="exact"/>
        <w:tabs>
          <w:tab w:leader="none" w:pos="4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Confidential treatment requested under 17 C.F.R. §200.80(b)(4) and Rule 24b</w:t>
      </w:r>
      <w:r>
        <w:rPr>
          <w:rFonts w:ascii="MS PGothic" w:cs="MS PGothic" w:eastAsia="MS PGothic" w:hAnsi="MS PGothic"/>
          <w:sz w:val="18"/>
          <w:szCs w:val="18"/>
          <w:color w:val="auto"/>
        </w:rPr>
        <w:t>‑</w:t>
      </w:r>
      <w:r>
        <w:rPr>
          <w:rFonts w:ascii="Arial" w:cs="Arial" w:eastAsia="Arial" w:hAnsi="Arial"/>
          <w:sz w:val="18"/>
          <w:szCs w:val="18"/>
          <w:color w:val="auto"/>
        </w:rPr>
        <w:t>2. The confidential portions of this exhibit have been omitted and are marked accordingly. The confidential portions have been provided separately to the SEC pursuant to the confidential treatment request.</w:t>
      </w:r>
    </w:p>
    <w:p>
      <w:pPr>
        <w:spacing w:after="0" w:line="202" w:lineRule="exact"/>
        <w:rPr>
          <w:sz w:val="20"/>
          <w:szCs w:val="20"/>
          <w:color w:val="auto"/>
        </w:rPr>
      </w:pPr>
    </w:p>
    <w:p>
      <w:pPr>
        <w:ind w:left="460" w:hanging="310"/>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82550</wp:posOffset>
            </wp:positionV>
            <wp:extent cx="55378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10.23</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January 19, 2017</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Gregory Berk, M.D.</w:t>
      </w:r>
    </w:p>
    <w:p>
      <w:pPr>
        <w:spacing w:after="0" w:line="236" w:lineRule="auto"/>
        <w:rPr>
          <w:sz w:val="20"/>
          <w:szCs w:val="20"/>
          <w:color w:val="auto"/>
        </w:rPr>
      </w:pPr>
      <w:r>
        <w:rPr>
          <w:rFonts w:ascii="Arial" w:cs="Arial" w:eastAsia="Arial" w:hAnsi="Arial"/>
          <w:sz w:val="22"/>
          <w:szCs w:val="22"/>
          <w:color w:val="auto"/>
        </w:rPr>
        <w:t>133 Claybrook Road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Dover, MA 02030</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Dear Greg:</w:t>
      </w:r>
    </w:p>
    <w:p>
      <w:pPr>
        <w:spacing w:after="0" w:line="205"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20"/>
          <w:szCs w:val="20"/>
          <w:color w:val="auto"/>
        </w:rPr>
        <w:t xml:space="preserve">As we have discussed, your employment with Verastem, Inc. (the </w:t>
      </w:r>
      <w:r>
        <w:rPr>
          <w:rFonts w:ascii="Arial" w:cs="Arial" w:eastAsia="Arial" w:hAnsi="Arial"/>
          <w:sz w:val="20"/>
          <w:szCs w:val="20"/>
          <w:u w:val="single" w:color="auto"/>
          <w:color w:val="auto"/>
        </w:rPr>
        <w:t>Company</w:t>
      </w:r>
      <w:r>
        <w:rPr>
          <w:rFonts w:ascii="Arial" w:cs="Arial" w:eastAsia="Arial" w:hAnsi="Arial"/>
          <w:sz w:val="20"/>
          <w:szCs w:val="20"/>
          <w:color w:val="auto"/>
        </w:rPr>
        <w:t>”) has terminated, effective January 19, 2017 (the “</w:t>
      </w:r>
      <w:r>
        <w:rPr>
          <w:rFonts w:ascii="Arial" w:cs="Arial" w:eastAsia="Arial" w:hAnsi="Arial"/>
          <w:sz w:val="20"/>
          <w:szCs w:val="20"/>
          <w:u w:val="single" w:color="auto"/>
          <w:color w:val="auto"/>
        </w:rPr>
        <w:t>Separation Date</w:t>
      </w:r>
      <w:r>
        <w:rPr>
          <w:rFonts w:ascii="Arial" w:cs="Arial" w:eastAsia="Arial" w:hAnsi="Arial"/>
          <w:sz w:val="20"/>
          <w:szCs w:val="20"/>
          <w:color w:val="auto"/>
        </w:rPr>
        <w:t>”). The purpose of this letter (the “</w:t>
      </w:r>
      <w:r>
        <w:rPr>
          <w:rFonts w:ascii="Arial" w:cs="Arial" w:eastAsia="Arial" w:hAnsi="Arial"/>
          <w:sz w:val="20"/>
          <w:szCs w:val="20"/>
          <w:u w:val="single" w:color="auto"/>
          <w:color w:val="auto"/>
        </w:rPr>
        <w:t>Agreement</w:t>
      </w:r>
      <w:r>
        <w:rPr>
          <w:rFonts w:ascii="Arial" w:cs="Arial" w:eastAsia="Arial" w:hAnsi="Arial"/>
          <w:sz w:val="20"/>
          <w:szCs w:val="20"/>
          <w:color w:val="auto"/>
        </w:rPr>
        <w:t>”) is to confirm the terms concerning your separation from employment, as follows:</w:t>
      </w:r>
    </w:p>
    <w:p>
      <w:pPr>
        <w:spacing w:after="0" w:line="146" w:lineRule="exact"/>
        <w:rPr>
          <w:sz w:val="20"/>
          <w:szCs w:val="20"/>
          <w:color w:val="auto"/>
        </w:rPr>
      </w:pPr>
    </w:p>
    <w:p>
      <w:pPr>
        <w:jc w:val="both"/>
        <w:ind w:firstLine="2"/>
        <w:spacing w:after="0" w:line="282" w:lineRule="auto"/>
        <w:tabs>
          <w:tab w:leader="none" w:pos="686"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Final Salary and Vacation Pay. </w:t>
      </w:r>
      <w:r>
        <w:rPr>
          <w:rFonts w:ascii="Arial" w:cs="Arial" w:eastAsia="Arial" w:hAnsi="Arial"/>
          <w:sz w:val="19"/>
          <w:szCs w:val="19"/>
          <w:color w:val="auto"/>
        </w:rPr>
        <w:t>In signing this Agreement, you acknowledge that you have</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pay for all work you have performed for the Company through the Separation Date, to the extent not previously paid. Since, in accordance with Company policy, you have no accrued vacation days as of the Separation Date, you will not receive any pay for such vacation time. You will receive the payments described in this Section 1 regardless of whether or not you elect to sign this Agreement.</w:t>
      </w:r>
    </w:p>
    <w:p>
      <w:pPr>
        <w:spacing w:after="0" w:line="142" w:lineRule="exact"/>
        <w:rPr>
          <w:rFonts w:ascii="Arial" w:cs="Arial" w:eastAsia="Arial" w:hAnsi="Arial"/>
          <w:sz w:val="19"/>
          <w:szCs w:val="19"/>
          <w:b w:val="1"/>
          <w:bCs w:val="1"/>
          <w:color w:val="auto"/>
        </w:rPr>
      </w:pPr>
    </w:p>
    <w:p>
      <w:pPr>
        <w:jc w:val="both"/>
        <w:ind w:firstLine="2"/>
        <w:spacing w:after="0" w:line="265" w:lineRule="auto"/>
        <w:tabs>
          <w:tab w:leader="none" w:pos="673"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Severance Benefits. </w:t>
      </w:r>
      <w:r>
        <w:rPr>
          <w:rFonts w:ascii="Arial" w:cs="Arial" w:eastAsia="Arial" w:hAnsi="Arial"/>
          <w:sz w:val="20"/>
          <w:szCs w:val="20"/>
          <w:color w:val="auto"/>
        </w:rPr>
        <w:t>In consideration of your acceptance of this Agreement and subject to your</w:t>
      </w:r>
      <w:r>
        <w:rPr>
          <w:rFonts w:ascii="Arial" w:cs="Arial" w:eastAsia="Arial" w:hAnsi="Arial"/>
          <w:sz w:val="20"/>
          <w:szCs w:val="20"/>
          <w:b w:val="1"/>
          <w:bCs w:val="1"/>
          <w:color w:val="auto"/>
        </w:rPr>
        <w:t xml:space="preserve"> </w:t>
      </w:r>
      <w:r>
        <w:rPr>
          <w:rFonts w:ascii="Arial" w:cs="Arial" w:eastAsia="Arial" w:hAnsi="Arial"/>
          <w:sz w:val="20"/>
          <w:szCs w:val="20"/>
          <w:color w:val="auto"/>
        </w:rPr>
        <w:t>meeting in full your obligations hereunder and under the Employee Agreement (as defined below), and in full satisfaction of any rights that you have under the Employment Agreement between you and the Company, dated as of April 15, 2016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the Company will provide you with the following severance benefits:</w:t>
      </w:r>
    </w:p>
    <w:p>
      <w:pPr>
        <w:spacing w:after="0" w:line="162" w:lineRule="exact"/>
        <w:rPr>
          <w:rFonts w:ascii="Arial" w:cs="Arial" w:eastAsia="Arial" w:hAnsi="Arial"/>
          <w:sz w:val="20"/>
          <w:szCs w:val="20"/>
          <w:b w:val="1"/>
          <w:bCs w:val="1"/>
          <w:color w:val="auto"/>
        </w:rPr>
      </w:pPr>
    </w:p>
    <w:p>
      <w:pPr>
        <w:jc w:val="both"/>
        <w:ind w:firstLine="648"/>
        <w:spacing w:after="0" w:line="239" w:lineRule="auto"/>
        <w:tabs>
          <w:tab w:leader="none" w:pos="1307"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Company will pay you the gross amount of One Hundred Fifty-One Thousand Eight Hundred Seventy-Five Dollars ($151,875) on the Company’s next regular payday for executives that follows the Effective Date.</w:t>
      </w:r>
    </w:p>
    <w:p>
      <w:pPr>
        <w:spacing w:after="0" w:line="186" w:lineRule="exact"/>
        <w:rPr>
          <w:rFonts w:ascii="Arial" w:cs="Arial" w:eastAsia="Arial" w:hAnsi="Arial"/>
          <w:sz w:val="22"/>
          <w:szCs w:val="22"/>
          <w:color w:val="auto"/>
        </w:rPr>
      </w:pPr>
    </w:p>
    <w:p>
      <w:pPr>
        <w:jc w:val="both"/>
        <w:ind w:firstLine="648"/>
        <w:spacing w:after="0" w:line="261" w:lineRule="auto"/>
        <w:tabs>
          <w:tab w:leader="none" w:pos="1332"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Company will also pay you the aggregate gross amount of One Hundred Fifty-One Thousand Eight Hundred Seventy-Five Dollars ($151,875) in substantially equal payments over a period of six (6) months following the Separation Date. Payments will be made through the Company’s payroll system and on the Company’s regular payroll schedule, and will begin on the Company’s next regular payday for executives that follows the Effective Date. The first payment made will be retroactive to the day immediately following the Separation Date.</w:t>
      </w:r>
    </w:p>
    <w:p>
      <w:pPr>
        <w:spacing w:after="0" w:line="168" w:lineRule="exact"/>
        <w:rPr>
          <w:rFonts w:ascii="Arial" w:cs="Arial" w:eastAsia="Arial" w:hAnsi="Arial"/>
          <w:sz w:val="20"/>
          <w:szCs w:val="20"/>
          <w:color w:val="auto"/>
        </w:rPr>
      </w:pPr>
    </w:p>
    <w:p>
      <w:pPr>
        <w:jc w:val="both"/>
        <w:ind w:firstLine="648"/>
        <w:spacing w:after="0" w:line="237" w:lineRule="auto"/>
        <w:tabs>
          <w:tab w:leader="none" w:pos="1307" w:val="left"/>
        </w:tabs>
        <w:numPr>
          <w:ilvl w:val="1"/>
          <w:numId w:val="59"/>
        </w:numPr>
        <w:rPr>
          <w:rFonts w:ascii="Arial" w:cs="Arial" w:eastAsia="Arial" w:hAnsi="Arial"/>
          <w:sz w:val="22"/>
          <w:szCs w:val="22"/>
          <w:color w:val="auto"/>
        </w:rPr>
      </w:pPr>
      <w:r>
        <w:rPr>
          <w:rFonts w:ascii="Arial" w:cs="Arial" w:eastAsia="Arial" w:hAnsi="Arial"/>
          <w:sz w:val="22"/>
          <w:szCs w:val="22"/>
          <w:color w:val="auto"/>
        </w:rPr>
        <w:t>For the avoidance of doubt, to the extent it has not already been paid as of the Separation Date, the Company will pay you your bonus for 2016 in the gross amount of One Hundred Six Thousand Six Hundred Sixty-Six Dollars and Sixty-Seven Cents ($106,666.67) promptly following the Effective Date (as defined below).</w:t>
      </w:r>
    </w:p>
    <w:p>
      <w:pPr>
        <w:spacing w:after="0" w:line="185" w:lineRule="exact"/>
        <w:rPr>
          <w:rFonts w:ascii="Arial" w:cs="Arial" w:eastAsia="Arial" w:hAnsi="Arial"/>
          <w:sz w:val="22"/>
          <w:szCs w:val="22"/>
          <w:color w:val="auto"/>
        </w:rPr>
      </w:pPr>
    </w:p>
    <w:p>
      <w:pPr>
        <w:jc w:val="both"/>
        <w:ind w:firstLine="648"/>
        <w:spacing w:after="0" w:line="261" w:lineRule="auto"/>
        <w:tabs>
          <w:tab w:leader="none" w:pos="1319" w:val="left"/>
        </w:tabs>
        <w:numPr>
          <w:ilvl w:val="1"/>
          <w:numId w:val="59"/>
        </w:numPr>
        <w:rPr>
          <w:rFonts w:ascii="Arial" w:cs="Arial" w:eastAsia="Arial" w:hAnsi="Arial"/>
          <w:sz w:val="20"/>
          <w:szCs w:val="20"/>
          <w:color w:val="auto"/>
        </w:rPr>
      </w:pPr>
      <w:r>
        <w:rPr>
          <w:rFonts w:ascii="Arial" w:cs="Arial" w:eastAsia="Arial" w:hAnsi="Arial"/>
          <w:sz w:val="20"/>
          <w:szCs w:val="20"/>
          <w:color w:val="auto"/>
        </w:rPr>
        <w:t>If you are enrolled in the Company’s group medical and/or dental plans on the Separation Date, you may elect to continue your participation and that of your eligible dependents in those plans for a period of time under the federal law known as “</w:t>
      </w:r>
      <w:r>
        <w:rPr>
          <w:rFonts w:ascii="Arial" w:cs="Arial" w:eastAsia="Arial" w:hAnsi="Arial"/>
          <w:sz w:val="20"/>
          <w:szCs w:val="20"/>
          <w:u w:val="single" w:color="auto"/>
          <w:color w:val="auto"/>
        </w:rPr>
        <w:t>COBRA</w:t>
      </w:r>
      <w:r>
        <w:rPr>
          <w:rFonts w:ascii="Arial" w:cs="Arial" w:eastAsia="Arial" w:hAnsi="Arial"/>
          <w:sz w:val="20"/>
          <w:szCs w:val="20"/>
          <w:color w:val="auto"/>
        </w:rPr>
        <w:t>.” You may make such an election whether or not you accept this Agreement. However, if you accept this Agreement and you timely elect to continue your participation and that of your eligible dependents in the plans, the Company will add to the payments described in Section 2(b)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576008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7" w:name="page128"/>
    <w:bookmarkEnd w:id="127"/>
    <w:p>
      <w:pPr>
        <w:jc w:val="both"/>
        <w:spacing w:after="0" w:line="256" w:lineRule="auto"/>
        <w:rPr>
          <w:sz w:val="20"/>
          <w:szCs w:val="20"/>
          <w:color w:val="auto"/>
        </w:rPr>
      </w:pPr>
      <w:r>
        <w:rPr>
          <w:rFonts w:ascii="Arial" w:cs="Arial" w:eastAsia="Arial" w:hAnsi="Arial"/>
          <w:sz w:val="20"/>
          <w:szCs w:val="20"/>
          <w:color w:val="auto"/>
        </w:rPr>
        <w:t>amounts equal to the premium cost of that participation until the earlier of the conclusion of nine months following the Separation Date or the date that you become eligible to enroll in the health (or, if applicable, dental) plan of a new employer. Payments will begin on the Company’s next regular payday for executives that follows the expiration of sixty (60) calendar days from the Separation Date. The first payment will be retroactive to the day immediately following the Separation Date. If the Company’s contributions end before your entitlement to coverage under COBRA concludes, you may continue such coverage by paying the full premium cost yourself. Notwithstanding the foregoing, in the event that the Company’s payment of the COBRA premium contributions, as described under this Section 2(b), would subject the Company to any tax or penalty under the Patient Protection and Affordable Care Act (as amended from time to time, the “</w:t>
      </w:r>
      <w:r>
        <w:rPr>
          <w:rFonts w:ascii="Arial" w:cs="Arial" w:eastAsia="Arial" w:hAnsi="Arial"/>
          <w:sz w:val="20"/>
          <w:szCs w:val="20"/>
          <w:u w:val="single" w:color="auto"/>
          <w:color w:val="auto"/>
        </w:rPr>
        <w:t>ACA</w:t>
      </w:r>
      <w:r>
        <w:rPr>
          <w:rFonts w:ascii="Arial" w:cs="Arial" w:eastAsia="Arial" w:hAnsi="Arial"/>
          <w:sz w:val="20"/>
          <w:szCs w:val="20"/>
          <w:color w:val="auto"/>
        </w:rPr>
        <w:t>”) or Section 105(h) of the Internal Revenue Code of 1986, as amended (“</w:t>
      </w:r>
      <w:r>
        <w:rPr>
          <w:rFonts w:ascii="Arial" w:cs="Arial" w:eastAsia="Arial" w:hAnsi="Arial"/>
          <w:sz w:val="20"/>
          <w:szCs w:val="20"/>
          <w:u w:val="single" w:color="auto"/>
          <w:color w:val="auto"/>
        </w:rPr>
        <w:t>Section 105(h)</w:t>
      </w:r>
      <w:r>
        <w:rPr>
          <w:rFonts w:ascii="Arial" w:cs="Arial" w:eastAsia="Arial" w:hAnsi="Arial"/>
          <w:sz w:val="20"/>
          <w:szCs w:val="20"/>
          <w:color w:val="auto"/>
        </w:rPr>
        <w:t>”), or applicable regulations or guidance issued under the ACA or Section 105(h), you and the Company agree to work together in good faith and enter into a substitute arrangement pursuant to which the Company will not be subjected or exposed to taxes or penalties and you will be provided with payments or benefits with an economic value that is no less than the economic value of the premium costs described herein.</w:t>
      </w:r>
    </w:p>
    <w:p>
      <w:pPr>
        <w:spacing w:after="0" w:line="163" w:lineRule="exact"/>
        <w:rPr>
          <w:sz w:val="20"/>
          <w:szCs w:val="20"/>
          <w:color w:val="auto"/>
        </w:rPr>
      </w:pPr>
    </w:p>
    <w:p>
      <w:pPr>
        <w:ind w:left="680" w:hanging="678"/>
        <w:spacing w:after="0"/>
        <w:tabs>
          <w:tab w:leader="none" w:pos="68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Acknowledgement of Full Payment and Withholding.</w:t>
      </w:r>
    </w:p>
    <w:p>
      <w:pPr>
        <w:spacing w:after="0" w:line="210" w:lineRule="exact"/>
        <w:rPr>
          <w:rFonts w:ascii="Arial" w:cs="Arial" w:eastAsia="Arial" w:hAnsi="Arial"/>
          <w:sz w:val="22"/>
          <w:szCs w:val="22"/>
          <w:b w:val="1"/>
          <w:bCs w:val="1"/>
          <w:color w:val="auto"/>
        </w:rPr>
      </w:pPr>
    </w:p>
    <w:p>
      <w:pPr>
        <w:jc w:val="both"/>
        <w:ind w:firstLine="648"/>
        <w:spacing w:after="0" w:line="235" w:lineRule="auto"/>
        <w:tabs>
          <w:tab w:leader="none" w:pos="1307" w:val="left"/>
        </w:tabs>
        <w:numPr>
          <w:ilvl w:val="1"/>
          <w:numId w:val="60"/>
        </w:numPr>
        <w:rPr>
          <w:rFonts w:ascii="Arial" w:cs="Arial" w:eastAsia="Arial" w:hAnsi="Arial"/>
          <w:sz w:val="22"/>
          <w:szCs w:val="22"/>
          <w:color w:val="auto"/>
        </w:rPr>
      </w:pPr>
      <w:r>
        <w:rPr>
          <w:rFonts w:ascii="Arial" w:cs="Arial" w:eastAsia="Arial" w:hAnsi="Arial"/>
          <w:sz w:val="22"/>
          <w:szCs w:val="22"/>
          <w:color w:val="auto"/>
        </w:rPr>
        <w:t>You acknowledge and agree that the payments provided under Section 1, 2, and 4 of this Agreement are in complete satisfaction of any and all compensation and benefits due to you from the Company, whether for services provided to the Company or otherwise, through the Separation Date and that, except as expressly provided under this Agreement, no further compensation or benefits are owed or will be paid or provided to you.</w:t>
      </w:r>
    </w:p>
    <w:p>
      <w:pPr>
        <w:spacing w:after="0" w:line="188" w:lineRule="exact"/>
        <w:rPr>
          <w:rFonts w:ascii="Arial" w:cs="Arial" w:eastAsia="Arial" w:hAnsi="Arial"/>
          <w:sz w:val="22"/>
          <w:szCs w:val="22"/>
          <w:color w:val="auto"/>
        </w:rPr>
      </w:pPr>
    </w:p>
    <w:p>
      <w:pPr>
        <w:jc w:val="both"/>
        <w:ind w:firstLine="648"/>
        <w:spacing w:after="0" w:line="239" w:lineRule="auto"/>
        <w:tabs>
          <w:tab w:leader="none" w:pos="1319"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payments made by the Company under this Agreement shall be reduced by any tax or other amounts required to be withheld by the Company under applicable law and all other lawful deductions authorized by you.</w:t>
      </w:r>
    </w:p>
    <w:p>
      <w:pPr>
        <w:spacing w:after="0" w:line="180" w:lineRule="exact"/>
        <w:rPr>
          <w:rFonts w:ascii="Arial" w:cs="Arial" w:eastAsia="Arial" w:hAnsi="Arial"/>
          <w:sz w:val="22"/>
          <w:szCs w:val="22"/>
          <w:color w:val="auto"/>
        </w:rPr>
      </w:pPr>
    </w:p>
    <w:p>
      <w:pPr>
        <w:ind w:left="680" w:hanging="678"/>
        <w:spacing w:after="0"/>
        <w:tabs>
          <w:tab w:leader="none" w:pos="68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Status of Employee Benefits, Paid Time Off, Expenses and Equity.</w:t>
      </w:r>
    </w:p>
    <w:p>
      <w:pPr>
        <w:spacing w:after="0" w:line="210" w:lineRule="exact"/>
        <w:rPr>
          <w:rFonts w:ascii="Arial" w:cs="Arial" w:eastAsia="Arial" w:hAnsi="Arial"/>
          <w:sz w:val="22"/>
          <w:szCs w:val="22"/>
          <w:b w:val="1"/>
          <w:bCs w:val="1"/>
          <w:color w:val="auto"/>
        </w:rPr>
      </w:pPr>
    </w:p>
    <w:p>
      <w:pPr>
        <w:jc w:val="both"/>
        <w:ind w:firstLine="648"/>
        <w:spacing w:after="0" w:line="261" w:lineRule="auto"/>
        <w:tabs>
          <w:tab w:leader="none" w:pos="1387" w:val="left"/>
        </w:tabs>
        <w:numPr>
          <w:ilvl w:val="1"/>
          <w:numId w:val="60"/>
        </w:numPr>
        <w:rPr>
          <w:rFonts w:ascii="Arial" w:cs="Arial" w:eastAsia="Arial" w:hAnsi="Arial"/>
          <w:sz w:val="20"/>
          <w:szCs w:val="20"/>
          <w:color w:val="auto"/>
        </w:rPr>
      </w:pPr>
      <w:r>
        <w:rPr>
          <w:rFonts w:ascii="Arial" w:cs="Arial" w:eastAsia="Arial" w:hAnsi="Arial"/>
          <w:sz w:val="20"/>
          <w:szCs w:val="20"/>
          <w:color w:val="auto"/>
        </w:rPr>
        <w:t>Except as otherwise provided in Section 2 or required by applicable law, your participation in all employee benefit plans of the Company will end as of the Separation Date, in accordance with the terms of those plans. You will not continue to earn vacation, paid time off or other similar benefits after the Separation Date or be reimbursed for any expenses incurred after the Separation Date that have not otherwise been approved in writing by the Company. You will receive information about your COBRA continuation rights under separate cover.</w:t>
      </w:r>
    </w:p>
    <w:p>
      <w:pPr>
        <w:spacing w:after="0" w:line="168" w:lineRule="exact"/>
        <w:rPr>
          <w:rFonts w:ascii="Arial" w:cs="Arial" w:eastAsia="Arial" w:hAnsi="Arial"/>
          <w:sz w:val="20"/>
          <w:szCs w:val="20"/>
          <w:color w:val="auto"/>
        </w:rPr>
      </w:pPr>
    </w:p>
    <w:p>
      <w:pPr>
        <w:jc w:val="both"/>
        <w:ind w:firstLine="648"/>
        <w:spacing w:after="0" w:line="258" w:lineRule="auto"/>
        <w:tabs>
          <w:tab w:leader="none" w:pos="1332" w:val="left"/>
        </w:tabs>
        <w:numPr>
          <w:ilvl w:val="1"/>
          <w:numId w:val="60"/>
        </w:numPr>
        <w:rPr>
          <w:rFonts w:ascii="Arial" w:cs="Arial" w:eastAsia="Arial" w:hAnsi="Arial"/>
          <w:sz w:val="20"/>
          <w:szCs w:val="20"/>
          <w:color w:val="auto"/>
        </w:rPr>
      </w:pPr>
      <w:r>
        <w:rPr>
          <w:rFonts w:ascii="Arial" w:cs="Arial" w:eastAsia="Arial" w:hAnsi="Arial"/>
          <w:sz w:val="20"/>
          <w:szCs w:val="20"/>
          <w:color w:val="auto"/>
        </w:rPr>
        <w:t xml:space="preserve">You agree that, within two (2) weeks of the effective date of this Agreement, you will submit your final expense reimbursement statement reflecting all business expenses you incurred through the Separation Date, if any, for which you seek reimbursement, and, in accordance with Company policy, reasonable substantiation and documentation for the same. The Company will reimburse you for your authorized and documented expenses pursuant to its regular business practice. For avoidance of doubt, for expenses incurred before the Separation Date in connection with business travel or events scheduled to take place after the Separation Date, you will be reimbursed for only those expenses listed in the attached </w:t>
      </w:r>
      <w:r>
        <w:rPr>
          <w:rFonts w:ascii="Arial" w:cs="Arial" w:eastAsia="Arial" w:hAnsi="Arial"/>
          <w:sz w:val="20"/>
          <w:szCs w:val="20"/>
          <w:u w:val="single" w:color="auto"/>
          <w:color w:val="auto"/>
        </w:rPr>
        <w:t>Exhibit A</w:t>
      </w:r>
      <w:r>
        <w:rPr>
          <w:rFonts w:ascii="Arial" w:cs="Arial" w:eastAsia="Arial" w:hAnsi="Arial"/>
          <w:sz w:val="20"/>
          <w:szCs w:val="20"/>
          <w:color w:val="auto"/>
        </w:rPr>
        <w:t>, provided that you provide proof of cancellation for each flight and hotel reservation, and only to the extent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576008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360" w:right="1419" w:bottom="1440" w:gutter="0" w:footer="0" w:header="0"/>
        </w:sectPr>
      </w:pPr>
    </w:p>
    <w:bookmarkStart w:id="128" w:name="page129"/>
    <w:bookmarkEnd w:id="128"/>
    <w:p>
      <w:pPr>
        <w:jc w:val="both"/>
        <w:spacing w:after="0" w:line="234" w:lineRule="auto"/>
        <w:rPr>
          <w:sz w:val="20"/>
          <w:szCs w:val="20"/>
          <w:color w:val="auto"/>
        </w:rPr>
      </w:pPr>
      <w:r>
        <w:rPr>
          <w:rFonts w:ascii="Arial" w:cs="Arial" w:eastAsia="Arial" w:hAnsi="Arial"/>
          <w:sz w:val="22"/>
          <w:szCs w:val="22"/>
          <w:color w:val="auto"/>
        </w:rPr>
        <w:t>that you (i) are not reimbursed for such expenses by the applicable airline or hotel and (ii) do not make use of such airline tickets or hotel reservation. In the event you are reimbursed for any portion of such expenses by the applicable airline or hotel, you agree to promptly pay over to the Company the amounts reimbursed. In the event that you make use of any airline tickets or hotel reservation, you agree to promptly pay over to the Company the full amount reimbursed by the Company for such tickets or reservation.</w:t>
      </w:r>
    </w:p>
    <w:p>
      <w:pPr>
        <w:spacing w:after="0" w:line="189" w:lineRule="exact"/>
        <w:rPr>
          <w:sz w:val="20"/>
          <w:szCs w:val="20"/>
          <w:color w:val="auto"/>
        </w:rPr>
      </w:pPr>
    </w:p>
    <w:p>
      <w:pPr>
        <w:jc w:val="both"/>
        <w:ind w:firstLine="648"/>
        <w:spacing w:after="0" w:line="259" w:lineRule="auto"/>
        <w:tabs>
          <w:tab w:leader="none" w:pos="1374" w:val="left"/>
        </w:tabs>
        <w:numPr>
          <w:ilvl w:val="1"/>
          <w:numId w:val="61"/>
        </w:numPr>
        <w:rPr>
          <w:rFonts w:ascii="Arial" w:cs="Arial" w:eastAsia="Arial" w:hAnsi="Arial"/>
          <w:sz w:val="20"/>
          <w:szCs w:val="20"/>
          <w:color w:val="auto"/>
        </w:rPr>
      </w:pPr>
      <w:r>
        <w:rPr>
          <w:rFonts w:ascii="Arial" w:cs="Arial" w:eastAsia="Arial" w:hAnsi="Arial"/>
          <w:sz w:val="20"/>
          <w:szCs w:val="20"/>
          <w:color w:val="auto"/>
        </w:rPr>
        <w:t>You and the Company are contemporaneously entering into a separate consulting agreement, setting forth the terms of your continued service to the Company as an independent contractor immediately following the Separation Date (the “</w:t>
      </w:r>
      <w:r>
        <w:rPr>
          <w:rFonts w:ascii="Arial" w:cs="Arial" w:eastAsia="Arial" w:hAnsi="Arial"/>
          <w:sz w:val="20"/>
          <w:szCs w:val="20"/>
          <w:u w:val="single" w:color="auto"/>
          <w:color w:val="auto"/>
        </w:rPr>
        <w:t>Consulting Agreement</w:t>
      </w:r>
      <w:r>
        <w:rPr>
          <w:rFonts w:ascii="Arial" w:cs="Arial" w:eastAsia="Arial" w:hAnsi="Arial"/>
          <w:sz w:val="20"/>
          <w:szCs w:val="20"/>
          <w:color w:val="auto"/>
        </w:rPr>
        <w:t>”). In accordance with the provisions of the Company’s 2012 Incentive Plan and the terms of the Stock Option Agreement between you and the Company dated April 15, 2016 and the Stock Option Agreement between you and the Company dated June 14, 2016 (each, an “</w:t>
      </w:r>
      <w:r>
        <w:rPr>
          <w:rFonts w:ascii="Arial" w:cs="Arial" w:eastAsia="Arial" w:hAnsi="Arial"/>
          <w:sz w:val="20"/>
          <w:szCs w:val="20"/>
          <w:u w:val="single" w:color="auto"/>
          <w:color w:val="auto"/>
        </w:rPr>
        <w:t>Award Agreement</w:t>
      </w:r>
      <w:r>
        <w:rPr>
          <w:rFonts w:ascii="Arial" w:cs="Arial" w:eastAsia="Arial" w:hAnsi="Arial"/>
          <w:sz w:val="20"/>
          <w:szCs w:val="20"/>
          <w:color w:val="auto"/>
        </w:rPr>
        <w:t>”), the stock options granted to you under each Award Agreement will continue to vest during your service to the Company under the Consulting Agreement.</w:t>
      </w:r>
    </w:p>
    <w:p>
      <w:pPr>
        <w:spacing w:after="0" w:line="161" w:lineRule="exact"/>
        <w:rPr>
          <w:rFonts w:ascii="Arial" w:cs="Arial" w:eastAsia="Arial" w:hAnsi="Arial"/>
          <w:sz w:val="20"/>
          <w:szCs w:val="20"/>
          <w:color w:val="auto"/>
        </w:rPr>
      </w:pPr>
    </w:p>
    <w:p>
      <w:pPr>
        <w:ind w:left="680" w:hanging="678"/>
        <w:spacing w:after="0"/>
        <w:tabs>
          <w:tab w:leader="none" w:pos="68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Non-Disparagement, and Continuing Obligations.</w:t>
      </w:r>
    </w:p>
    <w:p>
      <w:pPr>
        <w:spacing w:after="0" w:line="210" w:lineRule="exact"/>
        <w:rPr>
          <w:rFonts w:ascii="Arial" w:cs="Arial" w:eastAsia="Arial" w:hAnsi="Arial"/>
          <w:sz w:val="22"/>
          <w:szCs w:val="22"/>
          <w:b w:val="1"/>
          <w:bCs w:val="1"/>
          <w:color w:val="auto"/>
        </w:rPr>
      </w:pPr>
    </w:p>
    <w:p>
      <w:pPr>
        <w:jc w:val="both"/>
        <w:ind w:firstLine="648"/>
        <w:spacing w:after="0" w:line="268" w:lineRule="auto"/>
        <w:tabs>
          <w:tab w:leader="none" w:pos="1307" w:val="left"/>
        </w:tabs>
        <w:numPr>
          <w:ilvl w:val="1"/>
          <w:numId w:val="62"/>
        </w:numPr>
        <w:rPr>
          <w:rFonts w:ascii="Arial" w:cs="Arial" w:eastAsia="Arial" w:hAnsi="Arial"/>
          <w:sz w:val="20"/>
          <w:szCs w:val="20"/>
          <w:color w:val="auto"/>
        </w:rPr>
      </w:pPr>
      <w:r>
        <w:rPr>
          <w:rFonts w:ascii="Arial" w:cs="Arial" w:eastAsia="Arial" w:hAnsi="Arial"/>
          <w:sz w:val="20"/>
          <w:szCs w:val="20"/>
          <w:color w:val="auto"/>
        </w:rPr>
        <w:t>You acknowledge and agree that you will continue to comply your obligations under the Employee Non-Solicitation, Non-Competition, Confidential Information and Inventions Assignment Agreement between you and the Company dated as of April 15, 2016 (the “</w:t>
      </w:r>
      <w:r>
        <w:rPr>
          <w:rFonts w:ascii="Arial" w:cs="Arial" w:eastAsia="Arial" w:hAnsi="Arial"/>
          <w:sz w:val="20"/>
          <w:szCs w:val="20"/>
          <w:u w:val="single" w:color="auto"/>
          <w:color w:val="auto"/>
        </w:rPr>
        <w:t>Employee Agreement</w:t>
      </w:r>
      <w:r>
        <w:rPr>
          <w:rFonts w:ascii="Arial" w:cs="Arial" w:eastAsia="Arial" w:hAnsi="Arial"/>
          <w:sz w:val="20"/>
          <w:szCs w:val="20"/>
          <w:color w:val="auto"/>
        </w:rPr>
        <w:t>”) that survive the termination of your employment by necessary implication or the terms thereof.</w:t>
      </w:r>
    </w:p>
    <w:p>
      <w:pPr>
        <w:spacing w:after="0" w:line="157" w:lineRule="exact"/>
        <w:rPr>
          <w:rFonts w:ascii="Arial" w:cs="Arial" w:eastAsia="Arial" w:hAnsi="Arial"/>
          <w:sz w:val="20"/>
          <w:szCs w:val="20"/>
          <w:color w:val="auto"/>
        </w:rPr>
      </w:pPr>
    </w:p>
    <w:p>
      <w:pPr>
        <w:jc w:val="both"/>
        <w:ind w:firstLine="648"/>
        <w:spacing w:after="0" w:line="268" w:lineRule="auto"/>
        <w:tabs>
          <w:tab w:leader="none" w:pos="1359" w:val="left"/>
        </w:tabs>
        <w:numPr>
          <w:ilvl w:val="1"/>
          <w:numId w:val="62"/>
        </w:numPr>
        <w:rPr>
          <w:rFonts w:ascii="Arial" w:cs="Arial" w:eastAsia="Arial" w:hAnsi="Arial"/>
          <w:sz w:val="20"/>
          <w:szCs w:val="20"/>
          <w:color w:val="auto"/>
        </w:rPr>
      </w:pPr>
      <w:r>
        <w:rPr>
          <w:rFonts w:ascii="Arial" w:cs="Arial" w:eastAsia="Arial" w:hAnsi="Arial"/>
          <w:sz w:val="20"/>
          <w:szCs w:val="20"/>
          <w:color w:val="auto"/>
        </w:rPr>
        <w:t>Subject to Section 7(b) of this Agreement, you agree that you will not disclose this Agreement or any of its terms or provisions, directly or by implication, except to members of your immediate family and your legal and tax advisors, and then only on condition that they agree not to further disclose this Agreement or any of its terms or provisions to others.</w:t>
      </w:r>
    </w:p>
    <w:p>
      <w:pPr>
        <w:spacing w:after="0" w:line="157" w:lineRule="exact"/>
        <w:rPr>
          <w:rFonts w:ascii="Arial" w:cs="Arial" w:eastAsia="Arial" w:hAnsi="Arial"/>
          <w:sz w:val="20"/>
          <w:szCs w:val="20"/>
          <w:color w:val="auto"/>
        </w:rPr>
      </w:pPr>
    </w:p>
    <w:p>
      <w:pPr>
        <w:jc w:val="both"/>
        <w:ind w:firstLine="648"/>
        <w:spacing w:after="0" w:line="260" w:lineRule="auto"/>
        <w:tabs>
          <w:tab w:leader="none" w:pos="13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Subject to Section 7(b) of this Agreement and except as may be required by applicable law or legal process, you agree that you will never disparage or criticize the Company, its Affiliates (as defined in the Employment Agreement), their business, their management or their products or services, specifically including without limitation duvelisib, and that you will not otherwise do or say anything that could reasonably be expected to disrupt the good morale of employees of the Company. The Company agrees to instruct its directors and officers not to disparage or criticize you, except as may be required by applicable law or legal process.</w:t>
      </w:r>
    </w:p>
    <w:p>
      <w:pPr>
        <w:spacing w:after="0" w:line="167" w:lineRule="exact"/>
        <w:rPr>
          <w:rFonts w:ascii="Arial" w:cs="Arial" w:eastAsia="Arial" w:hAnsi="Arial"/>
          <w:sz w:val="20"/>
          <w:szCs w:val="20"/>
          <w:color w:val="auto"/>
        </w:rPr>
      </w:pPr>
    </w:p>
    <w:p>
      <w:pPr>
        <w:ind w:firstLine="648"/>
        <w:spacing w:after="0" w:line="298" w:lineRule="auto"/>
        <w:tabs>
          <w:tab w:leader="none" w:pos="1332" w:val="left"/>
        </w:tabs>
        <w:numPr>
          <w:ilvl w:val="1"/>
          <w:numId w:val="62"/>
        </w:numPr>
        <w:rPr>
          <w:rFonts w:ascii="Arial" w:cs="Arial" w:eastAsia="Arial" w:hAnsi="Arial"/>
          <w:sz w:val="20"/>
          <w:szCs w:val="20"/>
          <w:color w:val="auto"/>
        </w:rPr>
      </w:pPr>
      <w:r>
        <w:rPr>
          <w:rFonts w:ascii="Arial" w:cs="Arial" w:eastAsia="Arial" w:hAnsi="Arial"/>
          <w:sz w:val="20"/>
          <w:szCs w:val="20"/>
          <w:color w:val="auto"/>
        </w:rPr>
        <w:t xml:space="preserve">You agree that you will not make any written or oral statement about your employment with the Company or the termination thereof except for the statement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2"/>
        <w:spacing w:after="0" w:line="265" w:lineRule="auto"/>
        <w:tabs>
          <w:tab w:leader="none" w:pos="727"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Return of Company Documents and Other Property. </w:t>
      </w:r>
      <w:r>
        <w:rPr>
          <w:rFonts w:ascii="Arial" w:cs="Arial" w:eastAsia="Arial" w:hAnsi="Arial"/>
          <w:sz w:val="20"/>
          <w:szCs w:val="20"/>
          <w:color w:val="auto"/>
        </w:rPr>
        <w:t>In signing this Agreement you</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 and warrant that you have complied with Section 5 of the Employee Agreement. You also agree that if you should later discover any document or other property of the Company or any of its Affiliates in your possession, you will immediately return it to the Company. You agree that you will not, following the Separation Date, for any purpose, attempt to access or use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576008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360" w:right="1419" w:bottom="1440" w:gutter="0" w:footer="0" w:header="0"/>
        </w:sectPr>
      </w:pPr>
    </w:p>
    <w:bookmarkStart w:id="129" w:name="page130"/>
    <w:bookmarkEnd w:id="129"/>
    <w:p>
      <w:pPr>
        <w:jc w:val="both"/>
        <w:spacing w:after="0" w:line="260" w:lineRule="auto"/>
        <w:rPr>
          <w:sz w:val="20"/>
          <w:szCs w:val="20"/>
          <w:color w:val="auto"/>
        </w:rPr>
      </w:pPr>
      <w:r>
        <w:rPr>
          <w:rFonts w:ascii="Arial" w:cs="Arial" w:eastAsia="Arial" w:hAnsi="Arial"/>
          <w:sz w:val="20"/>
          <w:szCs w:val="20"/>
          <w:color w:val="auto"/>
        </w:rPr>
        <w:t>any computer or computer network or system of the Company or any of its Affiliates, including without limitation the electronic mail system. Further, you acknowledge that you have disclosed to the Company all passwords necessary or desirable to obtain access to, or that would assist in obtaining access to, all information which you have password-protected on any computer equipment, network or system of the Company or any of its Affiliates. It is, however, understood and agreed that you may retain possession of and access to certain Company property, equipment, and documents as expressly directed by the Company in order to fulfill your obligations under the Consulting Agreement.</w:t>
      </w:r>
    </w:p>
    <w:p>
      <w:pPr>
        <w:spacing w:after="0" w:line="161" w:lineRule="exact"/>
        <w:rPr>
          <w:sz w:val="20"/>
          <w:szCs w:val="20"/>
          <w:color w:val="auto"/>
        </w:rPr>
      </w:pPr>
    </w:p>
    <w:p>
      <w:pPr>
        <w:ind w:left="680" w:hanging="678"/>
        <w:spacing w:after="0"/>
        <w:tabs>
          <w:tab w:leader="none" w:pos="68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General Release and Waiver of Claims.</w:t>
      </w:r>
    </w:p>
    <w:p>
      <w:pPr>
        <w:spacing w:after="0" w:line="210" w:lineRule="exact"/>
        <w:rPr>
          <w:rFonts w:ascii="Arial" w:cs="Arial" w:eastAsia="Arial" w:hAnsi="Arial"/>
          <w:sz w:val="22"/>
          <w:szCs w:val="22"/>
          <w:b w:val="1"/>
          <w:bCs w:val="1"/>
          <w:color w:val="auto"/>
        </w:rPr>
      </w:pPr>
    </w:p>
    <w:p>
      <w:pPr>
        <w:jc w:val="both"/>
        <w:ind w:firstLine="648"/>
        <w:spacing w:after="0" w:line="268" w:lineRule="auto"/>
        <w:tabs>
          <w:tab w:leader="none" w:pos="1307" w:val="left"/>
        </w:tabs>
        <w:numPr>
          <w:ilvl w:val="1"/>
          <w:numId w:val="63"/>
        </w:numPr>
        <w:rPr>
          <w:rFonts w:ascii="Arial" w:cs="Arial" w:eastAsia="Arial" w:hAnsi="Arial"/>
          <w:sz w:val="19"/>
          <w:szCs w:val="19"/>
          <w:color w:val="auto"/>
        </w:rPr>
      </w:pPr>
      <w:r>
        <w:rPr>
          <w:rFonts w:ascii="Arial" w:cs="Arial" w:eastAsia="Arial" w:hAnsi="Arial"/>
          <w:sz w:val="19"/>
          <w:szCs w:val="19"/>
          <w:color w:val="auto"/>
        </w:rPr>
        <w:t>For and in consideration of the special severance pay and other benefits provided to you under this Agreement, which are conditioned on your signing of this Agreement and to which you would not otherwise be entitled, and other good and valuable consideration, the receipt and sufficiency of which is hereby acknowledged, on your own behalf and that of your heirs, executors, administrators, beneficiaries, representatives and assigns, and all others connected with or claiming through you, hereby release and forever discharge the Company and its subsidiaries and other affiliates and all of their respective past, present and future officers, directors, trustees, shareholders, employees, agents, employee benefit plans, general and limited partners, members, managers, investors, joint venturers, representatives, successors and assigns, and all others connected with any of them, both individually and in their official capacities, from any and all causes of action, rights and claims of any type or description, known or unknown, which you have had in the past, now have, or might now have, through the date of your signing of this Agreement, in any way related to, connected with or arising out of your employment or its termination (including without limitation any claims under Title VII of the Civil Rights Act of 1964, the Age Discrimination in Employment Act, as amended by the Older Workers Benefit Protection Act, the Employee Retirement Income Security Act of 1974 (“ERISA”), the Americans with Disabilities Act, and/or the wage and hour, wage payment and fair employment practices statute of the state or states in which you were previously employed by the Company or otherwise had a relationship with the Company or any of its subsidiaries or other affiliates, each as amended from time to time). This Agreement shall not apply to (a) any claim that arises after you sign this Agreement, (b) any claim that may not be waived pursuant to applicable law, (c) claims for indemnification in your capacity as an officer or director of the Company under the Company’s Certificate of Incorporation, By-laws or agreement, if any, providing for director or officer indemnification, (d) rights to receive insurance coverage and payments under any insurance policy maintained by the Company and (e) rights to equity compensation or to receive retirement benefits that are accrued and fully vested as of the Separation Date and rights under any plans protected by ERISA.</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648"/>
        <w:spacing w:after="0" w:line="259" w:lineRule="auto"/>
        <w:tabs>
          <w:tab w:leader="none" w:pos="1319" w:val="left"/>
        </w:tabs>
        <w:numPr>
          <w:ilvl w:val="1"/>
          <w:numId w:val="63"/>
        </w:numPr>
        <w:rPr>
          <w:rFonts w:ascii="Arial" w:cs="Arial" w:eastAsia="Arial" w:hAnsi="Arial"/>
          <w:sz w:val="20"/>
          <w:szCs w:val="20"/>
          <w:color w:val="auto"/>
        </w:rPr>
      </w:pPr>
      <w:r>
        <w:rPr>
          <w:rFonts w:ascii="Arial" w:cs="Arial" w:eastAsia="Arial" w:hAnsi="Arial"/>
          <w:sz w:val="20"/>
          <w:szCs w:val="20"/>
          <w:color w:val="auto"/>
        </w:rPr>
        <w:t>Notwithstanding the foregoing, nothing contained in this Agreement shall be construed to prohibit you from filing a charge with or participating in any investigation or proceeding conducted by the federal Equal Employment Opportunity Commission or a comparable state or local agency, except that you hereby agree to waive your right to recover monetary damages or other individual relief in any such charge, investigation or proceeding, or any related complaint or lawsuit filed by you or anyone else on your behalf. Further, nothing contained in this Agreement or the Employee Agreement limits, restricts or in any other way affects your communicating with any governmental agency or entity, or communicating with any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576008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360" w:right="1419" w:bottom="1440" w:gutter="0" w:footer="0" w:header="0"/>
        </w:sectPr>
      </w:pPr>
    </w:p>
    <w:bookmarkStart w:id="130" w:name="page131"/>
    <w:bookmarkEnd w:id="130"/>
    <w:p>
      <w:pPr>
        <w:spacing w:after="0" w:line="249" w:lineRule="auto"/>
        <w:rPr>
          <w:sz w:val="20"/>
          <w:szCs w:val="20"/>
          <w:color w:val="auto"/>
        </w:rPr>
      </w:pPr>
      <w:r>
        <w:rPr>
          <w:rFonts w:ascii="Arial" w:cs="Arial" w:eastAsia="Arial" w:hAnsi="Arial"/>
          <w:sz w:val="22"/>
          <w:szCs w:val="22"/>
          <w:color w:val="auto"/>
        </w:rPr>
        <w:t>official or staff person of a governmental agency or entity, concerning matters relevant to the governmental agency or entity.</w:t>
      </w:r>
    </w:p>
    <w:p>
      <w:pPr>
        <w:spacing w:after="0" w:line="175" w:lineRule="exact"/>
        <w:rPr>
          <w:sz w:val="20"/>
          <w:szCs w:val="20"/>
          <w:color w:val="auto"/>
        </w:rPr>
      </w:pPr>
    </w:p>
    <w:p>
      <w:pPr>
        <w:jc w:val="both"/>
        <w:ind w:firstLine="648"/>
        <w:spacing w:after="0" w:line="261" w:lineRule="auto"/>
        <w:tabs>
          <w:tab w:leader="none" w:pos="1320" w:val="left"/>
        </w:tabs>
        <w:numPr>
          <w:ilvl w:val="1"/>
          <w:numId w:val="64"/>
        </w:numPr>
        <w:rPr>
          <w:rFonts w:ascii="Arial" w:cs="Arial" w:eastAsia="Arial" w:hAnsi="Arial"/>
          <w:sz w:val="20"/>
          <w:szCs w:val="20"/>
          <w:color w:val="auto"/>
        </w:rPr>
      </w:pPr>
      <w:r>
        <w:rPr>
          <w:rFonts w:ascii="Arial" w:cs="Arial" w:eastAsia="Arial" w:hAnsi="Arial"/>
          <w:sz w:val="20"/>
          <w:szCs w:val="20"/>
          <w:color w:val="auto"/>
        </w:rPr>
        <w:t>In signing this Agreement, you acknowledge your understanding that you may consider the terms of this Agreement for up to twenty-one (21) days from the date you receive it. You also acknowledge that you are hereby advised by the Company to seek the advice of an attorney prior to signing this Agreement; that you have had sufficient time to consider this Agreement and to consult with an attorney, if you wished to do so, or to consult with any other person of your choosing before signing; and that you are signing this Agreement voluntarily and with a full understanding of its terms.</w:t>
      </w:r>
    </w:p>
    <w:p>
      <w:pPr>
        <w:spacing w:after="0" w:line="168" w:lineRule="exact"/>
        <w:rPr>
          <w:rFonts w:ascii="Arial" w:cs="Arial" w:eastAsia="Arial" w:hAnsi="Arial"/>
          <w:sz w:val="20"/>
          <w:szCs w:val="20"/>
          <w:color w:val="auto"/>
        </w:rPr>
      </w:pPr>
    </w:p>
    <w:p>
      <w:pPr>
        <w:jc w:val="both"/>
        <w:ind w:firstLine="648"/>
        <w:spacing w:after="0" w:line="261" w:lineRule="auto"/>
        <w:tabs>
          <w:tab w:leader="none" w:pos="1346" w:val="left"/>
        </w:tabs>
        <w:numPr>
          <w:ilvl w:val="1"/>
          <w:numId w:val="64"/>
        </w:numPr>
        <w:rPr>
          <w:rFonts w:ascii="Arial" w:cs="Arial" w:eastAsia="Arial" w:hAnsi="Arial"/>
          <w:sz w:val="20"/>
          <w:szCs w:val="20"/>
          <w:color w:val="auto"/>
        </w:rPr>
      </w:pPr>
      <w:r>
        <w:rPr>
          <w:rFonts w:ascii="Arial" w:cs="Arial" w:eastAsia="Arial" w:hAnsi="Arial"/>
          <w:sz w:val="20"/>
          <w:szCs w:val="20"/>
          <w:color w:val="auto"/>
        </w:rPr>
        <w:t>You further acknowledge that, in signing this Agreement, you have not relied on any promises or representations, express or implied, that are not set forth expressly in this Agreement. You understand that you may revoke this Agreement at any time within seven (7) days of the date of your signing by written notice to the Chairman of the Company’s Board of Directors and that this Agreement will take effect only upon the expiration of such seven-day revocation period and only if you have not timely revoked it (the “Effective Date”).</w:t>
      </w:r>
    </w:p>
    <w:p>
      <w:pPr>
        <w:spacing w:after="0" w:line="162" w:lineRule="exact"/>
        <w:rPr>
          <w:rFonts w:ascii="Arial" w:cs="Arial" w:eastAsia="Arial" w:hAnsi="Arial"/>
          <w:sz w:val="20"/>
          <w:szCs w:val="20"/>
          <w:color w:val="auto"/>
        </w:rPr>
      </w:pPr>
    </w:p>
    <w:p>
      <w:pPr>
        <w:ind w:left="680" w:hanging="678"/>
        <w:spacing w:after="0"/>
        <w:tabs>
          <w:tab w:leader="none" w:pos="68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0" w:lineRule="exact"/>
        <w:rPr>
          <w:rFonts w:ascii="Arial" w:cs="Arial" w:eastAsia="Arial" w:hAnsi="Arial"/>
          <w:sz w:val="22"/>
          <w:szCs w:val="22"/>
          <w:b w:val="1"/>
          <w:bCs w:val="1"/>
          <w:color w:val="auto"/>
        </w:rPr>
      </w:pPr>
    </w:p>
    <w:p>
      <w:pPr>
        <w:jc w:val="both"/>
        <w:ind w:firstLine="648"/>
        <w:spacing w:after="0" w:line="261" w:lineRule="auto"/>
        <w:tabs>
          <w:tab w:leader="none" w:pos="13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This Agreement, together with the Consulting Agreement and your Award Agreements, constitutes the entire agreement between you and the Company and its Affiliates and supersedes all prior and contemporaneous communications, agreements and understandings, whether written or oral, with respect to your employment, its termination and all related matters, excluding only the Employee Agreement, which shall remain in full force and effect in accordance with its terms, and your rights and obligations with respect to your vested options.</w:t>
      </w:r>
    </w:p>
    <w:p>
      <w:pPr>
        <w:spacing w:after="0" w:line="168" w:lineRule="exact"/>
        <w:rPr>
          <w:rFonts w:ascii="Arial" w:cs="Arial" w:eastAsia="Arial" w:hAnsi="Arial"/>
          <w:sz w:val="20"/>
          <w:szCs w:val="20"/>
          <w:color w:val="auto"/>
        </w:rPr>
      </w:pPr>
    </w:p>
    <w:p>
      <w:pPr>
        <w:jc w:val="both"/>
        <w:ind w:firstLine="648"/>
        <w:spacing w:after="0" w:line="237" w:lineRule="auto"/>
        <w:tabs>
          <w:tab w:leader="none" w:pos="1319"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This Agreement may not be modified or amended, and no breach shall be deemed to be waived, unless agreed to in writing by you and an authorized representative of the Company. The captions and headings in this Agreement are for convenience only, and in no way define or describe the scope or content of any provision of this Agreement.</w:t>
      </w:r>
    </w:p>
    <w:p>
      <w:pPr>
        <w:spacing w:after="0" w:line="185" w:lineRule="exact"/>
        <w:rPr>
          <w:rFonts w:ascii="Arial" w:cs="Arial" w:eastAsia="Arial" w:hAnsi="Arial"/>
          <w:sz w:val="22"/>
          <w:szCs w:val="22"/>
          <w:color w:val="auto"/>
        </w:rPr>
      </w:pPr>
    </w:p>
    <w:p>
      <w:pPr>
        <w:jc w:val="both"/>
        <w:ind w:firstLine="648"/>
        <w:spacing w:after="0" w:line="275" w:lineRule="auto"/>
        <w:tabs>
          <w:tab w:leader="none" w:pos="13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obligation of the Company to make payments to you or on your behalf under this Agreement, and your right to retain the same, is expressly conditioned upon your continued full performance of your obligations under this Agreement and the Employee Agreement.</w:t>
      </w:r>
    </w:p>
    <w:p>
      <w:pPr>
        <w:spacing w:after="0" w:line="151" w:lineRule="exact"/>
        <w:rPr>
          <w:rFonts w:ascii="Arial" w:cs="Arial" w:eastAsia="Arial" w:hAnsi="Arial"/>
          <w:sz w:val="20"/>
          <w:szCs w:val="20"/>
          <w:color w:val="auto"/>
        </w:rPr>
      </w:pPr>
    </w:p>
    <w:p>
      <w:pPr>
        <w:jc w:val="both"/>
        <w:ind w:firstLine="648"/>
        <w:spacing w:after="0" w:line="264" w:lineRule="auto"/>
        <w:tabs>
          <w:tab w:leader="none" w:pos="1319"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This is a Massachusetts contract and shall be governed and construed in accordance with the laws of the Commonwealth of Massachusetts, without regard to any conflict of laws principles that would result in the application of the laws of another jurisdiction. You agree to submit to the exclusive jurisdiction of the courts of and in the Commonwealth of Massachusetts in connection with any dispute arising out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576008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360" w:right="1419" w:bottom="1440" w:gutter="0" w:footer="0" w:header="0"/>
        </w:sectPr>
      </w:pPr>
    </w:p>
    <w:bookmarkStart w:id="131" w:name="page132"/>
    <w:bookmarkEnd w:id="131"/>
    <w:p>
      <w:pPr>
        <w:jc w:val="both"/>
        <w:ind w:firstLine="646"/>
        <w:spacing w:after="0" w:line="233" w:lineRule="auto"/>
        <w:rPr>
          <w:sz w:val="20"/>
          <w:szCs w:val="20"/>
          <w:color w:val="auto"/>
        </w:rPr>
      </w:pPr>
      <w:r>
        <w:rPr>
          <w:rFonts w:ascii="Arial" w:cs="Arial" w:eastAsia="Arial" w:hAnsi="Arial"/>
          <w:sz w:val="22"/>
          <w:szCs w:val="22"/>
          <w:color w:val="auto"/>
        </w:rPr>
        <w:t>If the terms of this Agreement are acceptable to you, please sign, date and return it to Cathy Carew within twenty-one (21) days of the date you receive it. You may revoke this Agreement at any time during the seven-day period immediately following the date of your signing by notifying the Chairman of the Company’s Board of Directors in writing of your revocation within that period. If you do not revoke this Agreement, then, on the eighth day following the date that you signed it, this Agreement shall take effect as a legally binding agreement between you and the Company on the basis set forth above. The enclosed copy of this letter, which you should also sign and date, is for your records.</w:t>
      </w:r>
    </w:p>
    <w:p>
      <w:pPr>
        <w:spacing w:after="0" w:line="202"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Sincerely,</w:t>
      </w:r>
    </w:p>
    <w:p>
      <w:pPr>
        <w:spacing w:after="0" w:line="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Verastem, Inc.</w:t>
      </w:r>
    </w:p>
    <w:p>
      <w:pPr>
        <w:spacing w:after="0" w:line="21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By:/s/ Robert Forrester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6985</wp:posOffset>
            </wp:positionV>
            <wp:extent cx="25977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9778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Robert Forrester</w:t>
      </w:r>
    </w:p>
    <w:p>
      <w:pPr>
        <w:ind w:left="4960"/>
        <w:spacing w:after="0"/>
        <w:rPr>
          <w:sz w:val="20"/>
          <w:szCs w:val="20"/>
          <w:color w:val="auto"/>
        </w:rPr>
      </w:pPr>
      <w:r>
        <w:rPr>
          <w:rFonts w:ascii="Arial" w:cs="Arial" w:eastAsia="Arial" w:hAnsi="Arial"/>
          <w:sz w:val="22"/>
          <w:szCs w:val="22"/>
          <w:color w:val="auto"/>
        </w:rPr>
        <w:t>President and Chief Executive Officer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Signature: /s/ Gregory Berk,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6985</wp:posOffset>
            </wp:positionV>
            <wp:extent cx="23583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58390" cy="8255"/>
                    </a:xfrm>
                    <a:prstGeom prst="rect">
                      <a:avLst/>
                    </a:prstGeom>
                    <a:noFill/>
                  </pic:spPr>
                </pic:pic>
              </a:graphicData>
            </a:graphic>
          </wp:anchor>
        </w:drawing>
      </w:r>
    </w:p>
    <w:p>
      <w:pPr>
        <w:spacing w:after="0" w:line="1" w:lineRule="exact"/>
        <w:rPr>
          <w:sz w:val="20"/>
          <w:szCs w:val="20"/>
          <w:color w:val="auto"/>
        </w:rPr>
      </w:pPr>
    </w:p>
    <w:p>
      <w:pPr>
        <w:ind w:left="940"/>
        <w:spacing w:after="0"/>
        <w:rPr>
          <w:sz w:val="20"/>
          <w:szCs w:val="20"/>
          <w:color w:val="auto"/>
        </w:rPr>
      </w:pPr>
      <w:r>
        <w:rPr>
          <w:rFonts w:ascii="Arial" w:cs="Arial" w:eastAsia="Arial" w:hAnsi="Arial"/>
          <w:sz w:val="22"/>
          <w:szCs w:val="22"/>
          <w:color w:val="auto"/>
        </w:rPr>
        <w:t>Gregory Berk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0" w:type="dxa"/>
            <w:vAlign w:val="bottom"/>
          </w:tcPr>
          <w:p>
            <w:pPr>
              <w:spacing w:after="0"/>
              <w:rPr>
                <w:sz w:val="20"/>
                <w:szCs w:val="20"/>
                <w:color w:val="auto"/>
              </w:rPr>
            </w:pPr>
            <w:r>
              <w:rPr>
                <w:rFonts w:ascii="Arial" w:cs="Arial" w:eastAsia="Arial" w:hAnsi="Arial"/>
                <w:sz w:val="22"/>
                <w:szCs w:val="22"/>
                <w:color w:val="auto"/>
              </w:rPr>
              <w:t>Date:</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19 JAN 2017</w:t>
            </w:r>
          </w:p>
        </w:tc>
        <w:tc>
          <w:tcPr>
            <w:tcW w:w="4420" w:type="dxa"/>
            <w:vAlign w:val="bottom"/>
          </w:tcPr>
          <w:p>
            <w:pPr>
              <w:spacing w:after="0"/>
              <w:rPr>
                <w:sz w:val="22"/>
                <w:szCs w:val="22"/>
                <w:color w:val="auto"/>
              </w:rPr>
            </w:pPr>
          </w:p>
        </w:tc>
      </w:tr>
      <w:tr>
        <w:trPr>
          <w:trHeight w:val="714"/>
        </w:trPr>
        <w:tc>
          <w:tcPr>
            <w:tcW w:w="9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60" w:right="141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Exhibit A</w:t>
      </w:r>
    </w:p>
    <w:p>
      <w:pPr>
        <w:spacing w:after="0" w:line="211" w:lineRule="exact"/>
        <w:rPr>
          <w:sz w:val="20"/>
          <w:szCs w:val="20"/>
          <w:color w:val="auto"/>
        </w:rPr>
      </w:pPr>
    </w:p>
    <w:p>
      <w:pPr>
        <w:ind w:firstLine="2"/>
        <w:spacing w:after="0" w:line="326" w:lineRule="auto"/>
        <w:tabs>
          <w:tab w:leader="none" w:pos="751" w:val="left"/>
        </w:tabs>
        <w:numPr>
          <w:ilvl w:val="0"/>
          <w:numId w:val="66"/>
        </w:numPr>
        <w:rPr>
          <w:rFonts w:ascii="Arial" w:cs="Arial" w:eastAsia="Arial" w:hAnsi="Arial"/>
          <w:sz w:val="19"/>
          <w:szCs w:val="19"/>
          <w:color w:val="auto"/>
        </w:rPr>
      </w:pPr>
      <w:r>
        <w:rPr>
          <w:rFonts w:ascii="Arial" w:cs="Arial" w:eastAsia="Arial" w:hAnsi="Arial"/>
          <w:sz w:val="19"/>
          <w:szCs w:val="19"/>
          <w:color w:val="auto"/>
        </w:rPr>
        <w:t>Deposit to Intercontinental, San Franciso for room rental/dinner T-cell advisory board $2647.40 + $39.00 ticketing fee (Charged to Berk’s AMEX on 1/10/2017)…expense report has been submitted</w:t>
      </w:r>
    </w:p>
    <w:p>
      <w:pPr>
        <w:spacing w:after="0" w:line="106" w:lineRule="exact"/>
        <w:rPr>
          <w:rFonts w:ascii="Arial" w:cs="Arial" w:eastAsia="Arial" w:hAnsi="Arial"/>
          <w:sz w:val="19"/>
          <w:szCs w:val="19"/>
          <w:color w:val="auto"/>
        </w:rPr>
      </w:pPr>
    </w:p>
    <w:p>
      <w:pPr>
        <w:ind w:firstLine="2"/>
        <w:spacing w:after="0" w:line="298" w:lineRule="auto"/>
        <w:tabs>
          <w:tab w:leader="none" w:pos="803" w:val="left"/>
        </w:tabs>
        <w:numPr>
          <w:ilvl w:val="0"/>
          <w:numId w:val="66"/>
        </w:numPr>
        <w:rPr>
          <w:rFonts w:ascii="Arial" w:cs="Arial" w:eastAsia="Arial" w:hAnsi="Arial"/>
          <w:sz w:val="20"/>
          <w:szCs w:val="20"/>
          <w:color w:val="auto"/>
        </w:rPr>
      </w:pPr>
      <w:r>
        <w:rPr>
          <w:rFonts w:ascii="Arial" w:cs="Arial" w:eastAsia="Arial" w:hAnsi="Arial"/>
          <w:sz w:val="20"/>
          <w:szCs w:val="20"/>
          <w:color w:val="auto"/>
        </w:rPr>
        <w:t>Airfare to EHA conference 6/20/2017…Iberia airlines Boston &gt; Madrid $2447.96 (Charged to Berk’s AMEX on 11/9/2016)….expense report submitted in December, awaiting reimbursement.</w:t>
      </w:r>
    </w:p>
    <w:p>
      <w:pPr>
        <w:spacing w:after="0" w:line="128" w:lineRule="exact"/>
        <w:rPr>
          <w:rFonts w:ascii="Arial" w:cs="Arial" w:eastAsia="Arial" w:hAnsi="Arial"/>
          <w:sz w:val="20"/>
          <w:szCs w:val="20"/>
          <w:color w:val="auto"/>
        </w:rPr>
      </w:pPr>
    </w:p>
    <w:p>
      <w:pPr>
        <w:ind w:firstLine="2"/>
        <w:spacing w:after="0" w:line="249" w:lineRule="auto"/>
        <w:tabs>
          <w:tab w:leader="none" w:pos="81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Airfare to ESMO World GI Congress, 6/26/2017…Iberia airlines $2967.40 + $39.00 ticketing fee (Charged to Berk’s AMEX on 12/17/2016)…expense report submitted.</w:t>
      </w:r>
    </w:p>
    <w:p>
      <w:pPr>
        <w:spacing w:after="0" w:line="174" w:lineRule="exact"/>
        <w:rPr>
          <w:rFonts w:ascii="Arial" w:cs="Arial" w:eastAsia="Arial" w:hAnsi="Arial"/>
          <w:sz w:val="22"/>
          <w:szCs w:val="22"/>
          <w:color w:val="auto"/>
        </w:rPr>
      </w:pPr>
    </w:p>
    <w:p>
      <w:pPr>
        <w:ind w:firstLine="2"/>
        <w:spacing w:after="0" w:line="298" w:lineRule="auto"/>
        <w:tabs>
          <w:tab w:leader="none" w:pos="975" w:val="left"/>
        </w:tabs>
        <w:numPr>
          <w:ilvl w:val="0"/>
          <w:numId w:val="66"/>
        </w:numPr>
        <w:rPr>
          <w:rFonts w:ascii="Arial" w:cs="Arial" w:eastAsia="Arial" w:hAnsi="Arial"/>
          <w:sz w:val="20"/>
          <w:szCs w:val="20"/>
          <w:color w:val="auto"/>
        </w:rPr>
      </w:pPr>
      <w:r>
        <w:rPr>
          <w:rFonts w:ascii="Arial" w:cs="Arial" w:eastAsia="Arial" w:hAnsi="Arial"/>
          <w:sz w:val="20"/>
          <w:szCs w:val="20"/>
          <w:color w:val="auto"/>
        </w:rPr>
        <w:t>Hotel for ESMO GI congress (Hotel Arts) … discounted advanced purchase rate which is nonrefundable $2013.56 (Charged to Berk’s AMEX 12/27/2016)…expense report submitted.</w:t>
      </w:r>
    </w:p>
    <w:p>
      <w:pPr>
        <w:spacing w:after="0" w:line="128" w:lineRule="exact"/>
        <w:rPr>
          <w:rFonts w:ascii="Arial" w:cs="Arial" w:eastAsia="Arial" w:hAnsi="Arial"/>
          <w:sz w:val="20"/>
          <w:szCs w:val="20"/>
          <w:color w:val="auto"/>
        </w:rPr>
      </w:pPr>
    </w:p>
    <w:p>
      <w:pPr>
        <w:ind w:firstLine="2"/>
        <w:spacing w:after="0" w:line="249" w:lineRule="auto"/>
        <w:tabs>
          <w:tab w:leader="none" w:pos="845" w:val="left"/>
        </w:tabs>
        <w:numPr>
          <w:ilvl w:val="0"/>
          <w:numId w:val="66"/>
        </w:numPr>
        <w:rPr>
          <w:rFonts w:ascii="Arial" w:cs="Arial" w:eastAsia="Arial" w:hAnsi="Arial"/>
          <w:sz w:val="22"/>
          <w:szCs w:val="22"/>
          <w:color w:val="auto"/>
        </w:rPr>
      </w:pPr>
      <w:r>
        <w:rPr>
          <w:rFonts w:ascii="Arial" w:cs="Arial" w:eastAsia="Arial" w:hAnsi="Arial"/>
          <w:sz w:val="22"/>
          <w:szCs w:val="22"/>
          <w:color w:val="auto"/>
        </w:rPr>
        <w:t>Airfare to T-cell lymphoma advisory board, San Fran, Jet Blue $1196.20 (Charged to Berk’s AMEX 12/20/2016)…expense report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483870</wp:posOffset>
            </wp:positionV>
            <wp:extent cx="576008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354" w:right="14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2"/>
          <w:szCs w:val="22"/>
          <w:b w:val="1"/>
          <w:bCs w:val="1"/>
          <w:color w:val="auto"/>
        </w:rPr>
        <w:t>Exhibit B</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 am transitioning from being a full-time employee of Verastem back to being a consultant, focused on helping Verastem to progress duvelisib and the rest of its portfolio of drugs. I have also joined Verastem’s clinical and scientific advisory board. I enjoyed working with the Verastem team and I look forward to continuing the relationship in my new capacity. I wish them every success with duvelisib and defactinib, and hope together we can bring some new therapies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474980</wp:posOffset>
            </wp:positionV>
            <wp:extent cx="576008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354" w:right="141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10.24</w:t>
      </w:r>
    </w:p>
    <w:p>
      <w:pPr>
        <w:spacing w:after="0" w:line="101"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20"/>
                <w:szCs w:val="20"/>
                <w:b w:val="1"/>
                <w:bCs w:val="1"/>
                <w:color w:val="auto"/>
              </w:rPr>
              <w:t>CONSULTANT:</w:t>
            </w:r>
          </w:p>
        </w:tc>
        <w:tc>
          <w:tcPr>
            <w:tcW w:w="6200" w:type="dxa"/>
            <w:vAlign w:val="bottom"/>
          </w:tcPr>
          <w:p>
            <w:pPr>
              <w:ind w:left="1180"/>
              <w:spacing w:after="0"/>
              <w:rPr>
                <w:sz w:val="20"/>
                <w:szCs w:val="20"/>
                <w:color w:val="auto"/>
              </w:rPr>
            </w:pPr>
            <w:r>
              <w:rPr>
                <w:rFonts w:ascii="Arial" w:cs="Arial" w:eastAsia="Arial" w:hAnsi="Arial"/>
                <w:sz w:val="20"/>
                <w:szCs w:val="20"/>
                <w:color w:val="auto"/>
              </w:rPr>
              <w:t>■ Greg Berk., M.D.</w:t>
            </w:r>
          </w:p>
        </w:tc>
      </w:tr>
      <w:tr>
        <w:trPr>
          <w:trHeight w:val="188"/>
        </w:trPr>
        <w:tc>
          <w:tcPr>
            <w:tcW w:w="3860" w:type="dxa"/>
            <w:vAlign w:val="bottom"/>
          </w:tcPr>
          <w:p>
            <w:pPr>
              <w:spacing w:after="0" w:line="188" w:lineRule="exact"/>
              <w:rPr>
                <w:sz w:val="20"/>
                <w:szCs w:val="20"/>
                <w:color w:val="auto"/>
              </w:rPr>
            </w:pPr>
            <w:r>
              <w:rPr>
                <w:rFonts w:ascii="Arial" w:cs="Arial" w:eastAsia="Arial" w:hAnsi="Arial"/>
                <w:sz w:val="20"/>
                <w:szCs w:val="20"/>
                <w:b w:val="1"/>
                <w:bCs w:val="1"/>
                <w:color w:val="auto"/>
              </w:rPr>
              <w:t>VERASTEM, INC. CONTACT:</w:t>
            </w:r>
          </w:p>
        </w:tc>
        <w:tc>
          <w:tcPr>
            <w:tcW w:w="6200" w:type="dxa"/>
            <w:vAlign w:val="bottom"/>
          </w:tcPr>
          <w:p>
            <w:pPr>
              <w:ind w:left="1180"/>
              <w:spacing w:after="0" w:line="188" w:lineRule="exact"/>
              <w:rPr>
                <w:sz w:val="20"/>
                <w:szCs w:val="20"/>
                <w:color w:val="auto"/>
              </w:rPr>
            </w:pPr>
            <w:r>
              <w:rPr>
                <w:rFonts w:ascii="Arial" w:cs="Arial" w:eastAsia="Arial" w:hAnsi="Arial"/>
                <w:sz w:val="20"/>
                <w:szCs w:val="20"/>
                <w:color w:val="auto"/>
              </w:rPr>
              <w:t>■ Robert C. Forrester</w:t>
            </w:r>
          </w:p>
        </w:tc>
      </w:tr>
      <w:tr>
        <w:trPr>
          <w:trHeight w:val="256"/>
        </w:trPr>
        <w:tc>
          <w:tcPr>
            <w:tcW w:w="3860" w:type="dxa"/>
            <w:vAlign w:val="bottom"/>
          </w:tcPr>
          <w:p>
            <w:pPr>
              <w:spacing w:after="0"/>
              <w:rPr>
                <w:sz w:val="20"/>
                <w:szCs w:val="20"/>
                <w:color w:val="auto"/>
              </w:rPr>
            </w:pPr>
            <w:r>
              <w:rPr>
                <w:rFonts w:ascii="Arial" w:cs="Arial" w:eastAsia="Arial" w:hAnsi="Arial"/>
                <w:sz w:val="20"/>
                <w:szCs w:val="20"/>
                <w:b w:val="1"/>
                <w:bCs w:val="1"/>
                <w:color w:val="auto"/>
              </w:rPr>
              <w:t>EFFECTIVE DATE:</w:t>
            </w:r>
          </w:p>
        </w:tc>
        <w:tc>
          <w:tcPr>
            <w:tcW w:w="6200" w:type="dxa"/>
            <w:vAlign w:val="bottom"/>
          </w:tcPr>
          <w:p>
            <w:pPr>
              <w:ind w:left="1180"/>
              <w:spacing w:after="0"/>
              <w:rPr>
                <w:sz w:val="20"/>
                <w:szCs w:val="20"/>
                <w:color w:val="auto"/>
              </w:rPr>
            </w:pPr>
            <w:r>
              <w:rPr>
                <w:rFonts w:ascii="Arial" w:cs="Arial" w:eastAsia="Arial" w:hAnsi="Arial"/>
                <w:sz w:val="20"/>
                <w:szCs w:val="20"/>
                <w:color w:val="auto"/>
              </w:rPr>
              <w:t>■ January 20 2017</w:t>
            </w:r>
          </w:p>
        </w:tc>
      </w:tr>
      <w:tr>
        <w:trPr>
          <w:trHeight w:val="134"/>
        </w:trPr>
        <w:tc>
          <w:tcPr>
            <w:tcW w:w="3860" w:type="dxa"/>
            <w:vAlign w:val="bottom"/>
            <w:tcBorders>
              <w:bottom w:val="single" w:sz="8" w:color="auto"/>
            </w:tcBorders>
          </w:tcPr>
          <w:p>
            <w:pPr>
              <w:spacing w:after="0"/>
              <w:rPr>
                <w:sz w:val="11"/>
                <w:szCs w:val="11"/>
                <w:color w:val="auto"/>
              </w:rPr>
            </w:pPr>
          </w:p>
        </w:tc>
        <w:tc>
          <w:tcPr>
            <w:tcW w:w="62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111125</wp:posOffset>
            </wp:positionV>
            <wp:extent cx="2409825" cy="7092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09825" cy="70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CONSULTING AGREEMENT</w:t>
      </w:r>
    </w:p>
    <w:p>
      <w:pPr>
        <w:spacing w:after="0" w:line="180" w:lineRule="exact"/>
        <w:rPr>
          <w:sz w:val="20"/>
          <w:szCs w:val="20"/>
          <w:color w:val="auto"/>
        </w:rPr>
      </w:pPr>
    </w:p>
    <w:p>
      <w:pPr>
        <w:jc w:val="both"/>
        <w:ind w:left="1" w:firstLine="646"/>
        <w:spacing w:after="0" w:line="220" w:lineRule="auto"/>
        <w:rPr>
          <w:sz w:val="20"/>
          <w:szCs w:val="20"/>
          <w:color w:val="auto"/>
        </w:rPr>
      </w:pPr>
      <w:r>
        <w:rPr>
          <w:rFonts w:ascii="Arial" w:cs="Arial" w:eastAsia="Arial" w:hAnsi="Arial"/>
          <w:sz w:val="19"/>
          <w:szCs w:val="19"/>
          <w:color w:val="auto"/>
        </w:rPr>
        <w:t xml:space="preserve">This Consulting Agreement (together with its attachments, this “Agreement”) made as of the date written above (the “Effective Date”) is between </w:t>
      </w:r>
      <w:r>
        <w:rPr>
          <w:rFonts w:ascii="Arial" w:cs="Arial" w:eastAsia="Arial" w:hAnsi="Arial"/>
          <w:sz w:val="19"/>
          <w:szCs w:val="19"/>
          <w:b w:val="1"/>
          <w:bCs w:val="1"/>
          <w:color w:val="auto"/>
        </w:rPr>
        <w:t>Verastem, Inc</w:t>
      </w:r>
      <w:r>
        <w:rPr>
          <w:rFonts w:ascii="Arial" w:cs="Arial" w:eastAsia="Arial" w:hAnsi="Arial"/>
          <w:sz w:val="19"/>
          <w:szCs w:val="19"/>
          <w:color w:val="auto"/>
        </w:rPr>
        <w:t>. a Delaware corporation having an address at 117 Kendrick Street, Suite 500, Needham, MA 02494 (the “Company”), and Greg Berk, residing at 133 Claybrook Road, Dover, MA 02030, (“Consultant”). The Company desires to have the benefit of Consultant's knowledge and experience, and Consultant desires to provide Consulting Services (defined below) to the Company, all as provided in this Agreement.</w:t>
      </w:r>
    </w:p>
    <w:p>
      <w:pPr>
        <w:spacing w:after="0" w:line="150" w:lineRule="exact"/>
        <w:rPr>
          <w:sz w:val="20"/>
          <w:szCs w:val="20"/>
          <w:color w:val="auto"/>
        </w:rPr>
      </w:pPr>
    </w:p>
    <w:p>
      <w:pPr>
        <w:jc w:val="both"/>
        <w:ind w:left="1" w:hanging="1"/>
        <w:spacing w:after="0" w:line="210" w:lineRule="auto"/>
        <w:tabs>
          <w:tab w:leader="none" w:pos="703"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Consulting Services</w:t>
      </w:r>
      <w:r>
        <w:rPr>
          <w:rFonts w:ascii="Arial" w:cs="Arial" w:eastAsia="Arial" w:hAnsi="Arial"/>
          <w:sz w:val="20"/>
          <w:szCs w:val="20"/>
          <w:color w:val="auto"/>
        </w:rPr>
        <w:t>. The Company hereby retains Consultant and Consultant agrees to provide Consulting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the Company (the “Consulting Services”) as it may from time to time reasonably request and as specified in the Business Terms attached to this Agreement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(“Business Terms”). Any changes to the Consulting Services or Business Terms (and any related compensation adjustments) must be agreed upon in writing between Consultant and the Company prior to implementation of such changes.</w:t>
      </w:r>
    </w:p>
    <w:p>
      <w:pPr>
        <w:spacing w:after="0" w:line="147" w:lineRule="exact"/>
        <w:rPr>
          <w:sz w:val="20"/>
          <w:szCs w:val="20"/>
          <w:color w:val="auto"/>
        </w:rPr>
      </w:pPr>
    </w:p>
    <w:p>
      <w:pPr>
        <w:jc w:val="both"/>
        <w:ind w:left="1301" w:hanging="645"/>
        <w:spacing w:after="0" w:line="220" w:lineRule="auto"/>
        <w:tabs>
          <w:tab w:leader="none" w:pos="1281"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 xml:space="preserve">Performance. </w:t>
      </w:r>
      <w:r>
        <w:rPr>
          <w:rFonts w:ascii="Arial" w:cs="Arial" w:eastAsia="Arial" w:hAnsi="Arial"/>
          <w:sz w:val="19"/>
          <w:szCs w:val="19"/>
          <w:color w:val="auto"/>
        </w:rPr>
        <w:t>Consultant agrees to render the Consulting Services to the Company, or to its designee, (a) at</w:t>
      </w:r>
      <w:r>
        <w:rPr>
          <w:rFonts w:ascii="Arial" w:cs="Arial" w:eastAsia="Arial" w:hAnsi="Arial"/>
          <w:sz w:val="19"/>
          <w:szCs w:val="19"/>
          <w:b w:val="1"/>
          <w:bCs w:val="1"/>
          <w:color w:val="auto"/>
        </w:rPr>
        <w:t xml:space="preserve"> </w:t>
      </w:r>
      <w:r>
        <w:rPr>
          <w:rFonts w:ascii="Arial" w:cs="Arial" w:eastAsia="Arial" w:hAnsi="Arial"/>
          <w:sz w:val="19"/>
          <w:szCs w:val="19"/>
          <w:color w:val="auto"/>
        </w:rPr>
        <w:t>such reasonably convenient times and places as the Company may direct, and (b) on a best efforts basis. Consultant will comply with all rules, procedures and standards promulgated from time to time by the Company with regard to Consultant’s access to and use of the Company’s property, information, equipment and facilities. Consultant agrees to furnish the Company with written reports with respect to the Consulting Services if and when requested by the Company.</w:t>
      </w:r>
    </w:p>
    <w:p>
      <w:pPr>
        <w:spacing w:after="0" w:line="149" w:lineRule="exact"/>
        <w:rPr>
          <w:sz w:val="20"/>
          <w:szCs w:val="20"/>
          <w:color w:val="auto"/>
        </w:rPr>
      </w:pPr>
    </w:p>
    <w:p>
      <w:pPr>
        <w:jc w:val="both"/>
        <w:ind w:left="1301" w:hanging="645"/>
        <w:spacing w:after="0" w:line="220" w:lineRule="auto"/>
        <w:tabs>
          <w:tab w:leader="none" w:pos="1281"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b w:val="1"/>
          <w:bCs w:val="1"/>
          <w:color w:val="auto"/>
        </w:rPr>
        <w:t>Third Party Confidential Information</w:t>
      </w:r>
      <w:r>
        <w:rPr>
          <w:rFonts w:ascii="Arial" w:cs="Arial" w:eastAsia="Arial" w:hAnsi="Arial"/>
          <w:sz w:val="20"/>
          <w:szCs w:val="20"/>
          <w:color w:val="auto"/>
        </w:rPr>
        <w:t>. Consultant agrees not to use or disclose any trade secrets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 information of any other person, firm, corporation, institution or other entity in connection with any of the Consulting Services without such third party’s express written consent.</w:t>
      </w:r>
    </w:p>
    <w:p>
      <w:pPr>
        <w:spacing w:after="0" w:line="148" w:lineRule="exact"/>
        <w:rPr>
          <w:sz w:val="20"/>
          <w:szCs w:val="20"/>
          <w:color w:val="auto"/>
        </w:rPr>
      </w:pPr>
    </w:p>
    <w:p>
      <w:pPr>
        <w:jc w:val="both"/>
        <w:ind w:left="1301" w:hanging="645"/>
        <w:spacing w:after="0" w:line="205" w:lineRule="auto"/>
        <w:tabs>
          <w:tab w:leader="none" w:pos="1281"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Compliance with Policies</w:t>
      </w:r>
      <w:r>
        <w:rPr>
          <w:rFonts w:ascii="Arial" w:cs="Arial" w:eastAsia="Arial" w:hAnsi="Arial"/>
          <w:sz w:val="20"/>
          <w:szCs w:val="20"/>
          <w:color w:val="auto"/>
        </w:rPr>
        <w:t>. If Consultant is a faculty member at or employee of a university or hospital</w:t>
      </w:r>
      <w:r>
        <w:rPr>
          <w:rFonts w:ascii="Arial" w:cs="Arial" w:eastAsia="Arial" w:hAnsi="Arial"/>
          <w:sz w:val="20"/>
          <w:szCs w:val="20"/>
          <w:b w:val="1"/>
          <w:bCs w:val="1"/>
          <w:color w:val="auto"/>
        </w:rPr>
        <w:t xml:space="preserve"> </w:t>
      </w:r>
      <w:r>
        <w:rPr>
          <w:rFonts w:ascii="Arial" w:cs="Arial" w:eastAsia="Arial" w:hAnsi="Arial"/>
          <w:sz w:val="20"/>
          <w:szCs w:val="20"/>
          <w:color w:val="auto"/>
        </w:rPr>
        <w:t>(“Institution”) or of another company, Consultant represents and warrants that, pursuant to Institution’s or company’s policies concerning professional consulting and additional workload, Consultant is permitted to enter into this Agreement. If Consultant is required by Consultant’s Institution to disclose to it any proposed agreements with industry, Consultant has made such disclosure. If Institution’s prior approval of this Agreement is required by Institution policies, Consultant has obtained or will obtain and deliver to the Company, Institution’s consent on the form attached to this Agreement prior to commencing the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639254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135" w:name="page136"/>
    <w:bookmarkEnd w:id="135"/>
    <w:p>
      <w:pPr>
        <w:jc w:val="both"/>
        <w:ind w:left="1301" w:hanging="645"/>
        <w:spacing w:after="0" w:line="234" w:lineRule="auto"/>
        <w:tabs>
          <w:tab w:leader="none" w:pos="1281"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8"/>
          <w:szCs w:val="18"/>
          <w:b w:val="1"/>
          <w:bCs w:val="1"/>
          <w:color w:val="auto"/>
        </w:rPr>
        <w:t>Consultant Personnel</w:t>
      </w:r>
      <w:r>
        <w:rPr>
          <w:rFonts w:ascii="Arial" w:cs="Arial" w:eastAsia="Arial" w:hAnsi="Arial"/>
          <w:sz w:val="18"/>
          <w:szCs w:val="18"/>
          <w:color w:val="auto"/>
        </w:rPr>
        <w:t>. In the event that others are, or may hereafter become, associated with Consultant or</w:t>
      </w:r>
      <w:r>
        <w:rPr>
          <w:rFonts w:ascii="Arial" w:cs="Arial" w:eastAsia="Arial" w:hAnsi="Arial"/>
          <w:sz w:val="18"/>
          <w:szCs w:val="18"/>
          <w:b w:val="1"/>
          <w:bCs w:val="1"/>
          <w:color w:val="auto"/>
        </w:rPr>
        <w:t xml:space="preserve"> </w:t>
      </w:r>
      <w:r>
        <w:rPr>
          <w:rFonts w:ascii="Arial" w:cs="Arial" w:eastAsia="Arial" w:hAnsi="Arial"/>
          <w:sz w:val="18"/>
          <w:szCs w:val="18"/>
          <w:color w:val="auto"/>
        </w:rPr>
        <w:t>are used by Consultant in connection with the Consulting Services (“Consultant Personnel”), Consultant agrees to procure from them agreements containing obligations substantially identical in form and content to those contained in this Agreement, and Consultant agrees to cooperate with the Company in procuring execution by them of such assignments and other papers as may be required by the terms of this Agreement.</w:t>
      </w:r>
    </w:p>
    <w:p>
      <w:pPr>
        <w:spacing w:after="0" w:line="148" w:lineRule="exact"/>
        <w:rPr>
          <w:sz w:val="20"/>
          <w:szCs w:val="20"/>
          <w:color w:val="auto"/>
        </w:rPr>
      </w:pPr>
    </w:p>
    <w:p>
      <w:pPr>
        <w:jc w:val="both"/>
        <w:ind w:left="1" w:hanging="1"/>
        <w:spacing w:after="0" w:line="206" w:lineRule="auto"/>
        <w:tabs>
          <w:tab w:leader="none" w:pos="736"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 In consideration for the Consulting Services rendered by Consultant to the Company,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agrees to pay Consultant the fees set forth in the Business Terms attached hereto. Unless otherwise specified in the Business Terms, undisputed payments will be made by the Company within thirty (30) days from the Company’s receipt of Consultant’s invoice. Invoices will contain such detail as the Company may reasonably require, and will be payable in U.S. Dollars in accordance with the terms and provisions of the Business Terms. The Company will reimburse Consultant for reasonable and pre-approved business expenses incurred by Consultant in the performance of the Consulting Services as specified in the Business Terms.</w:t>
      </w:r>
    </w:p>
    <w:p>
      <w:pPr>
        <w:spacing w:after="0" w:line="152" w:lineRule="exact"/>
        <w:rPr>
          <w:rFonts w:ascii="Arial" w:cs="Arial" w:eastAsia="Arial" w:hAnsi="Arial"/>
          <w:sz w:val="20"/>
          <w:szCs w:val="20"/>
          <w:b w:val="1"/>
          <w:bCs w:val="1"/>
          <w:color w:val="auto"/>
        </w:rPr>
      </w:pPr>
    </w:p>
    <w:p>
      <w:pPr>
        <w:ind w:left="641" w:hanging="641"/>
        <w:spacing w:after="0"/>
        <w:tabs>
          <w:tab w:leader="none" w:pos="641"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Inventions</w:t>
      </w:r>
      <w:r>
        <w:rPr>
          <w:rFonts w:ascii="Arial" w:cs="Arial" w:eastAsia="Arial" w:hAnsi="Arial"/>
          <w:sz w:val="20"/>
          <w:szCs w:val="20"/>
          <w:color w:val="auto"/>
        </w:rPr>
        <w:t>.</w:t>
      </w:r>
    </w:p>
    <w:p>
      <w:pPr>
        <w:spacing w:after="0" w:line="173" w:lineRule="exact"/>
        <w:rPr>
          <w:rFonts w:ascii="Arial" w:cs="Arial" w:eastAsia="Arial" w:hAnsi="Arial"/>
          <w:sz w:val="20"/>
          <w:szCs w:val="20"/>
          <w:b w:val="1"/>
          <w:bCs w:val="1"/>
          <w:color w:val="auto"/>
        </w:rPr>
      </w:pPr>
    </w:p>
    <w:p>
      <w:pPr>
        <w:ind w:left="1281" w:hanging="646"/>
        <w:spacing w:after="0" w:line="217" w:lineRule="auto"/>
        <w:rPr>
          <w:rFonts w:ascii="Arial" w:cs="Arial" w:eastAsia="Arial" w:hAnsi="Arial"/>
          <w:sz w:val="20"/>
          <w:szCs w:val="20"/>
          <w:b w:val="1"/>
          <w:bCs w:val="1"/>
          <w:color w:val="auto"/>
        </w:rPr>
      </w:pPr>
      <w:r>
        <w:rPr>
          <w:rFonts w:ascii="Arial" w:cs="Arial" w:eastAsia="Arial" w:hAnsi="Arial"/>
          <w:sz w:val="20"/>
          <w:szCs w:val="20"/>
          <w:b w:val="1"/>
          <w:bCs w:val="1"/>
          <w:color w:val="auto"/>
        </w:rPr>
        <w:t>3.1</w:t>
      </w:r>
      <w:r>
        <w:rPr>
          <w:rFonts w:ascii="Arial" w:cs="Arial" w:eastAsia="Arial" w:hAnsi="Arial"/>
          <w:sz w:val="19"/>
          <w:szCs w:val="19"/>
          <w:b w:val="1"/>
          <w:bCs w:val="1"/>
          <w:color w:val="auto"/>
        </w:rPr>
        <w:t>Definition</w:t>
      </w:r>
      <w:r>
        <w:rPr>
          <w:rFonts w:ascii="Arial" w:cs="Arial" w:eastAsia="Arial" w:hAnsi="Arial"/>
          <w:sz w:val="19"/>
          <w:szCs w:val="19"/>
          <w:color w:val="auto"/>
        </w:rPr>
        <w:t>. “Inventions” means all inventions, discoveries, improvements, ideas, designs, processes,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computer programs, works of authorship, databases, gene sequences, cell lines, samples, chemical compounds, assays, biological materials, mask works, trade secrets, know-how, research and creations (whether or not patentable or subject to copyright or trade secret protection) that Consultant makes, conceives or reduces to practice, either alone or jointly with others, and that (a) result from the performance of the Consulting Services, and/or (b) result from use of facilities, equipment, supplies, Research Materials (defined below), or Confidential Information (defined below) of the Company.</w:t>
      </w:r>
    </w:p>
    <w:p>
      <w:pPr>
        <w:spacing w:after="0" w:line="151" w:lineRule="exact"/>
        <w:rPr>
          <w:rFonts w:ascii="Arial" w:cs="Arial" w:eastAsia="Arial" w:hAnsi="Arial"/>
          <w:sz w:val="20"/>
          <w:szCs w:val="20"/>
          <w:b w:val="1"/>
          <w:bCs w:val="1"/>
          <w:color w:val="auto"/>
        </w:rPr>
      </w:pPr>
    </w:p>
    <w:p>
      <w:pPr>
        <w:ind w:left="1301" w:hanging="646"/>
        <w:spacing w:after="0" w:line="222" w:lineRule="auto"/>
        <w:rPr>
          <w:rFonts w:ascii="Arial" w:cs="Arial" w:eastAsia="Arial" w:hAnsi="Arial"/>
          <w:sz w:val="20"/>
          <w:szCs w:val="20"/>
          <w:b w:val="1"/>
          <w:bCs w:val="1"/>
          <w:color w:val="auto"/>
        </w:rPr>
      </w:pPr>
      <w:r>
        <w:rPr>
          <w:rFonts w:ascii="Arial" w:cs="Arial" w:eastAsia="Arial" w:hAnsi="Arial"/>
          <w:sz w:val="20"/>
          <w:szCs w:val="20"/>
          <w:b w:val="1"/>
          <w:bCs w:val="1"/>
          <w:color w:val="auto"/>
        </w:rPr>
        <w:t>3.2</w:t>
      </w:r>
      <w:r>
        <w:rPr>
          <w:rFonts w:ascii="Arial" w:cs="Arial" w:eastAsia="Arial" w:hAnsi="Arial"/>
          <w:sz w:val="18"/>
          <w:szCs w:val="18"/>
          <w:b w:val="1"/>
          <w:bCs w:val="1"/>
          <w:color w:val="auto"/>
        </w:rPr>
        <w:t>Ownership</w:t>
      </w:r>
      <w:r>
        <w:rPr>
          <w:rFonts w:ascii="Arial" w:cs="Arial" w:eastAsia="Arial" w:hAnsi="Arial"/>
          <w:sz w:val="18"/>
          <w:szCs w:val="18"/>
          <w:color w:val="auto"/>
        </w:rPr>
        <w:t>. Consultant will promptly disclose all Inventions in confidence to the Company.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irrevocably transfer and assign and hereby does irrevocably transfer and assign to the Company or its successors or designees the entire right, title and interest now existing or that may exist in the future in and to all right, title and interest in and to all Inventions and any and all related patents, patent applications, copyrights, copyright applications, trademarks, trade names, trade secrets and other proprietary and moral rights in the United States and throughout the world (“Work Product”). All Work Product will be the exclusive property of the Company. For purposes of the copyright laws of the United States, all Work Product will constitute “works made for hire”, except to the extent such Inventions cannot by law be “works made for hire”. Consultant agrees to execute, at the Company’s request and expense, all documents and other instruments necessary or desirable to confirm such assignment. In the event that Consultant does not, for any reason, execute such documents within a reasonable time of the Company’s request, Consultant hereby irrevocably appoints the Company as Consultant’s attorney-in-fact for the purpose of executing such documents on Consultant’s behalf, which appointment is coupled with an interest. Consultant shall not attempt to register any works created by Consultant pursuant to this Agreement at the U.S. Copyright Office, the U.S. Patent &amp; Trademark Office, or any foreign copyright, patent, or trademark registry. Consultant retains no rights in the Work Product and agrees not to challenge the Company’s ownership of the rights embodied in the Work Product. Consultant further agrees to assist the Company in every proper way to enforce the Company’s rights relating to the Work Product in any and all countries, including,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125095</wp:posOffset>
            </wp:positionV>
            <wp:extent cx="639254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136" w:name="page137"/>
    <w:bookmarkEnd w:id="136"/>
    <w:p>
      <w:pPr>
        <w:jc w:val="both"/>
        <w:ind w:left="780"/>
        <w:spacing w:after="0" w:line="217" w:lineRule="auto"/>
        <w:rPr>
          <w:sz w:val="20"/>
          <w:szCs w:val="20"/>
          <w:color w:val="auto"/>
        </w:rPr>
      </w:pPr>
      <w:r>
        <w:rPr>
          <w:rFonts w:ascii="Arial" w:cs="Arial" w:eastAsia="Arial" w:hAnsi="Arial"/>
          <w:sz w:val="20"/>
          <w:szCs w:val="20"/>
          <w:color w:val="auto"/>
        </w:rPr>
        <w:t>not limited to, executing, verifying and delivering such documents and performing such other acts (including appearing as a witness) as the Company may reasonably request for use in obtaining, perfecting, evidencing, sustaining and enforcing the Company’s rights relating to the Work Product.</w:t>
      </w:r>
    </w:p>
    <w:p>
      <w:pPr>
        <w:spacing w:after="0" w:line="151" w:lineRule="exact"/>
        <w:rPr>
          <w:sz w:val="20"/>
          <w:szCs w:val="20"/>
          <w:color w:val="auto"/>
        </w:rPr>
      </w:pPr>
    </w:p>
    <w:p>
      <w:pPr>
        <w:jc w:val="both"/>
        <w:ind w:left="780" w:hanging="645"/>
        <w:spacing w:after="0" w:line="216" w:lineRule="auto"/>
        <w:tabs>
          <w:tab w:leader="none" w:pos="76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9"/>
          <w:szCs w:val="19"/>
          <w:b w:val="1"/>
          <w:bCs w:val="1"/>
          <w:color w:val="auto"/>
        </w:rPr>
        <w:t xml:space="preserve">Moral Rights. </w:t>
      </w:r>
      <w:r>
        <w:rPr>
          <w:rFonts w:ascii="Arial" w:cs="Arial" w:eastAsia="Arial" w:hAnsi="Arial"/>
          <w:sz w:val="19"/>
          <w:szCs w:val="19"/>
          <w:color w:val="auto"/>
        </w:rPr>
        <w:t>If Consultant has any rights, including without limitation “artist’s rights” or “moral rights” in</w:t>
      </w:r>
      <w:r>
        <w:rPr>
          <w:rFonts w:ascii="Arial" w:cs="Arial" w:eastAsia="Arial" w:hAnsi="Arial"/>
          <w:sz w:val="19"/>
          <w:szCs w:val="19"/>
          <w:b w:val="1"/>
          <w:bCs w:val="1"/>
          <w:color w:val="auto"/>
        </w:rPr>
        <w:t xml:space="preserve"> </w:t>
      </w:r>
      <w:r>
        <w:rPr>
          <w:rFonts w:ascii="Arial" w:cs="Arial" w:eastAsia="Arial" w:hAnsi="Arial"/>
          <w:sz w:val="19"/>
          <w:szCs w:val="19"/>
          <w:color w:val="auto"/>
        </w:rPr>
        <w:t>the Work Product which cannot be assigned (the “Non-Assignable Rights”), Consultant agrees to waive enforcement worldwide of such rights against the Company. In the event that Consultant has any such rights that cannot be assigned or waived, Consultant hereby grants to the Company a royalty-free, paid-up, exclusive, worldwide, irrevocable, perpetual license under the Non-Assignable Rights to (i) use, make, sell, offer to sell, have made, commercialize, and further sublicense the Work Product, and (ii) reproduce, distribute, create derivative works of, publicly perform and publicly display the Work Product in any medium or format, whether now known or later developed.</w:t>
      </w:r>
    </w:p>
    <w:p>
      <w:pPr>
        <w:spacing w:after="0" w:line="150" w:lineRule="exact"/>
        <w:rPr>
          <w:sz w:val="20"/>
          <w:szCs w:val="20"/>
          <w:color w:val="auto"/>
        </w:rPr>
      </w:pPr>
    </w:p>
    <w:p>
      <w:pPr>
        <w:jc w:val="both"/>
        <w:ind w:left="780" w:hanging="645"/>
        <w:spacing w:after="0" w:line="227" w:lineRule="auto"/>
        <w:tabs>
          <w:tab w:leader="none" w:pos="76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8"/>
          <w:szCs w:val="18"/>
          <w:b w:val="1"/>
          <w:bCs w:val="1"/>
          <w:color w:val="auto"/>
        </w:rPr>
        <w:t>Research Materials</w:t>
      </w:r>
      <w:r>
        <w:rPr>
          <w:rFonts w:ascii="Arial" w:cs="Arial" w:eastAsia="Arial" w:hAnsi="Arial"/>
          <w:sz w:val="18"/>
          <w:szCs w:val="18"/>
          <w:color w:val="auto"/>
        </w:rPr>
        <w:t>. For Consulting Services which involve laboratory work or experiments,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means all materials (a) furnished by the Company, (b) developed by Consultant in connection with the Consulting Services, or (c) the cost of which are reimbursed to Consultant by the Company. Research Materials include, in the case of biological materials, all progeny and unmodified derivatives of those materials, and in the case of chemical materials, all analogs, formulations, mixtures and compositions of those materials. Research Materials are the sole property of the Company. Consultant agrees not to use or evaluate Research Materials for any purpose other than as directed by the Company, and not to transfer the Research Materials to any third party without the prior written consent of the Company. Consultant will use the Research Materials in strict compliance with all laws and regulations.</w:t>
      </w:r>
    </w:p>
    <w:p>
      <w:pPr>
        <w:spacing w:after="0" w:line="149" w:lineRule="exact"/>
        <w:rPr>
          <w:sz w:val="20"/>
          <w:szCs w:val="20"/>
          <w:color w:val="auto"/>
        </w:rPr>
      </w:pPr>
    </w:p>
    <w:p>
      <w:pPr>
        <w:jc w:val="both"/>
        <w:ind w:left="780" w:hanging="645"/>
        <w:spacing w:after="0" w:line="247" w:lineRule="auto"/>
        <w:tabs>
          <w:tab w:leader="none" w:pos="76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9"/>
          <w:szCs w:val="19"/>
          <w:b w:val="1"/>
          <w:bCs w:val="1"/>
          <w:color w:val="auto"/>
        </w:rPr>
        <w:t xml:space="preserve">Records. </w:t>
      </w:r>
      <w:r>
        <w:rPr>
          <w:rFonts w:ascii="Arial" w:cs="Arial" w:eastAsia="Arial" w:hAnsi="Arial"/>
          <w:sz w:val="19"/>
          <w:szCs w:val="19"/>
          <w:color w:val="auto"/>
        </w:rPr>
        <w:t>Consultant shall make and maintain adequate and current written records of all Inventions, which</w:t>
      </w:r>
      <w:r>
        <w:rPr>
          <w:rFonts w:ascii="Arial" w:cs="Arial" w:eastAsia="Arial" w:hAnsi="Arial"/>
          <w:sz w:val="19"/>
          <w:szCs w:val="19"/>
          <w:b w:val="1"/>
          <w:bCs w:val="1"/>
          <w:color w:val="auto"/>
        </w:rPr>
        <w:t xml:space="preserve"> </w:t>
      </w:r>
      <w:r>
        <w:rPr>
          <w:rFonts w:ascii="Arial" w:cs="Arial" w:eastAsia="Arial" w:hAnsi="Arial"/>
          <w:sz w:val="19"/>
          <w:szCs w:val="19"/>
          <w:color w:val="auto"/>
        </w:rPr>
        <w:t>records shall be available to and remain the property of the Company at all times.</w:t>
      </w:r>
    </w:p>
    <w:p>
      <w:pPr>
        <w:spacing w:after="0" w:line="142" w:lineRule="exact"/>
        <w:rPr>
          <w:sz w:val="20"/>
          <w:szCs w:val="20"/>
          <w:color w:val="auto"/>
        </w:rPr>
      </w:pPr>
    </w:p>
    <w:p>
      <w:pPr>
        <w:jc w:val="both"/>
        <w:ind w:left="780" w:hanging="645"/>
        <w:spacing w:after="0" w:line="214" w:lineRule="auto"/>
        <w:tabs>
          <w:tab w:leader="none" w:pos="76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19"/>
          <w:szCs w:val="19"/>
          <w:b w:val="1"/>
          <w:bCs w:val="1"/>
          <w:color w:val="auto"/>
        </w:rPr>
        <w:t>Agreement with Institution</w:t>
      </w:r>
      <w:r>
        <w:rPr>
          <w:rFonts w:ascii="Arial" w:cs="Arial" w:eastAsia="Arial" w:hAnsi="Arial"/>
          <w:sz w:val="19"/>
          <w:szCs w:val="19"/>
          <w:color w:val="auto"/>
        </w:rPr>
        <w:t>. This Agreement is made subject to the understanding that Consultant, if</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affiliated with an Institution, may be required to fulfill certain obligations, including teaching, directing laboratory operations, conducting research, and publishing work. It is further understood that Consultant may have signed an agreement concerning inventions with Institution, under which Consultant may be obligated to assign to Institution certain inventions which arise out of or otherwise relate to Consultant’s work at or for Institution or from Consultant’s use of certain of its facilities or intellectual property. In performing the Consulting Services, Consultant agrees not to utilize Institution facilities or intellectual property if the result of such use is that any Inventions will not be assignable solely to the Company. Use of Institution's telephone, fax machines or computers for communication purposes, however, will not constitute use of Institution's facilities under this Agreement.</w:t>
      </w:r>
    </w:p>
    <w:p>
      <w:pPr>
        <w:spacing w:after="0" w:line="151" w:lineRule="exact"/>
        <w:rPr>
          <w:sz w:val="20"/>
          <w:szCs w:val="20"/>
          <w:color w:val="auto"/>
        </w:rPr>
      </w:pPr>
    </w:p>
    <w:p>
      <w:pPr>
        <w:jc w:val="both"/>
        <w:ind w:left="780" w:hanging="645"/>
        <w:spacing w:after="0" w:line="214" w:lineRule="auto"/>
        <w:tabs>
          <w:tab w:leader="none" w:pos="76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20"/>
          <w:szCs w:val="20"/>
          <w:b w:val="1"/>
          <w:bCs w:val="1"/>
          <w:color w:val="auto"/>
        </w:rPr>
        <w:t xml:space="preserve">Work at Third Party Facilities. </w:t>
      </w:r>
      <w:r>
        <w:rPr>
          <w:rFonts w:ascii="Arial" w:cs="Arial" w:eastAsia="Arial" w:hAnsi="Arial"/>
          <w:sz w:val="20"/>
          <w:szCs w:val="20"/>
          <w:color w:val="auto"/>
        </w:rPr>
        <w:t>Consultant agrees not to make use of any funds, space, personnel, facilities,</w:t>
      </w:r>
      <w:r>
        <w:rPr>
          <w:rFonts w:ascii="Arial" w:cs="Arial" w:eastAsia="Arial" w:hAnsi="Arial"/>
          <w:sz w:val="20"/>
          <w:szCs w:val="20"/>
          <w:b w:val="1"/>
          <w:bCs w:val="1"/>
          <w:color w:val="auto"/>
        </w:rPr>
        <w:t xml:space="preserve"> </w:t>
      </w:r>
      <w:r>
        <w:rPr>
          <w:rFonts w:ascii="Arial" w:cs="Arial" w:eastAsia="Arial" w:hAnsi="Arial"/>
          <w:sz w:val="20"/>
          <w:szCs w:val="20"/>
          <w:color w:val="auto"/>
        </w:rPr>
        <w:t>equipment or other resources of a third party in performing the Consulting Services, and further agrees not to take any other action that would result in a third party owning or having a right in any Inventions, unless agreed upon in writing in advance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117475</wp:posOffset>
            </wp:positionV>
            <wp:extent cx="639254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40"/>
          </w:cols>
          <w:pgMar w:left="1440" w:top="110" w:right="919" w:bottom="1440" w:gutter="0" w:footer="0" w:header="0"/>
        </w:sectPr>
      </w:pPr>
    </w:p>
    <w:bookmarkStart w:id="137" w:name="page138"/>
    <w:bookmarkEnd w:id="137"/>
    <w:p>
      <w:pPr>
        <w:ind w:left="641" w:hanging="641"/>
        <w:spacing w:after="0"/>
        <w:tabs>
          <w:tab w:leader="none" w:pos="641"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w:t>
      </w:r>
      <w:r>
        <w:rPr>
          <w:rFonts w:ascii="Arial" w:cs="Arial" w:eastAsia="Arial" w:hAnsi="Arial"/>
          <w:sz w:val="20"/>
          <w:szCs w:val="20"/>
          <w:color w:val="auto"/>
        </w:rPr>
        <w:t>.</w:t>
      </w:r>
    </w:p>
    <w:p>
      <w:pPr>
        <w:spacing w:after="0" w:line="173" w:lineRule="exact"/>
        <w:rPr>
          <w:sz w:val="20"/>
          <w:szCs w:val="20"/>
          <w:color w:val="auto"/>
        </w:rPr>
      </w:pPr>
    </w:p>
    <w:p>
      <w:pPr>
        <w:jc w:val="both"/>
        <w:ind w:left="1301" w:hanging="645"/>
        <w:spacing w:after="0" w:line="249" w:lineRule="auto"/>
        <w:tabs>
          <w:tab w:leader="none" w:pos="1281"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6"/>
          <w:szCs w:val="16"/>
          <w:b w:val="1"/>
          <w:bCs w:val="1"/>
          <w:color w:val="auto"/>
        </w:rPr>
        <w:t xml:space="preserve">Definition. </w:t>
      </w:r>
      <w:r>
        <w:rPr>
          <w:rFonts w:ascii="Arial" w:cs="Arial" w:eastAsia="Arial" w:hAnsi="Arial"/>
          <w:sz w:val="16"/>
          <w:szCs w:val="16"/>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means</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with respect to the facilities and methods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Research Materials, trade secrets, Inventions, systems, patents and patent applications, procedures, manuals, confidential reports, financial or legal information, business plans, prospects, or opportunities, personnel information, lists of customers and suppliers, and information of third parties provided by the Company to Consultant. Confidential Information does not include information which (i) is in the public domain or which becomes part of the public domain through no wrongful act on Consultant’s part but only after it becomes so publicly known, (ii) is already in Consultant’s possession at the time of disclosure by the Company, other than by previous disclosure by the Company, as evidenced by written or electronic records, or</w:t>
      </w:r>
    </w:p>
    <w:p>
      <w:pPr>
        <w:spacing w:after="0" w:line="2" w:lineRule="exact"/>
        <w:rPr>
          <w:sz w:val="20"/>
          <w:szCs w:val="20"/>
          <w:color w:val="auto"/>
        </w:rPr>
      </w:pPr>
    </w:p>
    <w:p>
      <w:pPr>
        <w:ind w:left="1301" w:hanging="9"/>
        <w:spacing w:after="0" w:line="220" w:lineRule="auto"/>
        <w:tabs>
          <w:tab w:leader="none" w:pos="1672"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that becomes known to Consultant through disclosure by a third party having the right to disclose the information, as evidenced by written or electronic records.</w:t>
      </w:r>
    </w:p>
    <w:p>
      <w:pPr>
        <w:spacing w:after="0" w:line="149" w:lineRule="exact"/>
        <w:rPr>
          <w:sz w:val="20"/>
          <w:szCs w:val="20"/>
          <w:color w:val="auto"/>
        </w:rPr>
      </w:pPr>
    </w:p>
    <w:p>
      <w:pPr>
        <w:jc w:val="both"/>
        <w:ind w:left="1301" w:hanging="645"/>
        <w:spacing w:after="0" w:line="221" w:lineRule="auto"/>
        <w:tabs>
          <w:tab w:leader="none" w:pos="1281"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8"/>
          <w:szCs w:val="18"/>
          <w:b w:val="1"/>
          <w:bCs w:val="1"/>
          <w:color w:val="auto"/>
        </w:rPr>
        <w:t>Obligations of Confidentiality</w:t>
      </w:r>
      <w:r>
        <w:rPr>
          <w:rFonts w:ascii="Arial" w:cs="Arial" w:eastAsia="Arial" w:hAnsi="Arial"/>
          <w:sz w:val="18"/>
          <w:szCs w:val="18"/>
          <w:color w:val="auto"/>
        </w:rPr>
        <w:t>. Consultant will not directly or indirectly publish, disseminate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 use for Consultant’s own benefit or for the benefit of a third party, deliver or make available to any third party, any Confidential Information, other than in furtherance of the purposes of this Agreement, and only then with the prior written consent of the Company, and it is agreed and understood that all Confidential Information shall remain the sole property of the Company. Without the Company’s prior written approval, Consultant will not directly or indirectly disclose to anyone the existence or terms of this Agreement or the fact that Consultant has this arrangement with the Company. If required, Consultant may disclose the Confidential Information to a governmental authority or by order of a court of competent jurisdiction, provided that such disclosure is subject to all applicable governmental or judicial protection available for like material and reasonable advance notice of such compulsory disclosure is given to the Company. Consultant will exercise all reasonable precautions to protect the physical integrity and confidentiality of the Confidential Information, and will not remove any Confidential Information or copies or derivations thereof from the Company’s premises except to the extent necessary to fulfill the Consulting Services, and then only with the Company’s prior consent. Consultant may disseminate or permit access to Confidential Information only to Consultant Personnel who have a need to know such Confidential Information in the course of the performance of their duties under this Agreement and who are bound to protect the confidentiality of the Confidential Information consistent with the terms of this Agreement. Consultant agrees to be responsible for any breach of this Agreement by any of the Consultant Personnel. The Company will be entitled to injunctive relief as a remedy for any breach of the terms of this Section 4. Consultant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Consultant may be held liable if he unlawfully accesses trade secrets by unauthorized means.</w:t>
      </w:r>
    </w:p>
    <w:p>
      <w:pPr>
        <w:spacing w:after="0" w:line="163" w:lineRule="exact"/>
        <w:rPr>
          <w:sz w:val="20"/>
          <w:szCs w:val="20"/>
          <w:color w:val="auto"/>
        </w:rPr>
      </w:pPr>
    </w:p>
    <w:p>
      <w:pPr>
        <w:jc w:val="both"/>
        <w:ind w:left="1301" w:hanging="645"/>
        <w:spacing w:after="0" w:line="238" w:lineRule="auto"/>
        <w:tabs>
          <w:tab w:leader="none" w:pos="1281"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8"/>
          <w:szCs w:val="18"/>
          <w:b w:val="1"/>
          <w:bCs w:val="1"/>
          <w:color w:val="auto"/>
        </w:rPr>
        <w:t>Third Party Confidential Information</w:t>
      </w:r>
      <w:r>
        <w:rPr>
          <w:rFonts w:ascii="Arial" w:cs="Arial" w:eastAsia="Arial" w:hAnsi="Arial"/>
          <w:sz w:val="18"/>
          <w:szCs w:val="18"/>
          <w:color w:val="auto"/>
        </w:rPr>
        <w:t>. Consultant recognizes that the Company has received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will receive from third parties confidential and proprietary information (“Third Party Information”) subject to a duty on the Company’s part to maintain the confidentiality of such information and to use it only for certain limited purposes. Consultant agrees that Consultant owes the Company and such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639254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138" w:name="page139"/>
    <w:bookmarkEnd w:id="138"/>
    <w:p>
      <w:pPr>
        <w:jc w:val="both"/>
        <w:ind w:left="1301"/>
        <w:spacing w:after="0" w:line="213" w:lineRule="auto"/>
        <w:rPr>
          <w:sz w:val="20"/>
          <w:szCs w:val="20"/>
          <w:color w:val="auto"/>
        </w:rPr>
      </w:pPr>
      <w:r>
        <w:rPr>
          <w:rFonts w:ascii="Arial" w:cs="Arial" w:eastAsia="Arial" w:hAnsi="Arial"/>
          <w:sz w:val="20"/>
          <w:szCs w:val="20"/>
          <w:color w:val="auto"/>
        </w:rPr>
        <w:t>during the term of this Agreement and thereafter, a duty to hold Third Party Information in the strictest confidence in accordance with the Company’s obligations to such third party, and agrees not to disclose it to any person, firm or corporation or use it except in carrying out the Consulting Services for the Company consistent with the Company’s agreement with such third party.</w:t>
      </w:r>
    </w:p>
    <w:p>
      <w:pPr>
        <w:spacing w:after="0" w:line="148" w:lineRule="exact"/>
        <w:rPr>
          <w:sz w:val="20"/>
          <w:szCs w:val="20"/>
          <w:color w:val="auto"/>
        </w:rPr>
      </w:pPr>
    </w:p>
    <w:p>
      <w:pPr>
        <w:ind w:left="641" w:hanging="641"/>
        <w:spacing w:after="0"/>
        <w:tabs>
          <w:tab w:leader="none" w:pos="641"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w:t>
      </w:r>
    </w:p>
    <w:p>
      <w:pPr>
        <w:spacing w:after="0" w:line="173" w:lineRule="exact"/>
        <w:rPr>
          <w:rFonts w:ascii="Arial" w:cs="Arial" w:eastAsia="Arial" w:hAnsi="Arial"/>
          <w:sz w:val="20"/>
          <w:szCs w:val="20"/>
          <w:b w:val="1"/>
          <w:bCs w:val="1"/>
          <w:color w:val="auto"/>
        </w:rPr>
      </w:pPr>
    </w:p>
    <w:p>
      <w:pPr>
        <w:ind w:left="1301" w:hanging="646"/>
        <w:spacing w:after="0" w:line="228" w:lineRule="auto"/>
        <w:rPr>
          <w:rFonts w:ascii="Arial" w:cs="Arial" w:eastAsia="Arial" w:hAnsi="Arial"/>
          <w:sz w:val="20"/>
          <w:szCs w:val="20"/>
          <w:b w:val="1"/>
          <w:bCs w:val="1"/>
          <w:color w:val="auto"/>
        </w:rPr>
      </w:pPr>
      <w:r>
        <w:rPr>
          <w:rFonts w:ascii="Arial" w:cs="Arial" w:eastAsia="Arial" w:hAnsi="Arial"/>
          <w:sz w:val="20"/>
          <w:szCs w:val="20"/>
          <w:b w:val="1"/>
          <w:bCs w:val="1"/>
          <w:color w:val="auto"/>
        </w:rPr>
        <w:t>5.1</w:t>
      </w:r>
      <w:r>
        <w:rPr>
          <w:rFonts w:ascii="Arial" w:cs="Arial" w:eastAsia="Arial" w:hAnsi="Arial"/>
          <w:sz w:val="20"/>
          <w:szCs w:val="20"/>
          <w:color w:val="auto"/>
        </w:rPr>
        <w:t>While Consultant is engaged by the Company and for a period of twelve (12) months after the termination or cessation of such engagement for any reason, Consultant will not:</w:t>
      </w:r>
    </w:p>
    <w:p>
      <w:pPr>
        <w:spacing w:after="0" w:line="161" w:lineRule="exact"/>
        <w:rPr>
          <w:rFonts w:ascii="Arial" w:cs="Arial" w:eastAsia="Arial" w:hAnsi="Arial"/>
          <w:sz w:val="20"/>
          <w:szCs w:val="20"/>
          <w:b w:val="1"/>
          <w:bCs w:val="1"/>
          <w:color w:val="auto"/>
        </w:rPr>
      </w:pPr>
    </w:p>
    <w:p>
      <w:pPr>
        <w:jc w:val="both"/>
        <w:ind w:left="1301" w:hanging="9"/>
        <w:spacing w:after="0" w:line="224" w:lineRule="auto"/>
        <w:tabs>
          <w:tab w:leader="none" w:pos="1949" w:val="left"/>
        </w:tabs>
        <w:numPr>
          <w:ilvl w:val="1"/>
          <w:numId w:val="71"/>
        </w:numPr>
        <w:rPr>
          <w:rFonts w:ascii="Arial" w:cs="Arial" w:eastAsia="Arial" w:hAnsi="Arial"/>
          <w:sz w:val="18"/>
          <w:szCs w:val="18"/>
          <w:color w:val="auto"/>
        </w:rPr>
      </w:pPr>
      <w:r>
        <w:rPr>
          <w:rFonts w:ascii="Arial" w:cs="Arial" w:eastAsia="Arial" w:hAnsi="Arial"/>
          <w:sz w:val="18"/>
          <w:szCs w:val="18"/>
          <w:color w:val="auto"/>
        </w:rPr>
        <w:t>within the United States or any other geographic region in which the Company conducts its business, and in any capacity, whether individually or as an employee, consultant, director, officer, agent, advisor or otherwise, for or on behalf of any entity (a “Competing Organization”), engage in any business activities that are competitive with any of the material business activities of the Company, including without limitation the research, development, sale or marketing of any competitive product of the Company, unless Consultant’s duties at such Competing Organization do not include duties relating to any product, process, service or business activity that competes or is reasonably expected to compete with a material product, process, service or business activity in existence or being conducted, provided or developed by the Company, and provided that Consultant has delivered to the Company a written statement, confirmed by Consultant’s prospective employer or consulting client, as the case may be, describing Consultant’s duties and stating that such duties are consistent with Consultant’s obligations under this Agreement; or,</w:t>
      </w:r>
    </w:p>
    <w:p>
      <w:pPr>
        <w:spacing w:after="0" w:line="162" w:lineRule="exact"/>
        <w:rPr>
          <w:rFonts w:ascii="Arial" w:cs="Arial" w:eastAsia="Arial" w:hAnsi="Arial"/>
          <w:sz w:val="18"/>
          <w:szCs w:val="18"/>
          <w:color w:val="auto"/>
        </w:rPr>
      </w:pPr>
    </w:p>
    <w:p>
      <w:pPr>
        <w:jc w:val="both"/>
        <w:ind w:left="1301" w:hanging="9"/>
        <w:spacing w:after="0" w:line="212" w:lineRule="auto"/>
        <w:tabs>
          <w:tab w:leader="none" w:pos="2153" w:val="left"/>
        </w:tabs>
        <w:numPr>
          <w:ilvl w:val="1"/>
          <w:numId w:val="71"/>
        </w:numPr>
        <w:rPr>
          <w:rFonts w:ascii="Arial" w:cs="Arial" w:eastAsia="Arial" w:hAnsi="Arial"/>
          <w:sz w:val="20"/>
          <w:szCs w:val="20"/>
          <w:color w:val="auto"/>
        </w:rPr>
      </w:pPr>
      <w:r>
        <w:rPr>
          <w:rFonts w:ascii="Arial" w:cs="Arial" w:eastAsia="Arial" w:hAnsi="Arial"/>
          <w:sz w:val="20"/>
          <w:szCs w:val="20"/>
          <w:color w:val="auto"/>
        </w:rPr>
        <w:t>whether directly or indirectly, solicit, attempt to solicit or in any manner assist any other party to solicit any employee, independent contractor, or consultant of the Company to terminate or diminish his, her or its relationship with the Company in order to become an employee, consultant, or independent contractor to or for any other person or entity.</w:t>
      </w:r>
    </w:p>
    <w:p>
      <w:pPr>
        <w:spacing w:after="0" w:line="150" w:lineRule="exact"/>
        <w:rPr>
          <w:sz w:val="20"/>
          <w:szCs w:val="20"/>
          <w:color w:val="auto"/>
        </w:rPr>
      </w:pPr>
    </w:p>
    <w:p>
      <w:pPr>
        <w:jc w:val="both"/>
        <w:ind w:left="1301" w:hanging="645"/>
        <w:spacing w:after="0" w:line="209" w:lineRule="auto"/>
        <w:tabs>
          <w:tab w:leader="none" w:pos="1281"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20"/>
          <w:szCs w:val="20"/>
          <w:color w:val="auto"/>
        </w:rPr>
        <w:t>As used in this Section 5, “competitive” activities means discovering, developing or commercializing drugs that selectively target cancer stem cells, “competitive” products means drugs that selectively target cancer stem cells, and an “employee,” “independent contractor” or “consultant” of the Company is any person who holds or at any time during the six-month period prior to the termination of Consultant’s engagement by Company held such status with Company.</w:t>
      </w:r>
    </w:p>
    <w:p>
      <w:pPr>
        <w:spacing w:after="0" w:line="156" w:lineRule="exact"/>
        <w:rPr>
          <w:sz w:val="20"/>
          <w:szCs w:val="20"/>
          <w:color w:val="auto"/>
        </w:rPr>
      </w:pPr>
    </w:p>
    <w:p>
      <w:pPr>
        <w:ind w:left="641" w:hanging="641"/>
        <w:spacing w:after="0"/>
        <w:tabs>
          <w:tab w:leader="none" w:pos="641"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w:t>
      </w:r>
    </w:p>
    <w:p>
      <w:pPr>
        <w:spacing w:after="0" w:line="173" w:lineRule="exact"/>
        <w:rPr>
          <w:rFonts w:ascii="Arial" w:cs="Arial" w:eastAsia="Arial" w:hAnsi="Arial"/>
          <w:sz w:val="20"/>
          <w:szCs w:val="20"/>
          <w:b w:val="1"/>
          <w:bCs w:val="1"/>
          <w:color w:val="auto"/>
        </w:rPr>
      </w:pPr>
    </w:p>
    <w:p>
      <w:pPr>
        <w:ind w:left="1301" w:hanging="646"/>
        <w:spacing w:after="0" w:line="217" w:lineRule="auto"/>
        <w:rPr>
          <w:rFonts w:ascii="Arial" w:cs="Arial" w:eastAsia="Arial" w:hAnsi="Arial"/>
          <w:sz w:val="20"/>
          <w:szCs w:val="20"/>
          <w:b w:val="1"/>
          <w:bCs w:val="1"/>
          <w:color w:val="auto"/>
        </w:rPr>
      </w:pPr>
      <w:r>
        <w:rPr>
          <w:rFonts w:ascii="Arial" w:cs="Arial" w:eastAsia="Arial" w:hAnsi="Arial"/>
          <w:sz w:val="20"/>
          <w:szCs w:val="20"/>
          <w:b w:val="1"/>
          <w:bCs w:val="1"/>
          <w:color w:val="auto"/>
        </w:rPr>
        <w:t>6.1</w:t>
      </w:r>
      <w:r>
        <w:rPr>
          <w:rFonts w:ascii="Arial" w:cs="Arial" w:eastAsia="Arial" w:hAnsi="Arial"/>
          <w:sz w:val="19"/>
          <w:szCs w:val="19"/>
          <w:b w:val="1"/>
          <w:bCs w:val="1"/>
          <w:color w:val="auto"/>
        </w:rPr>
        <w:t>No Conflicts</w:t>
      </w:r>
      <w:r>
        <w:rPr>
          <w:rFonts w:ascii="Arial" w:cs="Arial" w:eastAsia="Arial" w:hAnsi="Arial"/>
          <w:sz w:val="19"/>
          <w:szCs w:val="19"/>
          <w:color w:val="auto"/>
        </w:rPr>
        <w:t>. Consultant is under no contractual or other obligation or restriction which is inconsistent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Consultant’s execution of this Agreement or the performance of the Consulting Services. During the Term (as defined below), Consultant will not enter into any agreement, either written or oral, in conflict with Consultant’s obligations under this Agreement. Consultant will arrange to provide the Consulting Services in such manner and at such times that the Consulting Services will not conflict with Consultant’s responsibilities under any other agreement, arrangement or understanding or pursuant to any employment relationship Consultant has at any time with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639254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139" w:name="page140"/>
    <w:bookmarkEnd w:id="139"/>
    <w:p>
      <w:pPr>
        <w:jc w:val="both"/>
        <w:ind w:left="1301" w:hanging="645"/>
        <w:spacing w:after="0" w:line="213" w:lineRule="auto"/>
        <w:tabs>
          <w:tab w:leader="none" w:pos="1281"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Absence of Debarment</w:t>
      </w:r>
      <w:r>
        <w:rPr>
          <w:rFonts w:ascii="Arial" w:cs="Arial" w:eastAsia="Arial" w:hAnsi="Arial"/>
          <w:sz w:val="19"/>
          <w:szCs w:val="19"/>
          <w:color w:val="auto"/>
        </w:rPr>
        <w:t>. Consultant represents that (a) neither Consultant nor any Consultant Personnel has</w:t>
      </w:r>
      <w:r>
        <w:rPr>
          <w:rFonts w:ascii="Arial" w:cs="Arial" w:eastAsia="Arial" w:hAnsi="Arial"/>
          <w:sz w:val="19"/>
          <w:szCs w:val="19"/>
          <w:b w:val="1"/>
          <w:bCs w:val="1"/>
          <w:color w:val="auto"/>
        </w:rPr>
        <w:t xml:space="preserve"> </w:t>
      </w:r>
      <w:r>
        <w:rPr>
          <w:rFonts w:ascii="Arial" w:cs="Arial" w:eastAsia="Arial" w:hAnsi="Arial"/>
          <w:sz w:val="19"/>
          <w:szCs w:val="19"/>
          <w:color w:val="auto"/>
        </w:rPr>
        <w:t>been debarred, and to the best of Consultant’s knowledge is not under consideration to be debarred, by the U.S. Food and Drug Administration (“FDA”) from working in or providing consulting services to any pharmaceutical or biotechnology company under Section 306(a) or 306(b) of the federal Food, Drug and Cosmetic Act (codified at 21 U.S.C. §§ 335a(a) and 335a(b)); (b) no debarred person will in the future be employed by Consultant to perform any services hereunder in connection with any application for approval of a drug by the FDA; and (c) neither Consultant nor any Consultant Personnel has a conviction on their record for which a person can be debarred as decribed in Sections 306(a) or 306(b) of the federal Food, Drug and Cosmetic Act. Consultant further represents and warrants that should Consultant or any Consultant Personnel be convicted in the future of any act for which a person can be debarred as described in Sections 306(a) or 306(b) of the federal Food, Drug and Cosmetic Act, Consultant shall immediately notify Company of such conviction in writing.</w:t>
      </w:r>
    </w:p>
    <w:p>
      <w:pPr>
        <w:spacing w:after="0" w:line="149" w:lineRule="exact"/>
        <w:rPr>
          <w:sz w:val="20"/>
          <w:szCs w:val="20"/>
          <w:color w:val="auto"/>
        </w:rPr>
      </w:pPr>
    </w:p>
    <w:p>
      <w:pPr>
        <w:jc w:val="both"/>
        <w:ind w:left="1301" w:hanging="645"/>
        <w:spacing w:after="0" w:line="231" w:lineRule="auto"/>
        <w:tabs>
          <w:tab w:leader="none" w:pos="1281"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8"/>
          <w:szCs w:val="18"/>
          <w:b w:val="1"/>
          <w:bCs w:val="1"/>
          <w:color w:val="auto"/>
        </w:rPr>
        <w:t>Assignment of Ownership in Work Product</w:t>
      </w:r>
      <w:r>
        <w:rPr>
          <w:rFonts w:ascii="Arial" w:cs="Arial" w:eastAsia="Arial" w:hAnsi="Arial"/>
          <w:sz w:val="18"/>
          <w:szCs w:val="18"/>
          <w:color w:val="auto"/>
        </w:rPr>
        <w:t>. Consultant represents and warrants that (i) Consultant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and unrestricted ability to assign the Work Product to the Company as set forth in Section 3 (including without limitation the right to assign any Work Product created by Consultant’s employees or contractors); (ii) the Work Product has not heretofore been published in whole or in part; and (iii) the Work Product will not infringe upon any copyright, patent, trademark, right of publicity or privacy, or any other proprietary or intellectual property right of any person, whether contractual, statutory or common law.</w:t>
      </w:r>
    </w:p>
    <w:p>
      <w:pPr>
        <w:spacing w:after="0" w:line="150" w:lineRule="exact"/>
        <w:rPr>
          <w:sz w:val="20"/>
          <w:szCs w:val="20"/>
          <w:color w:val="auto"/>
        </w:rPr>
      </w:pPr>
    </w:p>
    <w:p>
      <w:pPr>
        <w:jc w:val="both"/>
        <w:ind w:left="1301" w:hanging="645"/>
        <w:spacing w:after="0" w:line="214" w:lineRule="auto"/>
        <w:tabs>
          <w:tab w:leader="none" w:pos="1281"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20"/>
          <w:szCs w:val="20"/>
          <w:b w:val="1"/>
          <w:bCs w:val="1"/>
          <w:color w:val="auto"/>
        </w:rPr>
        <w:t>Compliance with Law</w:t>
      </w:r>
      <w:r>
        <w:rPr>
          <w:rFonts w:ascii="Arial" w:cs="Arial" w:eastAsia="Arial" w:hAnsi="Arial"/>
          <w:sz w:val="20"/>
          <w:szCs w:val="20"/>
          <w:color w:val="auto"/>
        </w:rPr>
        <w:t>. Consultant covenants that the services to be provided hereunder shall be in</w:t>
      </w:r>
      <w:r>
        <w:rPr>
          <w:rFonts w:ascii="Arial" w:cs="Arial" w:eastAsia="Arial" w:hAnsi="Arial"/>
          <w:sz w:val="20"/>
          <w:szCs w:val="20"/>
          <w:b w:val="1"/>
          <w:bCs w:val="1"/>
          <w:color w:val="auto"/>
        </w:rPr>
        <w:t xml:space="preserve"> </w:t>
      </w:r>
      <w:r>
        <w:rPr>
          <w:rFonts w:ascii="Arial" w:cs="Arial" w:eastAsia="Arial" w:hAnsi="Arial"/>
          <w:sz w:val="20"/>
          <w:szCs w:val="20"/>
          <w:color w:val="auto"/>
        </w:rPr>
        <w:t>compliance with all applicable laws, rules and regulations. Consultant acknowledges that Consultant is subject to the Company’s insider trading policy, a copy of which can be found on the Company’s website at www.verastem.com.</w:t>
      </w:r>
    </w:p>
    <w:p>
      <w:pPr>
        <w:spacing w:after="0" w:line="149" w:lineRule="exact"/>
        <w:rPr>
          <w:sz w:val="20"/>
          <w:szCs w:val="20"/>
          <w:color w:val="auto"/>
        </w:rPr>
      </w:pPr>
    </w:p>
    <w:p>
      <w:pPr>
        <w:jc w:val="both"/>
        <w:ind w:left="1301" w:hanging="645"/>
        <w:spacing w:after="0" w:line="228" w:lineRule="auto"/>
        <w:tabs>
          <w:tab w:leader="none" w:pos="1281"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8"/>
          <w:szCs w:val="18"/>
          <w:b w:val="1"/>
          <w:bCs w:val="1"/>
          <w:color w:val="auto"/>
        </w:rPr>
        <w:t xml:space="preserve">No Conflicting Agreements. </w:t>
      </w:r>
      <w:r>
        <w:rPr>
          <w:rFonts w:ascii="Arial" w:cs="Arial" w:eastAsia="Arial" w:hAnsi="Arial"/>
          <w:sz w:val="18"/>
          <w:szCs w:val="18"/>
          <w:color w:val="auto"/>
        </w:rPr>
        <w:t>Consultant represents that Consultant’s performance of all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as a provider of services to the Company does not and will not breach any agreement to keep in confidence proprietary information, knowledge or data acquired by Consultant in confidence or in trust prior to or during this Agreement, and Consultant has not and will not disclose to the Company or induce the Company to use any confidential or proprietary information or material belonging to any previous employers or other third parties. When performing the Consulting Services, Consultant agrees to use only such materials and information of any kind that Consultant has rightfully obtained and that are not considered proprietary or confidential by any third party unless agreed to otherwise by the Company in writing.</w:t>
      </w:r>
    </w:p>
    <w:p>
      <w:pPr>
        <w:spacing w:after="0" w:line="150" w:lineRule="exact"/>
        <w:rPr>
          <w:sz w:val="20"/>
          <w:szCs w:val="20"/>
          <w:color w:val="auto"/>
        </w:rPr>
      </w:pPr>
    </w:p>
    <w:p>
      <w:pPr>
        <w:ind w:left="641" w:hanging="641"/>
        <w:spacing w:after="0"/>
        <w:tabs>
          <w:tab w:leader="none" w:pos="641"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r>
        <w:rPr>
          <w:rFonts w:ascii="Arial" w:cs="Arial" w:eastAsia="Arial" w:hAnsi="Arial"/>
          <w:sz w:val="20"/>
          <w:szCs w:val="20"/>
          <w:color w:val="auto"/>
        </w:rPr>
        <w:t>.</w:t>
      </w:r>
    </w:p>
    <w:p>
      <w:pPr>
        <w:spacing w:after="0" w:line="173" w:lineRule="exact"/>
        <w:rPr>
          <w:rFonts w:ascii="Arial" w:cs="Arial" w:eastAsia="Arial" w:hAnsi="Arial"/>
          <w:sz w:val="20"/>
          <w:szCs w:val="20"/>
          <w:b w:val="1"/>
          <w:bCs w:val="1"/>
          <w:color w:val="auto"/>
        </w:rPr>
      </w:pPr>
    </w:p>
    <w:p>
      <w:pPr>
        <w:ind w:left="1301" w:hanging="646"/>
        <w:spacing w:after="0" w:line="220" w:lineRule="auto"/>
        <w:rPr>
          <w:rFonts w:ascii="Arial" w:cs="Arial" w:eastAsia="Arial" w:hAnsi="Arial"/>
          <w:sz w:val="20"/>
          <w:szCs w:val="20"/>
          <w:b w:val="1"/>
          <w:bCs w:val="1"/>
          <w:color w:val="auto"/>
        </w:rPr>
      </w:pPr>
      <w:r>
        <w:rPr>
          <w:rFonts w:ascii="Arial" w:cs="Arial" w:eastAsia="Arial" w:hAnsi="Arial"/>
          <w:sz w:val="20"/>
          <w:szCs w:val="20"/>
          <w:b w:val="1"/>
          <w:bCs w:val="1"/>
          <w:color w:val="auto"/>
        </w:rPr>
        <w:t>7.1Term</w:t>
      </w:r>
      <w:r>
        <w:rPr>
          <w:rFonts w:ascii="Arial" w:cs="Arial" w:eastAsia="Arial" w:hAnsi="Arial"/>
          <w:sz w:val="20"/>
          <w:szCs w:val="20"/>
          <w:color w:val="auto"/>
        </w:rPr>
        <w:t>. This Agreement will commence on the Effective Date and continue for the term specified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Terms (the “Term”), unless sooner terminated pursuant to the express terms of this Section 7 or extended by mutual agreement of the parties.</w:t>
      </w:r>
    </w:p>
    <w:p>
      <w:pPr>
        <w:spacing w:after="0" w:line="148" w:lineRule="exact"/>
        <w:rPr>
          <w:rFonts w:ascii="Arial" w:cs="Arial" w:eastAsia="Arial" w:hAnsi="Arial"/>
          <w:sz w:val="20"/>
          <w:szCs w:val="20"/>
          <w:b w:val="1"/>
          <w:bCs w:val="1"/>
          <w:color w:val="auto"/>
        </w:rPr>
      </w:pPr>
    </w:p>
    <w:p>
      <w:pPr>
        <w:ind w:left="1301" w:hanging="646"/>
        <w:spacing w:after="0" w:line="214" w:lineRule="auto"/>
        <w:rPr>
          <w:rFonts w:ascii="Arial" w:cs="Arial" w:eastAsia="Arial" w:hAnsi="Arial"/>
          <w:sz w:val="20"/>
          <w:szCs w:val="20"/>
          <w:b w:val="1"/>
          <w:bCs w:val="1"/>
          <w:color w:val="auto"/>
        </w:rPr>
      </w:pPr>
      <w:r>
        <w:rPr>
          <w:rFonts w:ascii="Arial" w:cs="Arial" w:eastAsia="Arial" w:hAnsi="Arial"/>
          <w:sz w:val="20"/>
          <w:szCs w:val="20"/>
          <w:b w:val="1"/>
          <w:bCs w:val="1"/>
          <w:color w:val="auto"/>
        </w:rPr>
        <w:t>7.2Termination for Breach</w:t>
      </w:r>
      <w:r>
        <w:rPr>
          <w:rFonts w:ascii="Arial" w:cs="Arial" w:eastAsia="Arial" w:hAnsi="Arial"/>
          <w:sz w:val="20"/>
          <w:szCs w:val="20"/>
          <w:color w:val="auto"/>
        </w:rPr>
        <w:t>. If either party breaches in any material respect any of its obligations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 addition to any other right or remedy, the non-breaching party may terminate this Agreement in the event that the breach is not cured within ten (10) days after receipt by that party of written notice of the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639254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140" w:name="page141"/>
    <w:bookmarkEnd w:id="140"/>
    <w:p>
      <w:pPr>
        <w:jc w:val="both"/>
        <w:ind w:left="1301" w:hanging="645"/>
        <w:spacing w:after="0" w:line="219" w:lineRule="auto"/>
        <w:tabs>
          <w:tab w:leader="none" w:pos="1281"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9"/>
          <w:szCs w:val="19"/>
          <w:b w:val="1"/>
          <w:bCs w:val="1"/>
          <w:color w:val="auto"/>
        </w:rPr>
        <w:t>Termination by Either Party</w:t>
      </w:r>
      <w:r>
        <w:rPr>
          <w:rFonts w:ascii="Arial" w:cs="Arial" w:eastAsia="Arial" w:hAnsi="Arial"/>
          <w:sz w:val="19"/>
          <w:szCs w:val="19"/>
          <w:color w:val="auto"/>
        </w:rPr>
        <w:t>. Either party may terminate this Agreement (a) immediately at any time upon</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the other party in the event of a breach of this Agreement by non-terminating party which cannot be cured (</w:t>
      </w:r>
      <w:r>
        <w:rPr>
          <w:rFonts w:ascii="Arial" w:cs="Arial" w:eastAsia="Arial" w:hAnsi="Arial"/>
          <w:sz w:val="19"/>
          <w:szCs w:val="19"/>
          <w:i w:val="1"/>
          <w:iCs w:val="1"/>
          <w:color w:val="auto"/>
        </w:rPr>
        <w:t>e.g.</w:t>
      </w:r>
      <w:r>
        <w:rPr>
          <w:rFonts w:ascii="Arial" w:cs="Arial" w:eastAsia="Arial" w:hAnsi="Arial"/>
          <w:sz w:val="19"/>
          <w:szCs w:val="19"/>
          <w:color w:val="auto"/>
        </w:rPr>
        <w:t>, breach of the confidentiality obligation) and/or (b) at any time without cause upon not less than thirty (30) days’ prior written notice to the other party. In addition, the Company may terminate this Agreement immediately at any time upon written notice to Consultant in the event Consultant revokes his acceptance of the Separation Agreement (as defined below).</w:t>
      </w:r>
    </w:p>
    <w:p>
      <w:pPr>
        <w:spacing w:after="0" w:line="149" w:lineRule="exact"/>
        <w:rPr>
          <w:sz w:val="20"/>
          <w:szCs w:val="20"/>
          <w:color w:val="auto"/>
        </w:rPr>
      </w:pPr>
    </w:p>
    <w:p>
      <w:pPr>
        <w:jc w:val="both"/>
        <w:ind w:left="1301" w:hanging="645"/>
        <w:spacing w:after="0" w:line="222" w:lineRule="auto"/>
        <w:tabs>
          <w:tab w:leader="none" w:pos="1281"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8"/>
          <w:szCs w:val="18"/>
          <w:b w:val="1"/>
          <w:bCs w:val="1"/>
          <w:color w:val="auto"/>
        </w:rPr>
        <w:t xml:space="preserve">Effect of Expiration/Termination. </w:t>
      </w:r>
      <w:r>
        <w:rPr>
          <w:rFonts w:ascii="Arial" w:cs="Arial" w:eastAsia="Arial" w:hAnsi="Arial"/>
          <w:sz w:val="18"/>
          <w:szCs w:val="18"/>
          <w:color w:val="auto"/>
        </w:rPr>
        <w:t>Upon expiration or termination of this Agreement, neither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nor Consultant will have any further obligations under this Agreement, except (a) for liabilities accrued through the date of termination, and (b) the obligations under Sections 3, 4, 5, 6, 7 and 8 hereof will survive. Upon expiration or termination, and in any case upon the Company’s request, Consultant will return immediately to the Company all tangible Confidential Information and all tangible Third Party Information, including all copies, reproductions and derivations thereof, and all of the Company’s property, equipment, and documents. Consultant will not copy, delete, or alter any information contained on any Company property, equipment, or documents before returning such to the Company. In addition, if Consultant has used any personal computer, server, electronic device, or e-mail system to receive, store, review, prepare or transmit any Confidential Information or Third Party Information, Consultant will provide the Company with a computer-useable copy of all such Confidential Information and Third Party Information and then will delete any such Confidential Information or Third Party Information from Consultant’s computer storage or any other media (including, but not limited to, online and off-line libraries). Consultant agrees to provide the Company access to its system as reasonably requested to verify that the necessary copying and/or deletion has been completed. Consultant further agrees that any property situated on Company premises and owned by the Company will be subject to inspection by the Company’s personnel at any time with or without notice. Consultant will, promptly upon expiration or termination, certify in writing that it has complied with the requirements of this section ; provided, however, that Consultants obligations under this Agreement will continue even if Consultants fails or declines to provide such written certification.</w:t>
      </w:r>
    </w:p>
    <w:p>
      <w:pPr>
        <w:spacing w:after="0" w:line="158" w:lineRule="exact"/>
        <w:rPr>
          <w:sz w:val="20"/>
          <w:szCs w:val="20"/>
          <w:color w:val="auto"/>
        </w:rPr>
      </w:pPr>
    </w:p>
    <w:p>
      <w:pPr>
        <w:ind w:left="641" w:hanging="641"/>
        <w:spacing w:after="0"/>
        <w:tabs>
          <w:tab w:leader="none" w:pos="641"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173" w:lineRule="exact"/>
        <w:rPr>
          <w:rFonts w:ascii="Arial" w:cs="Arial" w:eastAsia="Arial" w:hAnsi="Arial"/>
          <w:sz w:val="20"/>
          <w:szCs w:val="20"/>
          <w:b w:val="1"/>
          <w:bCs w:val="1"/>
          <w:color w:val="auto"/>
        </w:rPr>
      </w:pPr>
    </w:p>
    <w:p>
      <w:pPr>
        <w:ind w:left="1301" w:hanging="646"/>
        <w:spacing w:after="0" w:line="254" w:lineRule="auto"/>
        <w:rPr>
          <w:rFonts w:ascii="Arial" w:cs="Arial" w:eastAsia="Arial" w:hAnsi="Arial"/>
          <w:sz w:val="20"/>
          <w:szCs w:val="20"/>
          <w:b w:val="1"/>
          <w:bCs w:val="1"/>
          <w:color w:val="auto"/>
        </w:rPr>
      </w:pPr>
      <w:r>
        <w:rPr>
          <w:rFonts w:ascii="Arial" w:cs="Arial" w:eastAsia="Arial" w:hAnsi="Arial"/>
          <w:sz w:val="20"/>
          <w:szCs w:val="20"/>
          <w:b w:val="1"/>
          <w:bCs w:val="1"/>
          <w:color w:val="auto"/>
        </w:rPr>
        <w:t>8.1</w:t>
      </w:r>
      <w:r>
        <w:rPr>
          <w:rFonts w:ascii="Arial" w:cs="Arial" w:eastAsia="Arial" w:hAnsi="Arial"/>
          <w:sz w:val="16"/>
          <w:szCs w:val="16"/>
          <w:b w:val="1"/>
          <w:bCs w:val="1"/>
          <w:color w:val="auto"/>
        </w:rPr>
        <w:t>Independent Contractor</w:t>
      </w:r>
      <w:r>
        <w:rPr>
          <w:rFonts w:ascii="Arial" w:cs="Arial" w:eastAsia="Arial" w:hAnsi="Arial"/>
          <w:sz w:val="16"/>
          <w:szCs w:val="16"/>
          <w:color w:val="auto"/>
        </w:rPr>
        <w:t>. All Consulting Services will be rendered by Consultant as an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and this Agreement does not create an employer-employee, partnership, agency or joint venture relationship between the Company and Consultant. Consultant will have no rights to receive any employee benefits, such as health and accident insurance, sick leave or vacation which are accorded to regular Company employees, except as may be required by COBRA. Consultant will not in any way represent himself to be an employee, partner, joint venturer, or agent of the Company. Consultant is not authorized to make any representation, contract, or commitment on behalf of the Company or incur any liabilities or obligations of any kind in the name of or on behalf of the Company. Consultant shall work independently, without day-to-day direction from the Company, and may adopt such arrangements as Consultant desires with regard to the details of the Consulting Services performed under this Agreement, the hours during which the Consulting Services will be provided, and the place or places where the Consulting Services are to be furnished; provided that: (a) such arrangements, details, hours and location of services shall be consistent with the proper accomplishment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639254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141" w:name="page142"/>
    <w:bookmarkEnd w:id="141"/>
    <w:p>
      <w:pPr>
        <w:ind w:left="780"/>
        <w:spacing w:after="0" w:line="229" w:lineRule="auto"/>
        <w:rPr>
          <w:sz w:val="20"/>
          <w:szCs w:val="20"/>
          <w:color w:val="auto"/>
        </w:rPr>
      </w:pPr>
      <w:r>
        <w:rPr>
          <w:rFonts w:ascii="Arial" w:cs="Arial" w:eastAsia="Arial" w:hAnsi="Arial"/>
          <w:sz w:val="20"/>
          <w:szCs w:val="20"/>
          <w:color w:val="auto"/>
        </w:rPr>
        <w:t>of the agreed objectives of the Company; and (b) such services by Consultant shall be performed in a manner calculated to obtain the most satisfactory results for the Company.</w:t>
      </w:r>
    </w:p>
    <w:p>
      <w:pPr>
        <w:spacing w:after="0" w:line="149" w:lineRule="exact"/>
        <w:rPr>
          <w:sz w:val="20"/>
          <w:szCs w:val="20"/>
          <w:color w:val="auto"/>
        </w:rPr>
      </w:pPr>
    </w:p>
    <w:p>
      <w:pPr>
        <w:jc w:val="both"/>
        <w:ind w:left="780" w:hanging="645"/>
        <w:spacing w:after="0" w:line="223" w:lineRule="auto"/>
        <w:tabs>
          <w:tab w:leader="none" w:pos="76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8"/>
          <w:szCs w:val="18"/>
          <w:b w:val="1"/>
          <w:bCs w:val="1"/>
          <w:color w:val="auto"/>
        </w:rPr>
        <w:t xml:space="preserve">Taxes. </w:t>
      </w:r>
      <w:r>
        <w:rPr>
          <w:rFonts w:ascii="Arial" w:cs="Arial" w:eastAsia="Arial" w:hAnsi="Arial"/>
          <w:sz w:val="18"/>
          <w:szCs w:val="18"/>
          <w:color w:val="auto"/>
        </w:rPr>
        <w:t>Consultant and the Company agree that the Company will treat Consultant as an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for purposes of all tax laws (local, state and federal) and file income reporting and other forms consistent with such status. Consultant agrees that, as an independent contractor, neither Consultant nor Consultant’s employees are entitled to unemployment benefits in the event this Agreement terminates, or to workers’ compensation benefits in the event that Consultant, or any employee of Consultant, is injured in any manner while performing obligations under this Agreement. Consultant will be solely responsible to pay any and all local, state, and/or federal income, social security and unemployment taxes for Consultant and Consultant’s employees. The Company will not withhold any taxes or prepare W-2 Forms for Consultant, but will provide Consultant with a Form 1099 if and to the extent required by law. Consultant is solely responsible for, and will timely file, all tax returns and payments required to be filed with, or made to, any federal, state or local tax authority with respect to the performance of services and receipt of fees under this Agreement. Consultant is solely responsible for, and must maintain adequate records of, expenses incurred in the course of performing services under this Agreement, except as provided herein. The Company will regularly report amounts paid to Consultant with the appropriate taxing authorities, as required by law. Consultant will provide the Company with Consultant’s taxpayer identification number or social security number, as applicable.</w:t>
      </w:r>
    </w:p>
    <w:p>
      <w:pPr>
        <w:spacing w:after="0" w:line="157" w:lineRule="exact"/>
        <w:rPr>
          <w:sz w:val="20"/>
          <w:szCs w:val="20"/>
          <w:color w:val="auto"/>
        </w:rPr>
      </w:pPr>
    </w:p>
    <w:p>
      <w:pPr>
        <w:jc w:val="both"/>
        <w:ind w:left="780" w:hanging="645"/>
        <w:spacing w:after="0" w:line="214" w:lineRule="auto"/>
        <w:tabs>
          <w:tab w:leader="none" w:pos="76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20"/>
          <w:szCs w:val="20"/>
          <w:b w:val="1"/>
          <w:bCs w:val="1"/>
          <w:color w:val="auto"/>
        </w:rPr>
        <w:t>Use of Name</w:t>
      </w:r>
      <w:r>
        <w:rPr>
          <w:rFonts w:ascii="Arial" w:cs="Arial" w:eastAsia="Arial" w:hAnsi="Arial"/>
          <w:sz w:val="20"/>
          <w:szCs w:val="20"/>
          <w:color w:val="auto"/>
        </w:rPr>
        <w:t>. Consultant consents to the use by the Company of Consultant’s name and likeness in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materials and oral presentations to current or prospective customers, partners, investors or others, provided that such materials or presentations accurately describe the nature of Consultant’s relationship with and contributions to the Company.</w:t>
      </w:r>
    </w:p>
    <w:p>
      <w:pPr>
        <w:spacing w:after="0" w:line="149" w:lineRule="exact"/>
        <w:rPr>
          <w:sz w:val="20"/>
          <w:szCs w:val="20"/>
          <w:color w:val="auto"/>
        </w:rPr>
      </w:pPr>
    </w:p>
    <w:p>
      <w:pPr>
        <w:jc w:val="both"/>
        <w:ind w:left="780" w:hanging="645"/>
        <w:spacing w:after="0" w:line="215" w:lineRule="auto"/>
        <w:tabs>
          <w:tab w:leader="none" w:pos="76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9"/>
          <w:szCs w:val="19"/>
          <w:b w:val="1"/>
          <w:bCs w:val="1"/>
          <w:color w:val="auto"/>
        </w:rPr>
        <w:t>Assignability and Binding Effect</w:t>
      </w:r>
      <w:r>
        <w:rPr>
          <w:rFonts w:ascii="Arial" w:cs="Arial" w:eastAsia="Arial" w:hAnsi="Arial"/>
          <w:sz w:val="19"/>
          <w:szCs w:val="19"/>
          <w:color w:val="auto"/>
        </w:rPr>
        <w:t>. The Consulting Services to be rendered by Consultant are personal in</w:t>
      </w:r>
      <w:r>
        <w:rPr>
          <w:rFonts w:ascii="Arial" w:cs="Arial" w:eastAsia="Arial" w:hAnsi="Arial"/>
          <w:sz w:val="19"/>
          <w:szCs w:val="19"/>
          <w:b w:val="1"/>
          <w:bCs w:val="1"/>
          <w:color w:val="auto"/>
        </w:rPr>
        <w:t xml:space="preserve"> </w:t>
      </w:r>
      <w:r>
        <w:rPr>
          <w:rFonts w:ascii="Arial" w:cs="Arial" w:eastAsia="Arial" w:hAnsi="Arial"/>
          <w:sz w:val="19"/>
          <w:szCs w:val="19"/>
          <w:color w:val="auto"/>
        </w:rPr>
        <w:t>nature. Consultant may not assign or transfer this Agreement or any of Consultant’s rights or obligations hereunder except to a corporation of which Consultant is the sole stockholder. In no event will Consultant assign or delegate responsibility for actual performance of the Consulting Services to any other natural person except to Consultant Personnel as provided for under this Agreement. This Agreement will be binding upon and inure to the benefit of the parties and their respective legal representatives, heirs, successors and permitted assigns. The Company may assign this Agreement to any other corporation or entity which acquires (whether by purchase, merger, consolidation or otherwise) all or substantially all of the business and/or assets of the Company.</w:t>
      </w:r>
    </w:p>
    <w:p>
      <w:pPr>
        <w:spacing w:after="0" w:line="150" w:lineRule="exact"/>
        <w:rPr>
          <w:sz w:val="20"/>
          <w:szCs w:val="20"/>
          <w:color w:val="auto"/>
        </w:rPr>
      </w:pPr>
    </w:p>
    <w:p>
      <w:pPr>
        <w:jc w:val="both"/>
        <w:ind w:left="760" w:hanging="645"/>
        <w:spacing w:after="0" w:line="231" w:lineRule="auto"/>
        <w:tabs>
          <w:tab w:leader="none" w:pos="74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20"/>
          <w:szCs w:val="20"/>
          <w:b w:val="1"/>
          <w:bCs w:val="1"/>
          <w:color w:val="auto"/>
        </w:rPr>
        <w:t>Headings</w:t>
      </w:r>
      <w:r>
        <w:rPr>
          <w:rFonts w:ascii="Arial" w:cs="Arial" w:eastAsia="Arial" w:hAnsi="Arial"/>
          <w:sz w:val="20"/>
          <w:szCs w:val="20"/>
          <w:color w:val="auto"/>
        </w:rPr>
        <w:t>. The section headings are included solely for convenience of reference and will not control or affect</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or interpretation of any of the provisions of this Agreement.</w:t>
      </w:r>
    </w:p>
    <w:p>
      <w:pPr>
        <w:spacing w:after="0" w:line="149" w:lineRule="exact"/>
        <w:rPr>
          <w:sz w:val="20"/>
          <w:szCs w:val="20"/>
          <w:color w:val="auto"/>
        </w:rPr>
      </w:pPr>
    </w:p>
    <w:p>
      <w:pPr>
        <w:jc w:val="both"/>
        <w:ind w:left="780" w:hanging="645"/>
        <w:spacing w:after="0" w:line="234" w:lineRule="auto"/>
        <w:tabs>
          <w:tab w:leader="none" w:pos="760"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8"/>
          <w:szCs w:val="18"/>
          <w:color w:val="auto"/>
        </w:rPr>
        <w:t>. Any notices or other communications from one party to the other will be in writing and will be given</w:t>
      </w:r>
      <w:r>
        <w:rPr>
          <w:rFonts w:ascii="Arial" w:cs="Arial" w:eastAsia="Arial" w:hAnsi="Arial"/>
          <w:sz w:val="18"/>
          <w:szCs w:val="18"/>
          <w:b w:val="1"/>
          <w:bCs w:val="1"/>
          <w:color w:val="auto"/>
        </w:rPr>
        <w:t xml:space="preserve"> </w:t>
      </w:r>
      <w:r>
        <w:rPr>
          <w:rFonts w:ascii="Arial" w:cs="Arial" w:eastAsia="Arial" w:hAnsi="Arial"/>
          <w:sz w:val="18"/>
          <w:szCs w:val="18"/>
          <w:color w:val="auto"/>
        </w:rPr>
        <w:t>by addressing the same to the other at the address or facsimile number set forth in this Agreement. Notices to the Company will be marked “Attention: General Counsel”. Notice will be deemed to have been duly given when (a) deposited in the United States mail with proper postage for first class Registered or Certified Mail prepaid, return receipt requested, (b) sent by any reputable commercial courier,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117475</wp:posOffset>
            </wp:positionV>
            <wp:extent cx="639254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40"/>
          </w:cols>
          <w:pgMar w:left="1440" w:top="108" w:right="919" w:bottom="1440" w:gutter="0" w:footer="0" w:header="0"/>
        </w:sectPr>
      </w:pPr>
    </w:p>
    <w:bookmarkStart w:id="142" w:name="page143"/>
    <w:bookmarkEnd w:id="142"/>
    <w:p>
      <w:pPr>
        <w:ind w:left="780"/>
        <w:spacing w:after="0" w:line="229" w:lineRule="auto"/>
        <w:rPr>
          <w:sz w:val="20"/>
          <w:szCs w:val="20"/>
          <w:color w:val="auto"/>
        </w:rPr>
      </w:pPr>
      <w:r>
        <w:rPr>
          <w:rFonts w:ascii="Arial" w:cs="Arial" w:eastAsia="Arial" w:hAnsi="Arial"/>
          <w:sz w:val="20"/>
          <w:szCs w:val="20"/>
          <w:color w:val="auto"/>
        </w:rPr>
        <w:t>confirmation requested, (c) delivered personally, or (d) if promptly confirmed by mail or commercial courier as provided above, when dispatched by facsimile.</w:t>
      </w:r>
    </w:p>
    <w:p>
      <w:pPr>
        <w:spacing w:after="0" w:line="149" w:lineRule="exact"/>
        <w:rPr>
          <w:sz w:val="20"/>
          <w:szCs w:val="20"/>
          <w:color w:val="auto"/>
        </w:rPr>
      </w:pPr>
    </w:p>
    <w:p>
      <w:pPr>
        <w:jc w:val="both"/>
        <w:ind w:left="780" w:hanging="645"/>
        <w:spacing w:after="0" w:line="231" w:lineRule="auto"/>
        <w:tabs>
          <w:tab w:leader="none" w:pos="760" w:val="left"/>
        </w:tabs>
        <w:rPr>
          <w:sz w:val="20"/>
          <w:szCs w:val="20"/>
          <w:color w:val="auto"/>
        </w:rPr>
      </w:pPr>
      <w:r>
        <w:rPr>
          <w:rFonts w:ascii="Arial" w:cs="Arial" w:eastAsia="Arial" w:hAnsi="Arial"/>
          <w:sz w:val="20"/>
          <w:szCs w:val="20"/>
          <w:b w:val="1"/>
          <w:bCs w:val="1"/>
          <w:color w:val="auto"/>
        </w:rPr>
        <w:t>8.7</w:t>
      </w:r>
      <w:r>
        <w:rPr>
          <w:sz w:val="20"/>
          <w:szCs w:val="20"/>
          <w:color w:val="auto"/>
        </w:rPr>
        <w:tab/>
      </w:r>
      <w:r>
        <w:rPr>
          <w:rFonts w:ascii="Arial" w:cs="Arial" w:eastAsia="Arial" w:hAnsi="Arial"/>
          <w:sz w:val="20"/>
          <w:szCs w:val="20"/>
          <w:b w:val="1"/>
          <w:bCs w:val="1"/>
          <w:color w:val="auto"/>
        </w:rPr>
        <w:t xml:space="preserve">Amendment. </w:t>
      </w:r>
      <w:r>
        <w:rPr>
          <w:rFonts w:ascii="Arial" w:cs="Arial" w:eastAsia="Arial" w:hAnsi="Arial"/>
          <w:sz w:val="20"/>
          <w:szCs w:val="20"/>
          <w:color w:val="auto"/>
        </w:rPr>
        <w:t>This Agreement may be amended or modified only by a writing signed by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of both parties.</w:t>
      </w:r>
    </w:p>
    <w:p>
      <w:pPr>
        <w:spacing w:after="0" w:line="149" w:lineRule="exact"/>
        <w:rPr>
          <w:sz w:val="20"/>
          <w:szCs w:val="20"/>
          <w:color w:val="auto"/>
        </w:rPr>
      </w:pPr>
    </w:p>
    <w:p>
      <w:pPr>
        <w:jc w:val="both"/>
        <w:ind w:left="780" w:hanging="645"/>
        <w:spacing w:after="0" w:line="205" w:lineRule="auto"/>
        <w:tabs>
          <w:tab w:leader="none" w:pos="760" w:val="left"/>
        </w:tabs>
        <w:rPr>
          <w:sz w:val="20"/>
          <w:szCs w:val="20"/>
          <w:color w:val="auto"/>
        </w:rPr>
      </w:pPr>
      <w:r>
        <w:rPr>
          <w:rFonts w:ascii="Arial" w:cs="Arial" w:eastAsia="Arial" w:hAnsi="Arial"/>
          <w:sz w:val="20"/>
          <w:szCs w:val="20"/>
          <w:b w:val="1"/>
          <w:bCs w:val="1"/>
          <w:color w:val="auto"/>
        </w:rPr>
        <w:t>8.8</w:t>
      </w:r>
      <w:r>
        <w:rPr>
          <w:sz w:val="20"/>
          <w:szCs w:val="20"/>
          <w:color w:val="auto"/>
        </w:rPr>
        <w:tab/>
      </w:r>
      <w:r>
        <w:rPr>
          <w:rFonts w:ascii="Arial" w:cs="Arial" w:eastAsia="Arial" w:hAnsi="Arial"/>
          <w:sz w:val="20"/>
          <w:szCs w:val="20"/>
          <w:b w:val="1"/>
          <w:bCs w:val="1"/>
          <w:color w:val="auto"/>
        </w:rPr>
        <w:t xml:space="preserve">No Waiver. </w:t>
      </w:r>
      <w:r>
        <w:rPr>
          <w:rFonts w:ascii="Arial" w:cs="Arial" w:eastAsia="Arial" w:hAnsi="Arial"/>
          <w:sz w:val="20"/>
          <w:szCs w:val="20"/>
          <w:color w:val="auto"/>
        </w:rPr>
        <w:t>No waiver of any term or condition of this Agreement shall be valid or binding on either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the same shall be been mutually assented to in writing by both parties. The failure of either party to enforce at any time any of the provisions of this Agreement, or the failure to require at any time performance by the other party of any of the provisions of this Agreement, shall in no way be construed to be a present or future waiver of such provisions, nor in any way affect the right of either party to enforce each and every such provision thereafter. The express waiver by either party of any provision, condition or requirement of this Agreement shall not constitute a waiver of any future obligation to comply with such provision, condition or requirement.</w:t>
      </w:r>
    </w:p>
    <w:p>
      <w:pPr>
        <w:spacing w:after="0" w:line="151" w:lineRule="exact"/>
        <w:rPr>
          <w:sz w:val="20"/>
          <w:szCs w:val="20"/>
          <w:color w:val="auto"/>
        </w:rPr>
      </w:pPr>
    </w:p>
    <w:p>
      <w:pPr>
        <w:jc w:val="both"/>
        <w:ind w:left="780" w:hanging="645"/>
        <w:spacing w:after="0" w:line="234" w:lineRule="auto"/>
        <w:tabs>
          <w:tab w:leader="none" w:pos="760" w:val="left"/>
        </w:tabs>
        <w:rPr>
          <w:sz w:val="20"/>
          <w:szCs w:val="20"/>
          <w:color w:val="auto"/>
        </w:rPr>
      </w:pPr>
      <w:r>
        <w:rPr>
          <w:rFonts w:ascii="Arial" w:cs="Arial" w:eastAsia="Arial" w:hAnsi="Arial"/>
          <w:sz w:val="20"/>
          <w:szCs w:val="20"/>
          <w:b w:val="1"/>
          <w:bCs w:val="1"/>
          <w:color w:val="auto"/>
        </w:rPr>
        <w:t>8.9</w:t>
      </w:r>
      <w:r>
        <w:rPr>
          <w:sz w:val="20"/>
          <w:szCs w:val="20"/>
          <w:color w:val="auto"/>
        </w:rPr>
        <w:tab/>
      </w: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that any one or more of the provisions contained in this Agreement is,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held to be invalid, illegal or unenforceable in any respect, such invalidity, illegality or unenforceability will not affect any other provisions of this Agreement, and all other provisions will remain in full force and effect. If any provision of this Agreement is held to be excessively broad, it will be reformed and construed by limiting and reducing it so as to be enforceable to the maximum extent permitted by law.</w:t>
      </w:r>
    </w:p>
    <w:p>
      <w:pPr>
        <w:spacing w:after="0" w:line="148" w:lineRule="exact"/>
        <w:rPr>
          <w:sz w:val="20"/>
          <w:szCs w:val="20"/>
          <w:color w:val="auto"/>
        </w:rPr>
      </w:pPr>
    </w:p>
    <w:p>
      <w:pPr>
        <w:jc w:val="both"/>
        <w:ind w:left="780" w:hanging="645"/>
        <w:spacing w:after="0" w:line="225" w:lineRule="auto"/>
        <w:tabs>
          <w:tab w:leader="none" w:pos="760" w:val="left"/>
        </w:tabs>
        <w:rPr>
          <w:sz w:val="20"/>
          <w:szCs w:val="20"/>
          <w:color w:val="auto"/>
        </w:rPr>
      </w:pPr>
      <w:r>
        <w:rPr>
          <w:rFonts w:ascii="Arial" w:cs="Arial" w:eastAsia="Arial" w:hAnsi="Arial"/>
          <w:sz w:val="20"/>
          <w:szCs w:val="20"/>
          <w:b w:val="1"/>
          <w:bCs w:val="1"/>
          <w:color w:val="auto"/>
        </w:rPr>
        <w:t>8.10</w:t>
      </w:r>
      <w:r>
        <w:rPr>
          <w:sz w:val="20"/>
          <w:szCs w:val="20"/>
          <w:color w:val="auto"/>
        </w:rPr>
        <w:tab/>
      </w: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together with the Separation Agreement between the parties dated</w:t>
      </w:r>
      <w:r>
        <w:rPr>
          <w:rFonts w:ascii="Arial" w:cs="Arial" w:eastAsia="Arial" w:hAnsi="Arial"/>
          <w:sz w:val="19"/>
          <w:szCs w:val="19"/>
          <w:b w:val="1"/>
          <w:bCs w:val="1"/>
          <w:color w:val="auto"/>
        </w:rPr>
        <w:t xml:space="preserve"> </w:t>
      </w:r>
      <w:r>
        <w:rPr>
          <w:rFonts w:ascii="Arial" w:cs="Arial" w:eastAsia="Arial" w:hAnsi="Arial"/>
          <w:sz w:val="19"/>
          <w:szCs w:val="19"/>
          <w:color w:val="auto"/>
        </w:rPr>
        <w:t>January 19, 2017 (the “Separation Agreement”) and the surviving documents referenced therein, constitutes the entire agreement of the parties with regard to their subject matter, and supersede all previous written or oral representations, agreements and understandings between the parties.</w:t>
      </w:r>
    </w:p>
    <w:p>
      <w:pPr>
        <w:spacing w:after="0" w:line="150" w:lineRule="exact"/>
        <w:rPr>
          <w:sz w:val="20"/>
          <w:szCs w:val="20"/>
          <w:color w:val="auto"/>
        </w:rPr>
      </w:pPr>
    </w:p>
    <w:p>
      <w:pPr>
        <w:jc w:val="both"/>
        <w:ind w:left="780" w:hanging="645"/>
        <w:spacing w:after="0" w:line="221" w:lineRule="auto"/>
        <w:tabs>
          <w:tab w:leader="none" w:pos="760" w:val="left"/>
        </w:tabs>
        <w:rPr>
          <w:sz w:val="20"/>
          <w:szCs w:val="20"/>
          <w:color w:val="auto"/>
        </w:rPr>
      </w:pPr>
      <w:r>
        <w:rPr>
          <w:rFonts w:ascii="Arial" w:cs="Arial" w:eastAsia="Arial" w:hAnsi="Arial"/>
          <w:sz w:val="20"/>
          <w:szCs w:val="20"/>
          <w:b w:val="1"/>
          <w:bCs w:val="1"/>
          <w:color w:val="auto"/>
        </w:rPr>
        <w:t>8.11</w:t>
      </w:r>
      <w:r>
        <w:rPr>
          <w:sz w:val="20"/>
          <w:szCs w:val="20"/>
          <w:color w:val="auto"/>
        </w:rPr>
        <w:tab/>
      </w:r>
      <w:r>
        <w:rPr>
          <w:rFonts w:ascii="Arial" w:cs="Arial" w:eastAsia="Arial" w:hAnsi="Arial"/>
          <w:sz w:val="19"/>
          <w:szCs w:val="19"/>
          <w:b w:val="1"/>
          <w:bCs w:val="1"/>
          <w:color w:val="auto"/>
        </w:rPr>
        <w:t>Governing Law/Jurisdiction</w:t>
      </w:r>
      <w:r>
        <w:rPr>
          <w:rFonts w:ascii="Arial" w:cs="Arial" w:eastAsia="Arial" w:hAnsi="Arial"/>
          <w:sz w:val="19"/>
          <w:szCs w:val="19"/>
          <w:color w:val="auto"/>
        </w:rPr>
        <w:t>. All disputes related to or arising out of this Agreement shall be resolved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or federal courts of the Commonwealth of Massachusetts, to whose exclusive jurisdiction each party hereby consents. This Agreement will be governed by, construed and enforced in accordance with the laws of the Commonwealth of Massachusetts applicable to contracts made and to be performed therein, without giving effect to the principles thereof relating to the conflict of laws.</w:t>
      </w:r>
    </w:p>
    <w:p>
      <w:pPr>
        <w:spacing w:after="0" w:line="151" w:lineRule="exact"/>
        <w:rPr>
          <w:sz w:val="20"/>
          <w:szCs w:val="20"/>
          <w:color w:val="auto"/>
        </w:rPr>
      </w:pPr>
    </w:p>
    <w:p>
      <w:pPr>
        <w:jc w:val="both"/>
        <w:ind w:left="780" w:hanging="645"/>
        <w:spacing w:after="0" w:line="231" w:lineRule="auto"/>
        <w:tabs>
          <w:tab w:leader="none" w:pos="760" w:val="left"/>
        </w:tabs>
        <w:rPr>
          <w:sz w:val="20"/>
          <w:szCs w:val="20"/>
          <w:color w:val="auto"/>
        </w:rPr>
      </w:pPr>
      <w:r>
        <w:rPr>
          <w:rFonts w:ascii="Arial" w:cs="Arial" w:eastAsia="Arial" w:hAnsi="Arial"/>
          <w:sz w:val="20"/>
          <w:szCs w:val="20"/>
          <w:b w:val="1"/>
          <w:bCs w:val="1"/>
          <w:color w:val="auto"/>
        </w:rPr>
        <w:t>8.12</w:t>
      </w:r>
      <w:r>
        <w:rPr>
          <w:sz w:val="20"/>
          <w:szCs w:val="20"/>
          <w:color w:val="auto"/>
        </w:rPr>
        <w:tab/>
      </w:r>
      <w:r>
        <w:rPr>
          <w:rFonts w:ascii="Arial" w:cs="Arial" w:eastAsia="Arial" w:hAnsi="Arial"/>
          <w:sz w:val="18"/>
          <w:szCs w:val="18"/>
          <w:b w:val="1"/>
          <w:bCs w:val="1"/>
          <w:color w:val="auto"/>
        </w:rPr>
        <w:t xml:space="preserve">Remedies. </w:t>
      </w:r>
      <w:r>
        <w:rPr>
          <w:rFonts w:ascii="Arial" w:cs="Arial" w:eastAsia="Arial" w:hAnsi="Arial"/>
          <w:sz w:val="18"/>
          <w:szCs w:val="18"/>
          <w:color w:val="auto"/>
        </w:rPr>
        <w:t>Consultant’s obligations under this Agreement are of a unique character that gives them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value; breach of any of such obligations will result in irreparable and continuing damage to the Company for which there will be no adequate remedy at law; and, in the event of such breach or threatened breach, the Company will be entitled to injunctive relief and/or a decree for specific performance, an award of its attorney’s fees incurred, and such other and further relief as may be proper. Consultant and the Company further agree that no bond or other security shall be required in obtaining such equitable relief.</w:t>
      </w:r>
    </w:p>
    <w:p>
      <w:pPr>
        <w:spacing w:after="0" w:line="150" w:lineRule="exact"/>
        <w:rPr>
          <w:sz w:val="20"/>
          <w:szCs w:val="20"/>
          <w:color w:val="auto"/>
        </w:rPr>
      </w:pPr>
    </w:p>
    <w:p>
      <w:pPr>
        <w:jc w:val="both"/>
        <w:ind w:left="780" w:hanging="645"/>
        <w:spacing w:after="0" w:line="231" w:lineRule="auto"/>
        <w:tabs>
          <w:tab w:leader="none" w:pos="760" w:val="left"/>
        </w:tabs>
        <w:rPr>
          <w:sz w:val="20"/>
          <w:szCs w:val="20"/>
          <w:color w:val="auto"/>
        </w:rPr>
      </w:pPr>
      <w:r>
        <w:rPr>
          <w:rFonts w:ascii="Arial" w:cs="Arial" w:eastAsia="Arial" w:hAnsi="Arial"/>
          <w:sz w:val="20"/>
          <w:szCs w:val="20"/>
          <w:b w:val="1"/>
          <w:bCs w:val="1"/>
          <w:color w:val="auto"/>
        </w:rPr>
        <w:t>8.13</w:t>
        <w:tab/>
        <w:t>Counterparts</w:t>
      </w:r>
      <w:r>
        <w:rPr>
          <w:rFonts w:ascii="Arial" w:cs="Arial" w:eastAsia="Arial" w:hAnsi="Arial"/>
          <w:sz w:val="20"/>
          <w:szCs w:val="20"/>
          <w:color w:val="auto"/>
        </w:rPr>
        <w:t>. This Agreement may be executed in any number of counterparts, each of which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an original, but all of which together will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118110</wp:posOffset>
            </wp:positionV>
            <wp:extent cx="639254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40"/>
          </w:cols>
          <w:pgMar w:left="1440" w:top="108" w:right="919" w:bottom="1440" w:gutter="0" w:footer="0" w:header="0"/>
        </w:sectPr>
      </w:pPr>
    </w:p>
    <w:bookmarkStart w:id="143" w:name="page144"/>
    <w:bookmarkEnd w:id="143"/>
    <w:p>
      <w:pPr>
        <w:ind w:left="640"/>
        <w:spacing w:after="0"/>
        <w:rPr>
          <w:sz w:val="20"/>
          <w:szCs w:val="20"/>
          <w:color w:val="auto"/>
        </w:rPr>
      </w:pPr>
      <w:r>
        <w:rPr>
          <w:rFonts w:ascii="Arial" w:cs="Arial" w:eastAsia="Arial" w:hAnsi="Arial"/>
          <w:sz w:val="18"/>
          <w:szCs w:val="18"/>
          <w:color w:val="auto"/>
        </w:rPr>
        <w:t>IN WITNESS WHEREOF, the parties hereto have duly executed this Agreement under seal as of the Effective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40" w:type="dxa"/>
            <w:vAlign w:val="bottom"/>
            <w:gridSpan w:val="3"/>
          </w:tcPr>
          <w:p>
            <w:pPr>
              <w:spacing w:after="0"/>
              <w:rPr>
                <w:sz w:val="20"/>
                <w:szCs w:val="20"/>
                <w:color w:val="auto"/>
              </w:rPr>
            </w:pPr>
            <w:r>
              <w:rPr>
                <w:rFonts w:ascii="Arial" w:cs="Arial" w:eastAsia="Arial" w:hAnsi="Arial"/>
                <w:sz w:val="20"/>
                <w:szCs w:val="20"/>
                <w:b w:val="1"/>
                <w:bCs w:val="1"/>
                <w:color w:val="auto"/>
              </w:rPr>
              <w:t>VERASTEM, INC.</w:t>
            </w:r>
          </w:p>
        </w:tc>
        <w:tc>
          <w:tcPr>
            <w:tcW w:w="4820" w:type="dxa"/>
            <w:vAlign w:val="bottom"/>
            <w:gridSpan w:val="2"/>
          </w:tcPr>
          <w:p>
            <w:pPr>
              <w:ind w:left="300"/>
              <w:spacing w:after="0"/>
              <w:rPr>
                <w:sz w:val="20"/>
                <w:szCs w:val="20"/>
                <w:color w:val="auto"/>
              </w:rPr>
            </w:pPr>
            <w:r>
              <w:rPr>
                <w:rFonts w:ascii="Arial" w:cs="Arial" w:eastAsia="Arial" w:hAnsi="Arial"/>
                <w:sz w:val="20"/>
                <w:szCs w:val="20"/>
                <w:b w:val="1"/>
                <w:bCs w:val="1"/>
                <w:color w:val="auto"/>
              </w:rPr>
              <w:t>CONSULTANT</w:t>
            </w:r>
          </w:p>
        </w:tc>
      </w:tr>
      <w:tr>
        <w:trPr>
          <w:trHeight w:val="346"/>
        </w:trPr>
        <w:tc>
          <w:tcPr>
            <w:tcW w:w="580" w:type="dxa"/>
            <w:vAlign w:val="bottom"/>
          </w:tcPr>
          <w:p>
            <w:pPr>
              <w:spacing w:after="0"/>
              <w:rPr>
                <w:sz w:val="20"/>
                <w:szCs w:val="20"/>
                <w:color w:val="auto"/>
              </w:rPr>
            </w:pPr>
            <w:r>
              <w:rPr>
                <w:rFonts w:ascii="Arial" w:cs="Arial" w:eastAsia="Arial" w:hAnsi="Arial"/>
                <w:sz w:val="20"/>
                <w:szCs w:val="20"/>
                <w:color w:val="auto"/>
              </w:rPr>
              <w:t>By:</w:t>
            </w:r>
          </w:p>
        </w:tc>
        <w:tc>
          <w:tcPr>
            <w:tcW w:w="4660" w:type="dxa"/>
            <w:vAlign w:val="bottom"/>
            <w:gridSpan w:val="2"/>
          </w:tcPr>
          <w:p>
            <w:pPr>
              <w:ind w:left="60"/>
              <w:spacing w:after="0"/>
              <w:rPr>
                <w:sz w:val="20"/>
                <w:szCs w:val="20"/>
                <w:color w:val="auto"/>
              </w:rPr>
            </w:pPr>
            <w:r>
              <w:rPr>
                <w:rFonts w:ascii="Arial" w:cs="Arial" w:eastAsia="Arial" w:hAnsi="Arial"/>
                <w:sz w:val="20"/>
                <w:szCs w:val="20"/>
                <w:color w:val="auto"/>
              </w:rPr>
              <w:t>/s/ Daniel Paterson</w:t>
            </w:r>
          </w:p>
        </w:tc>
        <w:tc>
          <w:tcPr>
            <w:tcW w:w="1120" w:type="dxa"/>
            <w:vAlign w:val="bottom"/>
          </w:tcPr>
          <w:p>
            <w:pPr>
              <w:ind w:left="300"/>
              <w:spacing w:after="0"/>
              <w:rPr>
                <w:sz w:val="20"/>
                <w:szCs w:val="20"/>
                <w:color w:val="auto"/>
              </w:rPr>
            </w:pPr>
            <w:r>
              <w:rPr>
                <w:rFonts w:ascii="Arial" w:cs="Arial" w:eastAsia="Arial" w:hAnsi="Arial"/>
                <w:sz w:val="20"/>
                <w:szCs w:val="20"/>
                <w:color w:val="auto"/>
              </w:rPr>
              <w:t>By:</w:t>
            </w:r>
          </w:p>
        </w:tc>
        <w:tc>
          <w:tcPr>
            <w:tcW w:w="3700" w:type="dxa"/>
            <w:vAlign w:val="bottom"/>
          </w:tcPr>
          <w:p>
            <w:pPr>
              <w:spacing w:after="0"/>
              <w:rPr>
                <w:sz w:val="20"/>
                <w:szCs w:val="20"/>
                <w:color w:val="auto"/>
              </w:rPr>
            </w:pPr>
            <w:r>
              <w:rPr>
                <w:rFonts w:ascii="Arial" w:cs="Arial" w:eastAsia="Arial" w:hAnsi="Arial"/>
                <w:sz w:val="20"/>
                <w:szCs w:val="20"/>
                <w:color w:val="auto"/>
              </w:rPr>
              <w:t>/s/ Gregory Berk, M.D.</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r>
      <w:tr>
        <w:trPr>
          <w:trHeight w:val="370"/>
        </w:trPr>
        <w:tc>
          <w:tcPr>
            <w:tcW w:w="580" w:type="dxa"/>
            <w:vAlign w:val="bottom"/>
          </w:tcPr>
          <w:p>
            <w:pPr>
              <w:spacing w:after="0"/>
              <w:rPr>
                <w:sz w:val="20"/>
                <w:szCs w:val="20"/>
                <w:color w:val="auto"/>
              </w:rPr>
            </w:pPr>
            <w:r>
              <w:rPr>
                <w:rFonts w:ascii="Arial" w:cs="Arial" w:eastAsia="Arial" w:hAnsi="Arial"/>
                <w:sz w:val="20"/>
                <w:szCs w:val="20"/>
                <w:color w:val="auto"/>
                <w:w w:val="94"/>
              </w:rPr>
              <w:t>Name:</w:t>
            </w:r>
          </w:p>
        </w:tc>
        <w:tc>
          <w:tcPr>
            <w:tcW w:w="4660" w:type="dxa"/>
            <w:vAlign w:val="bottom"/>
            <w:gridSpan w:val="2"/>
          </w:tcPr>
          <w:p>
            <w:pPr>
              <w:ind w:left="60"/>
              <w:spacing w:after="0"/>
              <w:rPr>
                <w:sz w:val="20"/>
                <w:szCs w:val="20"/>
                <w:color w:val="auto"/>
              </w:rPr>
            </w:pPr>
            <w:r>
              <w:rPr>
                <w:rFonts w:ascii="Arial" w:cs="Arial" w:eastAsia="Arial" w:hAnsi="Arial"/>
                <w:sz w:val="20"/>
                <w:szCs w:val="20"/>
                <w:color w:val="auto"/>
              </w:rPr>
              <w:t>Dan Paterson</w:t>
            </w:r>
          </w:p>
        </w:tc>
        <w:tc>
          <w:tcPr>
            <w:tcW w:w="1120" w:type="dxa"/>
            <w:vAlign w:val="bottom"/>
          </w:tcPr>
          <w:p>
            <w:pPr>
              <w:ind w:left="300"/>
              <w:spacing w:after="0"/>
              <w:rPr>
                <w:sz w:val="20"/>
                <w:szCs w:val="20"/>
                <w:color w:val="auto"/>
              </w:rPr>
            </w:pPr>
            <w:r>
              <w:rPr>
                <w:rFonts w:ascii="Arial" w:cs="Arial" w:eastAsia="Arial" w:hAnsi="Arial"/>
                <w:sz w:val="20"/>
                <w:szCs w:val="20"/>
                <w:color w:val="auto"/>
              </w:rPr>
              <w:t>Name:</w:t>
            </w:r>
          </w:p>
        </w:tc>
        <w:tc>
          <w:tcPr>
            <w:tcW w:w="3700" w:type="dxa"/>
            <w:vAlign w:val="bottom"/>
          </w:tcPr>
          <w:p>
            <w:pPr>
              <w:spacing w:after="0"/>
              <w:rPr>
                <w:sz w:val="20"/>
                <w:szCs w:val="20"/>
                <w:color w:val="auto"/>
              </w:rPr>
            </w:pPr>
            <w:r>
              <w:rPr>
                <w:rFonts w:ascii="Arial" w:cs="Arial" w:eastAsia="Arial" w:hAnsi="Arial"/>
                <w:sz w:val="20"/>
                <w:szCs w:val="20"/>
                <w:color w:val="auto"/>
              </w:rPr>
              <w:t>Gregory Berk, M.D.</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r>
      <w:tr>
        <w:trPr>
          <w:trHeight w:val="370"/>
        </w:trPr>
        <w:tc>
          <w:tcPr>
            <w:tcW w:w="580" w:type="dxa"/>
            <w:vAlign w:val="bottom"/>
          </w:tcPr>
          <w:p>
            <w:pPr>
              <w:spacing w:after="0"/>
              <w:rPr>
                <w:sz w:val="20"/>
                <w:szCs w:val="20"/>
                <w:color w:val="auto"/>
              </w:rPr>
            </w:pPr>
            <w:r>
              <w:rPr>
                <w:rFonts w:ascii="Arial" w:cs="Arial" w:eastAsia="Arial" w:hAnsi="Arial"/>
                <w:sz w:val="20"/>
                <w:szCs w:val="20"/>
                <w:color w:val="auto"/>
              </w:rPr>
              <w:t>Title:</w:t>
            </w:r>
          </w:p>
        </w:tc>
        <w:tc>
          <w:tcPr>
            <w:tcW w:w="4660" w:type="dxa"/>
            <w:vAlign w:val="bottom"/>
            <w:gridSpan w:val="2"/>
          </w:tcPr>
          <w:p>
            <w:pPr>
              <w:ind w:left="60"/>
              <w:spacing w:after="0"/>
              <w:rPr>
                <w:sz w:val="20"/>
                <w:szCs w:val="20"/>
                <w:color w:val="auto"/>
              </w:rPr>
            </w:pPr>
            <w:r>
              <w:rPr>
                <w:rFonts w:ascii="Arial" w:cs="Arial" w:eastAsia="Arial" w:hAnsi="Arial"/>
                <w:sz w:val="20"/>
                <w:szCs w:val="20"/>
                <w:color w:val="auto"/>
              </w:rPr>
              <w:t>COO</w:t>
            </w:r>
          </w:p>
        </w:tc>
        <w:tc>
          <w:tcPr>
            <w:tcW w:w="1120" w:type="dxa"/>
            <w:vAlign w:val="bottom"/>
          </w:tcPr>
          <w:p>
            <w:pPr>
              <w:ind w:left="300"/>
              <w:spacing w:after="0"/>
              <w:rPr>
                <w:sz w:val="20"/>
                <w:szCs w:val="20"/>
                <w:color w:val="auto"/>
              </w:rPr>
            </w:pPr>
            <w:r>
              <w:rPr>
                <w:rFonts w:ascii="Arial" w:cs="Arial" w:eastAsia="Arial" w:hAnsi="Arial"/>
                <w:sz w:val="20"/>
                <w:szCs w:val="20"/>
                <w:color w:val="auto"/>
              </w:rPr>
              <w:t>Title:</w:t>
            </w:r>
          </w:p>
        </w:tc>
        <w:tc>
          <w:tcPr>
            <w:tcW w:w="3700" w:type="dxa"/>
            <w:vAlign w:val="bottom"/>
          </w:tcPr>
          <w:p>
            <w:pPr>
              <w:spacing w:after="0"/>
              <w:rPr>
                <w:sz w:val="20"/>
                <w:szCs w:val="20"/>
                <w:color w:val="auto"/>
              </w:rPr>
            </w:pPr>
            <w:r>
              <w:rPr>
                <w:rFonts w:ascii="Arial" w:cs="Arial" w:eastAsia="Arial" w:hAnsi="Arial"/>
                <w:sz w:val="20"/>
                <w:szCs w:val="20"/>
                <w:color w:val="auto"/>
              </w:rPr>
              <w:t>Medical Consultant</w:t>
            </w:r>
          </w:p>
        </w:tc>
      </w:tr>
      <w:tr>
        <w:trPr>
          <w:trHeight w:val="243"/>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0" w:type="dxa"/>
            <w:vAlign w:val="bottom"/>
            <w:tcBorders>
              <w:top w:val="single" w:sz="8" w:color="auto"/>
            </w:tcBorders>
          </w:tcPr>
          <w:p>
            <w:pPr>
              <w:ind w:left="1680"/>
              <w:spacing w:after="0"/>
              <w:rPr>
                <w:sz w:val="20"/>
                <w:szCs w:val="20"/>
                <w:color w:val="auto"/>
              </w:rPr>
            </w:pPr>
            <w:r>
              <w:rPr>
                <w:rFonts w:ascii="Arial" w:cs="Arial" w:eastAsia="Arial" w:hAnsi="Arial"/>
                <w:sz w:val="20"/>
                <w:szCs w:val="20"/>
                <w:color w:val="auto"/>
              </w:rPr>
              <w:t>duly authorized</w:t>
            </w:r>
          </w:p>
        </w:tc>
        <w:tc>
          <w:tcPr>
            <w:tcW w:w="1120" w:type="dxa"/>
            <w:vAlign w:val="bottom"/>
          </w:tcPr>
          <w:p>
            <w:pPr>
              <w:spacing w:after="0"/>
              <w:rPr>
                <w:sz w:val="21"/>
                <w:szCs w:val="21"/>
                <w:color w:val="auto"/>
              </w:rPr>
            </w:pPr>
          </w:p>
        </w:tc>
        <w:tc>
          <w:tcPr>
            <w:tcW w:w="3700" w:type="dxa"/>
            <w:vAlign w:val="bottom"/>
            <w:tcBorders>
              <w:top w:val="single" w:sz="8" w:color="auto"/>
            </w:tcBorders>
          </w:tcPr>
          <w:p>
            <w:pPr>
              <w:ind w:left="1240"/>
              <w:spacing w:after="0"/>
              <w:rPr>
                <w:sz w:val="20"/>
                <w:szCs w:val="20"/>
                <w:color w:val="auto"/>
              </w:rPr>
            </w:pPr>
            <w:r>
              <w:rPr>
                <w:rFonts w:ascii="Arial" w:cs="Arial" w:eastAsia="Arial" w:hAnsi="Arial"/>
                <w:sz w:val="20"/>
                <w:szCs w:val="20"/>
                <w:color w:val="auto"/>
              </w:rPr>
              <w:t>duly authorized</w:t>
            </w:r>
          </w:p>
        </w:tc>
      </w:tr>
      <w:tr>
        <w:trPr>
          <w:trHeight w:val="5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20"/>
                <w:szCs w:val="20"/>
                <w:color w:val="auto"/>
              </w:rPr>
              <w:t>Address:</w:t>
            </w:r>
          </w:p>
        </w:tc>
        <w:tc>
          <w:tcPr>
            <w:tcW w:w="3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133 Claybrook Rd.</w:t>
            </w:r>
          </w:p>
        </w:tc>
      </w:tr>
      <w:tr>
        <w:trPr>
          <w:trHeight w:val="370"/>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Dover, MA 02030</w:t>
            </w:r>
          </w:p>
        </w:tc>
      </w:tr>
      <w:tr>
        <w:trPr>
          <w:trHeight w:val="404"/>
        </w:trPr>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08" w:right="9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0"/>
          <w:szCs w:val="20"/>
          <w:b w:val="1"/>
          <w:bCs w:val="1"/>
          <w:color w:val="auto"/>
        </w:rPr>
        <w:t>INSTITUTION ACKNOWLEDGEMENT</w:t>
      </w:r>
    </w:p>
    <w:p>
      <w:pPr>
        <w:jc w:val="center"/>
        <w:spacing w:after="0"/>
        <w:rPr>
          <w:sz w:val="20"/>
          <w:szCs w:val="20"/>
          <w:color w:val="auto"/>
        </w:rPr>
      </w:pPr>
      <w:r>
        <w:rPr>
          <w:rFonts w:ascii="Arial" w:cs="Arial" w:eastAsia="Arial" w:hAnsi="Arial"/>
          <w:sz w:val="20"/>
          <w:szCs w:val="20"/>
          <w:b w:val="1"/>
          <w:bCs w:val="1"/>
          <w:color w:val="auto"/>
        </w:rPr>
        <w:t>AND CONSENT FORM</w:t>
      </w:r>
    </w:p>
    <w:p>
      <w:pPr>
        <w:spacing w:after="0" w:line="152" w:lineRule="exact"/>
        <w:rPr>
          <w:sz w:val="20"/>
          <w:szCs w:val="20"/>
          <w:color w:val="auto"/>
        </w:rPr>
      </w:pPr>
    </w:p>
    <w:p>
      <w:pPr>
        <w:jc w:val="both"/>
        <w:spacing w:after="0" w:line="208" w:lineRule="auto"/>
        <w:rPr>
          <w:sz w:val="20"/>
          <w:szCs w:val="20"/>
          <w:color w:val="auto"/>
        </w:rPr>
      </w:pPr>
      <w:r>
        <w:rPr>
          <w:rFonts w:ascii="Arial" w:cs="Arial" w:eastAsia="Arial" w:hAnsi="Arial"/>
          <w:sz w:val="20"/>
          <w:szCs w:val="20"/>
          <w:b w:val="1"/>
          <w:bCs w:val="1"/>
          <w:color w:val="auto"/>
        </w:rPr>
        <w:t xml:space="preserve">Verastem, Inc. </w:t>
      </w:r>
      <w:r>
        <w:rPr>
          <w:rFonts w:ascii="Arial" w:cs="Arial" w:eastAsia="Arial" w:hAnsi="Arial"/>
          <w:sz w:val="20"/>
          <w:szCs w:val="20"/>
          <w:color w:val="auto"/>
        </w:rPr>
        <w:t>(the “Company”) is prepared to enter into the foregoing Agreement with the consultant named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preceding signature page (“Consultant”). The Company recognizes that as a member of the institution named below (“Institution”), Consultant is responsible for ensuring that any consulting agreement Consultant enters into with a for-profit entity is not in conflict with the patent, consulting or other policies of Institution. The proposed Agreement requires Consultant, if required by Institution policies, to disclose the proposed Agreement to Institution and/or to obtain Institution’s consent to enter into the proposed Agreement.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Institution hereby acknowledges and consents to Consultant entering into the foregoing Agreement.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INSTITUTION:</w:t>
      </w:r>
    </w:p>
    <w:p>
      <w:pPr>
        <w:spacing w:after="0" w:line="34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-6350</wp:posOffset>
            </wp:positionV>
            <wp:extent cx="27774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Print Name</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Title</w:t>
      </w:r>
    </w:p>
    <w:p>
      <w:pPr>
        <w:ind w:left="1260"/>
        <w:spacing w:after="0"/>
        <w:rPr>
          <w:sz w:val="20"/>
          <w:szCs w:val="20"/>
          <w:color w:val="auto"/>
        </w:rPr>
      </w:pPr>
      <w:r>
        <w:rPr>
          <w:rFonts w:ascii="Arial" w:cs="Arial" w:eastAsia="Arial" w:hAnsi="Arial"/>
          <w:sz w:val="20"/>
          <w:szCs w:val="20"/>
          <w:color w:val="auto"/>
        </w:rPr>
        <w:t>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-144780</wp:posOffset>
            </wp:positionV>
            <wp:extent cx="27774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-6350</wp:posOffset>
            </wp:positionV>
            <wp:extent cx="27774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248920</wp:posOffset>
            </wp:positionV>
            <wp:extent cx="639254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84" w:right="919" w:bottom="1440" w:gutter="0" w:footer="0" w:header="0"/>
        </w:sectPr>
      </w:pPr>
    </w:p>
    <w:bookmarkStart w:id="145" w:name="page146"/>
    <w:bookmarkEnd w:id="145"/>
    <w:p>
      <w:pPr>
        <w:jc w:val="center"/>
        <w:ind w:right="-640"/>
        <w:spacing w:after="0"/>
        <w:rPr>
          <w:sz w:val="20"/>
          <w:szCs w:val="20"/>
          <w:color w:val="auto"/>
        </w:rPr>
      </w:pPr>
      <w:r>
        <w:rPr>
          <w:rFonts w:ascii="Arial" w:cs="Arial" w:eastAsia="Arial" w:hAnsi="Arial"/>
          <w:sz w:val="20"/>
          <w:szCs w:val="20"/>
          <w:b w:val="1"/>
          <w:bCs w:val="1"/>
          <w:u w:val="single" w:color="auto"/>
          <w:color w:val="auto"/>
        </w:rPr>
        <w:t>EXHIBIT A</w:t>
      </w:r>
    </w:p>
    <w:p>
      <w:pPr>
        <w:spacing w:after="0" w:line="173"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BUSINESS TERMS</w:t>
      </w:r>
    </w:p>
    <w:p>
      <w:pPr>
        <w:spacing w:after="0" w:line="174" w:lineRule="exact"/>
        <w:rPr>
          <w:sz w:val="20"/>
          <w:szCs w:val="20"/>
          <w:color w:val="auto"/>
        </w:rPr>
      </w:pPr>
    </w:p>
    <w:p>
      <w:pPr>
        <w:ind w:left="621" w:hanging="544"/>
        <w:spacing w:after="0"/>
        <w:tabs>
          <w:tab w:leader="none" w:pos="621"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Consulting Services:</w:t>
      </w:r>
    </w:p>
    <w:p>
      <w:pPr>
        <w:spacing w:after="0" w:line="180" w:lineRule="exact"/>
        <w:rPr>
          <w:sz w:val="20"/>
          <w:szCs w:val="20"/>
          <w:color w:val="auto"/>
        </w:rPr>
      </w:pPr>
    </w:p>
    <w:p>
      <w:pPr>
        <w:jc w:val="both"/>
        <w:ind w:left="641"/>
        <w:spacing w:after="0" w:line="232" w:lineRule="auto"/>
        <w:rPr>
          <w:sz w:val="20"/>
          <w:szCs w:val="20"/>
          <w:color w:val="auto"/>
        </w:rPr>
      </w:pPr>
      <w:r>
        <w:rPr>
          <w:rFonts w:ascii="Arial" w:cs="Arial" w:eastAsia="Arial" w:hAnsi="Arial"/>
          <w:sz w:val="18"/>
          <w:szCs w:val="18"/>
          <w:color w:val="auto"/>
        </w:rPr>
        <w:t>Consultant will render BTP-114 medical consulting services, including serving as the “24/7” medical monitor as well as medical lead on the BTP-114 program. In this role, he will be expected to participate in site initiations, site calls, CRO team calls, cohort management calls, and safety calls. He will also serve on the Placon-Verastem joint steering committee, and prepare regular updates on the trial progress to Verastem senior management. As medical lead, he will be the primary outreach contact to investigators and thought leaders involved in the program.</w:t>
      </w:r>
    </w:p>
    <w:p>
      <w:pPr>
        <w:spacing w:after="0" w:line="151" w:lineRule="exact"/>
        <w:rPr>
          <w:sz w:val="20"/>
          <w:szCs w:val="20"/>
          <w:color w:val="auto"/>
        </w:rPr>
      </w:pPr>
    </w:p>
    <w:p>
      <w:pPr>
        <w:ind w:left="641" w:hanging="641"/>
        <w:spacing w:after="0"/>
        <w:tabs>
          <w:tab w:leader="none" w:pos="641"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w:t>
      </w:r>
    </w:p>
    <w:p>
      <w:pPr>
        <w:spacing w:after="0" w:line="179" w:lineRule="exact"/>
        <w:rPr>
          <w:rFonts w:ascii="Arial" w:cs="Arial" w:eastAsia="Arial" w:hAnsi="Arial"/>
          <w:sz w:val="20"/>
          <w:szCs w:val="20"/>
          <w:b w:val="1"/>
          <w:bCs w:val="1"/>
          <w:color w:val="auto"/>
        </w:rPr>
      </w:pPr>
    </w:p>
    <w:p>
      <w:pPr>
        <w:ind w:left="641"/>
        <w:spacing w:after="0" w:line="228" w:lineRule="auto"/>
        <w:rPr>
          <w:rFonts w:ascii="Arial" w:cs="Arial" w:eastAsia="Arial" w:hAnsi="Arial"/>
          <w:sz w:val="20"/>
          <w:szCs w:val="20"/>
          <w:b w:val="1"/>
          <w:bCs w:val="1"/>
          <w:color w:val="auto"/>
        </w:rPr>
      </w:pPr>
      <w:r>
        <w:rPr>
          <w:rFonts w:ascii="Arial" w:cs="Arial" w:eastAsia="Arial" w:hAnsi="Arial"/>
          <w:sz w:val="20"/>
          <w:szCs w:val="20"/>
          <w:color w:val="auto"/>
        </w:rPr>
        <w:t>As full compensation for the Consulting Services rendered during the Term, the Company will pay Consultant a monthly retainer of $15,000.</w:t>
      </w:r>
    </w:p>
    <w:p>
      <w:pPr>
        <w:spacing w:after="0" w:line="155" w:lineRule="exact"/>
        <w:rPr>
          <w:rFonts w:ascii="Arial" w:cs="Arial" w:eastAsia="Arial" w:hAnsi="Arial"/>
          <w:sz w:val="20"/>
          <w:szCs w:val="20"/>
          <w:b w:val="1"/>
          <w:bCs w:val="1"/>
          <w:color w:val="auto"/>
        </w:rPr>
      </w:pPr>
    </w:p>
    <w:p>
      <w:pPr>
        <w:ind w:left="641"/>
        <w:spacing w:after="0" w:line="228" w:lineRule="auto"/>
        <w:rPr>
          <w:rFonts w:ascii="Arial" w:cs="Arial" w:eastAsia="Arial" w:hAnsi="Arial"/>
          <w:sz w:val="20"/>
          <w:szCs w:val="20"/>
          <w:b w:val="1"/>
          <w:bCs w:val="1"/>
          <w:color w:val="auto"/>
        </w:rPr>
      </w:pPr>
      <w:r>
        <w:rPr>
          <w:rFonts w:ascii="Arial" w:cs="Arial" w:eastAsia="Arial" w:hAnsi="Arial"/>
          <w:sz w:val="20"/>
          <w:szCs w:val="20"/>
          <w:color w:val="auto"/>
        </w:rPr>
        <w:t>If the Company and the Consultant mutually decide that additional consulting services shall be provided, this agreement will be amended accordingly.</w:t>
      </w:r>
    </w:p>
    <w:p>
      <w:pPr>
        <w:spacing w:after="0" w:line="155" w:lineRule="exact"/>
        <w:rPr>
          <w:rFonts w:ascii="Arial" w:cs="Arial" w:eastAsia="Arial" w:hAnsi="Arial"/>
          <w:sz w:val="20"/>
          <w:szCs w:val="20"/>
          <w:b w:val="1"/>
          <w:bCs w:val="1"/>
          <w:color w:val="auto"/>
        </w:rPr>
      </w:pPr>
    </w:p>
    <w:p>
      <w:pPr>
        <w:jc w:val="both"/>
        <w:ind w:left="641"/>
        <w:spacing w:after="0" w:line="217" w:lineRule="auto"/>
        <w:rPr>
          <w:rFonts w:ascii="Arial" w:cs="Arial" w:eastAsia="Arial" w:hAnsi="Arial"/>
          <w:sz w:val="20"/>
          <w:szCs w:val="20"/>
          <w:b w:val="1"/>
          <w:bCs w:val="1"/>
          <w:color w:val="auto"/>
        </w:rPr>
      </w:pPr>
      <w:r>
        <w:rPr>
          <w:rFonts w:ascii="Arial" w:cs="Arial" w:eastAsia="Arial" w:hAnsi="Arial"/>
          <w:sz w:val="20"/>
          <w:szCs w:val="20"/>
          <w:color w:val="auto"/>
        </w:rPr>
        <w:t>On the last day of each calendar month, Consultant will invoice the Company for Consulting Services rendered and expenses incurred during the preceding month. Invoices should reference this Agreement and should be submitted to the following address:</w:t>
      </w:r>
    </w:p>
    <w:p>
      <w:pPr>
        <w:spacing w:after="0" w:line="131" w:lineRule="exact"/>
        <w:rPr>
          <w:sz w:val="20"/>
          <w:szCs w:val="20"/>
          <w:color w:val="auto"/>
        </w:rPr>
      </w:pPr>
    </w:p>
    <w:p>
      <w:pPr>
        <w:ind w:left="1301"/>
        <w:spacing w:after="0"/>
        <w:rPr>
          <w:sz w:val="20"/>
          <w:szCs w:val="20"/>
          <w:color w:val="auto"/>
        </w:rPr>
      </w:pPr>
      <w:r>
        <w:rPr>
          <w:rFonts w:ascii="Arial" w:cs="Arial" w:eastAsia="Arial" w:hAnsi="Arial"/>
          <w:sz w:val="20"/>
          <w:szCs w:val="20"/>
          <w:b w:val="1"/>
          <w:bCs w:val="1"/>
          <w:color w:val="auto"/>
        </w:rPr>
        <w:t>Accounts Payable</w:t>
      </w:r>
    </w:p>
    <w:p>
      <w:pPr>
        <w:ind w:left="1301"/>
        <w:spacing w:after="0" w:line="196" w:lineRule="auto"/>
        <w:rPr>
          <w:sz w:val="20"/>
          <w:szCs w:val="20"/>
          <w:color w:val="auto"/>
        </w:rPr>
      </w:pPr>
      <w:r>
        <w:rPr>
          <w:rFonts w:ascii="Arial" w:cs="Arial" w:eastAsia="Arial" w:hAnsi="Arial"/>
          <w:sz w:val="20"/>
          <w:szCs w:val="20"/>
          <w:b w:val="1"/>
          <w:bCs w:val="1"/>
          <w:color w:val="auto"/>
        </w:rPr>
        <w:t>Verastem, Inc.</w:t>
      </w:r>
    </w:p>
    <w:p>
      <w:pPr>
        <w:ind w:left="1301"/>
        <w:spacing w:after="0" w:line="197" w:lineRule="auto"/>
        <w:rPr>
          <w:sz w:val="20"/>
          <w:szCs w:val="20"/>
          <w:color w:val="auto"/>
        </w:rPr>
      </w:pPr>
      <w:r>
        <w:rPr>
          <w:rFonts w:ascii="Arial" w:cs="Arial" w:eastAsia="Arial" w:hAnsi="Arial"/>
          <w:sz w:val="20"/>
          <w:szCs w:val="20"/>
          <w:b w:val="1"/>
          <w:bCs w:val="1"/>
          <w:color w:val="auto"/>
        </w:rPr>
        <w:t>117 Kendrick Street, Suite 500</w:t>
      </w:r>
    </w:p>
    <w:p>
      <w:pPr>
        <w:ind w:left="1301"/>
        <w:spacing w:after="0"/>
        <w:rPr>
          <w:sz w:val="20"/>
          <w:szCs w:val="20"/>
          <w:color w:val="auto"/>
        </w:rPr>
      </w:pPr>
      <w:r>
        <w:rPr>
          <w:rFonts w:ascii="Arial" w:cs="Arial" w:eastAsia="Arial" w:hAnsi="Arial"/>
          <w:sz w:val="20"/>
          <w:szCs w:val="20"/>
          <w:b w:val="1"/>
          <w:bCs w:val="1"/>
          <w:color w:val="auto"/>
        </w:rPr>
        <w:t>Needham, MA 02494</w:t>
      </w:r>
    </w:p>
    <w:p>
      <w:pPr>
        <w:spacing w:after="0" w:line="152" w:lineRule="exact"/>
        <w:rPr>
          <w:sz w:val="20"/>
          <w:szCs w:val="20"/>
          <w:color w:val="auto"/>
        </w:rPr>
      </w:pPr>
    </w:p>
    <w:p>
      <w:pPr>
        <w:ind w:left="1301"/>
        <w:spacing w:after="0"/>
        <w:rPr>
          <w:sz w:val="20"/>
          <w:szCs w:val="20"/>
          <w:color w:val="auto"/>
        </w:rPr>
      </w:pPr>
      <w:r>
        <w:rPr>
          <w:rFonts w:ascii="Arial" w:cs="Arial" w:eastAsia="Arial" w:hAnsi="Arial"/>
          <w:sz w:val="20"/>
          <w:szCs w:val="20"/>
          <w:b w:val="1"/>
          <w:bCs w:val="1"/>
          <w:color w:val="auto"/>
        </w:rPr>
        <w:t xml:space="preserve">Or by email to: </w:t>
      </w:r>
      <w:r>
        <w:rPr>
          <w:rFonts w:ascii="Arial" w:cs="Arial" w:eastAsia="Arial" w:hAnsi="Arial"/>
          <w:sz w:val="20"/>
          <w:szCs w:val="20"/>
          <w:b w:val="1"/>
          <w:bCs w:val="1"/>
          <w:u w:val="single" w:color="auto"/>
          <w:color w:val="auto"/>
        </w:rPr>
        <w:t>ap@verastem.com</w:t>
      </w:r>
    </w:p>
    <w:p>
      <w:pPr>
        <w:spacing w:after="0" w:line="174" w:lineRule="exact"/>
        <w:rPr>
          <w:sz w:val="20"/>
          <w:szCs w:val="20"/>
          <w:color w:val="auto"/>
        </w:rPr>
      </w:pPr>
    </w:p>
    <w:p>
      <w:pPr>
        <w:ind w:left="81"/>
        <w:spacing w:after="0"/>
        <w:tabs>
          <w:tab w:leader="none" w:pos="601" w:val="left"/>
        </w:tabs>
        <w:rPr>
          <w:sz w:val="20"/>
          <w:szCs w:val="20"/>
          <w:color w:val="auto"/>
        </w:rPr>
      </w:pPr>
      <w:r>
        <w:rPr>
          <w:rFonts w:ascii="Arial" w:cs="Arial" w:eastAsia="Arial" w:hAnsi="Arial"/>
          <w:sz w:val="20"/>
          <w:szCs w:val="20"/>
          <w:b w:val="1"/>
          <w:bCs w:val="1"/>
          <w:color w:val="auto"/>
        </w:rPr>
        <w:t>3</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Term:</w:t>
      </w:r>
    </w:p>
    <w:p>
      <w:pPr>
        <w:spacing w:after="0" w:line="180" w:lineRule="exact"/>
        <w:rPr>
          <w:sz w:val="20"/>
          <w:szCs w:val="20"/>
          <w:color w:val="auto"/>
        </w:rPr>
      </w:pPr>
    </w:p>
    <w:p>
      <w:pPr>
        <w:ind w:left="641"/>
        <w:spacing w:after="0" w:line="228" w:lineRule="auto"/>
        <w:rPr>
          <w:sz w:val="20"/>
          <w:szCs w:val="20"/>
          <w:color w:val="auto"/>
        </w:rPr>
      </w:pPr>
      <w:r>
        <w:rPr>
          <w:rFonts w:ascii="Arial" w:cs="Arial" w:eastAsia="Arial" w:hAnsi="Arial"/>
          <w:sz w:val="20"/>
          <w:szCs w:val="20"/>
          <w:color w:val="auto"/>
        </w:rPr>
        <w:t>This Agreement will be for an initial Term of 6 months beginning on the Effective Date, and may be extended for additional periods, at the Company’s option and with Consultant’s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365760</wp:posOffset>
            </wp:positionV>
            <wp:extent cx="639254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146" w:name="page147"/>
    <w:bookmarkEnd w:id="146"/>
    <w:p>
      <w:pPr>
        <w:ind w:left="8540"/>
        <w:spacing w:after="0"/>
        <w:rPr>
          <w:sz w:val="20"/>
          <w:szCs w:val="20"/>
          <w:color w:val="auto"/>
        </w:rPr>
      </w:pPr>
      <w:r>
        <w:rPr>
          <w:rFonts w:ascii="Arial" w:cs="Arial" w:eastAsia="Arial" w:hAnsi="Arial"/>
          <w:sz w:val="20"/>
          <w:szCs w:val="20"/>
          <w:b w:val="1"/>
          <w:bCs w:val="1"/>
          <w:color w:val="auto"/>
        </w:rPr>
        <w:t>EXHIBIT 10.25</w:t>
      </w:r>
    </w:p>
    <w:p>
      <w:pPr>
        <w:spacing w:after="0" w:line="255" w:lineRule="exact"/>
        <w:rPr>
          <w:sz w:val="20"/>
          <w:szCs w:val="20"/>
          <w:color w:val="auto"/>
        </w:rPr>
      </w:pPr>
    </w:p>
    <w:p>
      <w:pPr>
        <w:jc w:val="center"/>
        <w:ind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AMENDED AND RESTATED LICENSE AGREEMENT</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BY AND BETWEEN</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INFINITY PHARMACEUTICALS, INC.</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AND</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VERASTEM,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438150</wp:posOffset>
            </wp:positionV>
            <wp:extent cx="639254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00"/>
          </w:cols>
          <w:pgMar w:left="980" w:top="112" w:right="919" w:bottom="1440" w:gutter="0" w:footer="0" w:header="0"/>
        </w:sectPr>
      </w:pPr>
    </w:p>
    <w:bookmarkStart w:id="147" w:name="page148"/>
    <w:bookmarkEnd w:id="147"/>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LICENSE AGREEMENT</w:t>
      </w:r>
    </w:p>
    <w:p>
      <w:pPr>
        <w:spacing w:after="0" w:line="205"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This Amended and Restated License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the 1</w:t>
      </w:r>
      <w:r>
        <w:rPr>
          <w:rFonts w:ascii="Arial" w:cs="Arial" w:eastAsia="Arial" w:hAnsi="Arial"/>
          <w:sz w:val="10"/>
          <w:szCs w:val="10"/>
          <w:color w:val="auto"/>
        </w:rPr>
        <w:t>st</w:t>
      </w:r>
      <w:r>
        <w:rPr>
          <w:rFonts w:ascii="Arial" w:cs="Arial" w:eastAsia="Arial" w:hAnsi="Arial"/>
          <w:sz w:val="20"/>
          <w:szCs w:val="20"/>
          <w:color w:val="auto"/>
        </w:rPr>
        <w:t xml:space="preserve"> day of November, 2016 and made effective as of the 29</w:t>
      </w:r>
      <w:r>
        <w:rPr>
          <w:rFonts w:ascii="Arial" w:cs="Arial" w:eastAsia="Arial" w:hAnsi="Arial"/>
          <w:sz w:val="10"/>
          <w:szCs w:val="10"/>
          <w:color w:val="auto"/>
        </w:rPr>
        <w:t>th</w:t>
      </w:r>
      <w:r>
        <w:rPr>
          <w:rFonts w:ascii="Arial" w:cs="Arial" w:eastAsia="Arial" w:hAnsi="Arial"/>
          <w:sz w:val="20"/>
          <w:szCs w:val="20"/>
          <w:color w:val="auto"/>
        </w:rPr>
        <w:t xml:space="preserve"> day of October, 2016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Infinity Pharmaceuticals, Inc., a corporation organized and existing under the laws of the State of Delaware and having a principal office located at 784 Memorial Drive, Cambridge, Massachusetts 02139 (“</w:t>
      </w:r>
      <w:r>
        <w:rPr>
          <w:rFonts w:ascii="Arial" w:cs="Arial" w:eastAsia="Arial" w:hAnsi="Arial"/>
          <w:sz w:val="20"/>
          <w:szCs w:val="20"/>
          <w:u w:val="single" w:color="auto"/>
          <w:color w:val="auto"/>
        </w:rPr>
        <w:t>INFI</w:t>
      </w:r>
      <w:r>
        <w:rPr>
          <w:rFonts w:ascii="Arial" w:cs="Arial" w:eastAsia="Arial" w:hAnsi="Arial"/>
          <w:sz w:val="20"/>
          <w:szCs w:val="20"/>
          <w:color w:val="auto"/>
        </w:rPr>
        <w:t>”), and Verastem, Inc., a corporation organized and existing under the laws of Delaware, having a principal office located at 117 Kendrick Street, Suite 500, Needham, Massachusetts 02494 (“</w:t>
      </w:r>
      <w:r>
        <w:rPr>
          <w:rFonts w:ascii="Arial" w:cs="Arial" w:eastAsia="Arial" w:hAnsi="Arial"/>
          <w:sz w:val="20"/>
          <w:szCs w:val="20"/>
          <w:u w:val="single" w:color="auto"/>
          <w:color w:val="auto"/>
        </w:rPr>
        <w:t>Licensee</w:t>
      </w:r>
      <w:r>
        <w:rPr>
          <w:rFonts w:ascii="Arial" w:cs="Arial" w:eastAsia="Arial" w:hAnsi="Arial"/>
          <w:sz w:val="20"/>
          <w:szCs w:val="20"/>
          <w:color w:val="auto"/>
        </w:rPr>
        <w:t>”). INFI and Licensee are each referred to herein by name or as a “</w:t>
      </w:r>
      <w:r>
        <w:rPr>
          <w:rFonts w:ascii="Arial" w:cs="Arial" w:eastAsia="Arial" w:hAnsi="Arial"/>
          <w:sz w:val="20"/>
          <w:szCs w:val="20"/>
          <w:u w:val="single" w:color="auto"/>
          <w:color w:val="auto"/>
        </w:rPr>
        <w:t>Party</w:t>
      </w:r>
      <w:r>
        <w:rPr>
          <w:rFonts w:ascii="Arial" w:cs="Arial" w:eastAsia="Arial" w:hAnsi="Arial"/>
          <w:sz w:val="20"/>
          <w:szCs w:val="20"/>
          <w:color w:val="auto"/>
        </w:rPr>
        <w:t>” or, collectively, as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1"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WHEREAS, Licensee and INFI are parties to that certain License Agreement, dated October 29, 2016 (the “</w:t>
      </w:r>
      <w:r>
        <w:rPr>
          <w:rFonts w:ascii="Arial" w:cs="Arial" w:eastAsia="Arial" w:hAnsi="Arial"/>
          <w:sz w:val="22"/>
          <w:szCs w:val="22"/>
          <w:u w:val="single" w:color="auto"/>
          <w:color w:val="auto"/>
        </w:rPr>
        <w:t>Superseded Agreement</w:t>
      </w:r>
      <w:r>
        <w:rPr>
          <w:rFonts w:ascii="Arial" w:cs="Arial" w:eastAsia="Arial" w:hAnsi="Arial"/>
          <w:sz w:val="22"/>
          <w:szCs w:val="22"/>
          <w:color w:val="auto"/>
        </w:rPr>
        <w:t>”) which Licensee and INFI wish to replace and supersede in its entirety with this Agreement;</w:t>
      </w:r>
    </w:p>
    <w:p>
      <w:pPr>
        <w:spacing w:after="0" w:line="186"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WHEREAS, Licensee possesses expertise in the Development and Commercialization (each as defined below) of pharmaceutical products;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WHEREAS, INFI controls certain intellectual property related to the IPI-145 Product (as defined below);</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87"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20"/>
          <w:szCs w:val="20"/>
          <w:color w:val="auto"/>
        </w:rPr>
        <w:t>WHEREAS, Licensee is interested in obtaining a license under such intellectual property to Develop, Manufacture and Commercialize the IPI -145 Product in the Field in the Territory (each as defined below), and INFI is willing to grant Licensee such license on the terms and conditions set forth in this Agreement.</w:t>
      </w:r>
    </w:p>
    <w:p>
      <w:pPr>
        <w:spacing w:after="0" w:line="152"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NOW, THEREFORE, in consideration of the premises and mutual covenants herein contained, and for other good and valuable consideration, the receipt and sufficiency of which are hereby acknowledged, the Parties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7"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As used in this Agreement, the following terms will have the meanings set forth in this Article 1 unless context dictates otherwise:</w:t>
      </w:r>
    </w:p>
    <w:p>
      <w:pPr>
        <w:spacing w:after="0" w:line="175" w:lineRule="exact"/>
        <w:rPr>
          <w:sz w:val="20"/>
          <w:szCs w:val="20"/>
          <w:color w:val="auto"/>
        </w:rPr>
      </w:pPr>
    </w:p>
    <w:p>
      <w:pPr>
        <w:jc w:val="both"/>
        <w:ind w:firstLine="646"/>
        <w:spacing w:after="0" w:line="234" w:lineRule="auto"/>
        <w:rPr>
          <w:sz w:val="20"/>
          <w:szCs w:val="20"/>
          <w:color w:val="auto"/>
        </w:rPr>
      </w:pPr>
      <w:r>
        <w:rPr>
          <w:rFonts w:ascii="Arial" w:cs="Arial" w:eastAsia="Arial" w:hAnsi="Arial"/>
          <w:sz w:val="22"/>
          <w:szCs w:val="22"/>
          <w:color w:val="auto"/>
        </w:rPr>
        <w:t>1.1 “</w:t>
      </w:r>
      <w:r>
        <w:rPr>
          <w:rFonts w:ascii="Arial" w:cs="Arial" w:eastAsia="Arial" w:hAnsi="Arial"/>
          <w:sz w:val="22"/>
          <w:szCs w:val="22"/>
          <w:u w:val="single" w:color="auto"/>
          <w:color w:val="auto"/>
        </w:rPr>
        <w:t>Affiliate</w:t>
      </w:r>
      <w:r>
        <w:rPr>
          <w:rFonts w:ascii="Arial" w:cs="Arial" w:eastAsia="Arial" w:hAnsi="Arial"/>
          <w:sz w:val="22"/>
          <w:szCs w:val="22"/>
          <w:color w:val="auto"/>
        </w:rPr>
        <w:t>” means any entity that directly or indirectly controls or is controlled by or is under common control with a Person. For purposes of this definition, “control” or “controlled” means ownership, directly or indirectly, of more than fifty percent (50%) of the shares of stock entitled to vote for the election of directors, in the case of a corporation, or more than fifty percent (50%) of the equity interest in the case of any other type of legal entity (or if the jurisdiction where such corporation or other entity is domiciled prohibits foreign ownership of such entity,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639254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48" w:name="page149"/>
    <w:bookmarkEnd w:id="148"/>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maximum foreign ownership interest permitted under such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such ownership interest provides actual control over such entity), status as a general partner in any partnership, or any other arrangement whereby a Person controls or has the right to control the board of directors or equivalent governing body of a corporation or other entity.</w:t>
      </w:r>
    </w:p>
    <w:p>
      <w:pPr>
        <w:spacing w:after="0" w:line="18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1.2 “</w:t>
      </w:r>
      <w:r>
        <w:rPr>
          <w:rFonts w:ascii="Arial" w:cs="Arial" w:eastAsia="Arial" w:hAnsi="Arial"/>
          <w:sz w:val="22"/>
          <w:szCs w:val="22"/>
          <w:u w:val="single" w:color="auto"/>
          <w:color w:val="auto"/>
        </w:rPr>
        <w:t>Annual Net Sales</w:t>
      </w:r>
      <w:r>
        <w:rPr>
          <w:rFonts w:ascii="Arial" w:cs="Arial" w:eastAsia="Arial" w:hAnsi="Arial"/>
          <w:sz w:val="22"/>
          <w:szCs w:val="22"/>
          <w:color w:val="auto"/>
        </w:rPr>
        <w:t>” means aggregate Net Sales of IPI-145 Products by Licensee, its Affiliates and/or the Sublicensees during a given Calendar Year.</w:t>
      </w:r>
    </w:p>
    <w:p>
      <w:pPr>
        <w:spacing w:after="0" w:line="17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1.3 “</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Saturday or Sunday on which the banks in New York, New York, United States are open for business.</w:t>
      </w:r>
    </w:p>
    <w:p>
      <w:pPr>
        <w:spacing w:after="0" w:line="17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1.4 “</w:t>
      </w:r>
      <w:r>
        <w:rPr>
          <w:rFonts w:ascii="Arial" w:cs="Arial" w:eastAsia="Arial" w:hAnsi="Arial"/>
          <w:sz w:val="22"/>
          <w:szCs w:val="22"/>
          <w:u w:val="single" w:color="auto"/>
          <w:color w:val="auto"/>
        </w:rPr>
        <w:t>Calendar Quarter</w:t>
      </w:r>
      <w:r>
        <w:rPr>
          <w:rFonts w:ascii="Arial" w:cs="Arial" w:eastAsia="Arial" w:hAnsi="Arial"/>
          <w:sz w:val="22"/>
          <w:szCs w:val="22"/>
          <w:color w:val="auto"/>
        </w:rPr>
        <w:t>” means the respective periods of three (3) consecutive calendar months ending on March 31, June 30, September 30 and December 31.</w:t>
      </w:r>
    </w:p>
    <w:p>
      <w:pPr>
        <w:spacing w:after="0" w:line="17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1.5 “</w:t>
      </w:r>
      <w:r>
        <w:rPr>
          <w:rFonts w:ascii="Arial" w:cs="Arial" w:eastAsia="Arial" w:hAnsi="Arial"/>
          <w:sz w:val="22"/>
          <w:szCs w:val="22"/>
          <w:u w:val="single" w:color="auto"/>
          <w:color w:val="auto"/>
        </w:rPr>
        <w:t>Calendar Year</w:t>
      </w:r>
      <w:r>
        <w:rPr>
          <w:rFonts w:ascii="Arial" w:cs="Arial" w:eastAsia="Arial" w:hAnsi="Arial"/>
          <w:sz w:val="22"/>
          <w:szCs w:val="22"/>
          <w:color w:val="auto"/>
        </w:rPr>
        <w:t>” means a period of time commencing on January 1 and ending on the following December 31.</w:t>
      </w:r>
    </w:p>
    <w:p>
      <w:pPr>
        <w:spacing w:after="0" w:line="175"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0"/>
          <w:szCs w:val="20"/>
          <w:color w:val="auto"/>
        </w:rPr>
        <w:t>1.6 “</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with respect to a Party, any of the following: (a) the sale or disposition of all or substantially all of the assets of such Party or its direct or indirect controlling Affiliate to a Third Party, other than to an entity of which more than fifty percent (50%) of the voting capital stock are owned after such sale or disposition by the Persons that were shareholders of such Party or its direct or indirect controlling Affiliate (in either case, whether directly or indirectly through any parent entity) immediately prior to such transaction; or (b) (i) the acquisition by a Third Party, alone or together with any of its Affiliates, other than an employee benefit plan (or related trust) sponsored or maintained by such Party or any of its Affiliates, of more than fifty percent (50%) of the outstanding shares of voting capital stock of such Party or its direct or indirect controlling Affiliate, or (ii) the acquisition, merger or consolidation of such Party or its direct or indirect controlling Affiliate with or into another Person, other than, in the case of this clause (b), an acquisition or a merger or consolidation of such Party or its controlling Affiliate in which the holders of shares of voting capital stock of such Party or its controlling Affiliate,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w:t>
      </w:r>
    </w:p>
    <w:p>
      <w:pPr>
        <w:spacing w:after="0" w:line="169"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Combination Product</w:t>
      </w:r>
      <w:r>
        <w:rPr>
          <w:rFonts w:ascii="Arial" w:cs="Arial" w:eastAsia="Arial" w:hAnsi="Arial"/>
          <w:sz w:val="22"/>
          <w:szCs w:val="22"/>
          <w:color w:val="auto"/>
        </w:rPr>
        <w:t>” means any pharmaceutical Product which contains two or more active pharmaceutical ingredients, at least one of which is an IPI-145 Compound.</w:t>
      </w:r>
    </w:p>
    <w:p>
      <w:pPr>
        <w:spacing w:after="0" w:line="175" w:lineRule="exact"/>
        <w:rPr>
          <w:sz w:val="20"/>
          <w:szCs w:val="20"/>
          <w:color w:val="auto"/>
        </w:rPr>
      </w:pPr>
    </w:p>
    <w:p>
      <w:pPr>
        <w:jc w:val="both"/>
        <w:ind w:firstLine="646"/>
        <w:spacing w:after="0" w:line="298" w:lineRule="auto"/>
        <w:rPr>
          <w:sz w:val="20"/>
          <w:szCs w:val="20"/>
          <w:color w:val="auto"/>
        </w:rPr>
      </w:pPr>
      <w:r>
        <w:rPr>
          <w:rFonts w:ascii="Arial" w:cs="Arial" w:eastAsia="Arial" w:hAnsi="Arial"/>
          <w:sz w:val="20"/>
          <w:szCs w:val="20"/>
          <w:color w:val="auto"/>
        </w:rPr>
        <w:t>1.8 “</w:t>
      </w:r>
      <w:r>
        <w:rPr>
          <w:rFonts w:ascii="Arial" w:cs="Arial" w:eastAsia="Arial" w:hAnsi="Arial"/>
          <w:sz w:val="20"/>
          <w:szCs w:val="20"/>
          <w:u w:val="single" w:color="auto"/>
          <w:color w:val="auto"/>
        </w:rPr>
        <w:t>Commercial Sale</w:t>
      </w:r>
      <w:r>
        <w:rPr>
          <w:rFonts w:ascii="Arial" w:cs="Arial" w:eastAsia="Arial" w:hAnsi="Arial"/>
          <w:sz w:val="20"/>
          <w:szCs w:val="20"/>
          <w:color w:val="auto"/>
        </w:rPr>
        <w:t>” means any sale of a Product to a Third Party in any country in the Territory after the receipt of the Marketing Authorization for that country, if such Marketing Authorization is required.</w:t>
      </w:r>
    </w:p>
    <w:p>
      <w:pPr>
        <w:spacing w:after="0" w:line="129"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1.9 “</w:t>
      </w:r>
      <w:r>
        <w:rPr>
          <w:rFonts w:ascii="Arial" w:cs="Arial" w:eastAsia="Arial" w:hAnsi="Arial"/>
          <w:sz w:val="22"/>
          <w:szCs w:val="22"/>
          <w:u w:val="single" w:color="auto"/>
          <w:color w:val="auto"/>
        </w:rPr>
        <w:t>Commercialization</w:t>
      </w:r>
      <w:r>
        <w:rPr>
          <w:rFonts w:ascii="Arial" w:cs="Arial" w:eastAsia="Arial" w:hAnsi="Arial"/>
          <w:sz w:val="22"/>
          <w:szCs w:val="22"/>
          <w:color w:val="auto"/>
        </w:rPr>
        <w:t>” or “</w:t>
      </w:r>
      <w:r>
        <w:rPr>
          <w:rFonts w:ascii="Arial" w:cs="Arial" w:eastAsia="Arial" w:hAnsi="Arial"/>
          <w:sz w:val="22"/>
          <w:szCs w:val="22"/>
          <w:u w:val="single" w:color="auto"/>
          <w:color w:val="auto"/>
        </w:rPr>
        <w:t>Commercialize</w:t>
      </w:r>
      <w:r>
        <w:rPr>
          <w:rFonts w:ascii="Arial" w:cs="Arial" w:eastAsia="Arial" w:hAnsi="Arial"/>
          <w:sz w:val="22"/>
          <w:szCs w:val="22"/>
          <w:color w:val="auto"/>
        </w:rPr>
        <w:t>” means any and all activities directed to the preparation for sale of, offering for sale of, or sale of a Compound or Product, including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49" w:name="page150"/>
    <w:bookmarkEnd w:id="149"/>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left="1"/>
        <w:spacing w:after="0" w:line="298" w:lineRule="auto"/>
        <w:rPr>
          <w:sz w:val="20"/>
          <w:szCs w:val="20"/>
          <w:color w:val="auto"/>
        </w:rPr>
      </w:pPr>
      <w:r>
        <w:rPr>
          <w:rFonts w:ascii="Arial" w:cs="Arial" w:eastAsia="Arial" w:hAnsi="Arial"/>
          <w:sz w:val="20"/>
          <w:szCs w:val="20"/>
          <w:color w:val="auto"/>
        </w:rPr>
        <w:t>activities to secure and maintain market access (including any phase IV/post-approval clinical study that is not required to obtain or maintain Regulatory Approval) market, promote, distribute, and import a Product.</w:t>
      </w:r>
    </w:p>
    <w:p>
      <w:pPr>
        <w:spacing w:after="0" w:line="129" w:lineRule="exact"/>
        <w:rPr>
          <w:sz w:val="20"/>
          <w:szCs w:val="20"/>
          <w:color w:val="auto"/>
        </w:rPr>
      </w:pPr>
    </w:p>
    <w:p>
      <w:pPr>
        <w:jc w:val="both"/>
        <w:ind w:left="1" w:firstLine="646"/>
        <w:spacing w:after="0" w:line="239"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Compound</w:t>
      </w:r>
      <w:r>
        <w:rPr>
          <w:rFonts w:ascii="Arial" w:cs="Arial" w:eastAsia="Arial" w:hAnsi="Arial"/>
          <w:sz w:val="22"/>
          <w:szCs w:val="22"/>
          <w:color w:val="auto"/>
        </w:rPr>
        <w:t>” means a compound and any references to a Compound shall include all of its various chemical forms, including acids, bases, salts, metabolites, esters, isomers, enantiomers, pro-drug forms, hydrates, solvates, polymorphs and degradants thereof in crystal, powder or other form.</w:t>
      </w:r>
    </w:p>
    <w:p>
      <w:pPr>
        <w:spacing w:after="0" w:line="186" w:lineRule="exact"/>
        <w:rPr>
          <w:sz w:val="20"/>
          <w:szCs w:val="20"/>
          <w:color w:val="auto"/>
        </w:rPr>
      </w:pPr>
    </w:p>
    <w:p>
      <w:pPr>
        <w:jc w:val="both"/>
        <w:ind w:left="1" w:firstLine="646"/>
        <w:spacing w:after="0" w:line="269" w:lineRule="auto"/>
        <w:rPr>
          <w:sz w:val="20"/>
          <w:szCs w:val="20"/>
          <w:color w:val="auto"/>
        </w:rPr>
      </w:pPr>
      <w:r>
        <w:rPr>
          <w:rFonts w:ascii="Arial" w:cs="Arial" w:eastAsia="Arial" w:hAnsi="Arial"/>
          <w:sz w:val="19"/>
          <w:szCs w:val="19"/>
          <w:color w:val="auto"/>
        </w:rPr>
        <w:t>1.11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 subject to clause (c) below, any Know-How and other proprietary scientific marketing, financial or commercial information or data, in any form (written, oral, photographic, electronic, magnetic, or otherwise) that is disclosed, supplied or made available to a Party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or any of its Affiliates by the other Party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or any of its Affiliates or otherwise received or accessed by the Receiving Party or any of its Affiliates in the course of performing the Receiving Party’s obligations or exercising the Receiving Party’s rights under this Agreement; (b) subject to clause</w:t>
      </w:r>
    </w:p>
    <w:p>
      <w:pPr>
        <w:spacing w:after="0" w:line="2" w:lineRule="exact"/>
        <w:rPr>
          <w:sz w:val="20"/>
          <w:szCs w:val="20"/>
          <w:color w:val="auto"/>
        </w:rPr>
      </w:pPr>
    </w:p>
    <w:p>
      <w:pPr>
        <w:jc w:val="both"/>
        <w:ind w:left="1" w:hanging="1"/>
        <w:spacing w:after="0" w:line="254" w:lineRule="auto"/>
        <w:tabs>
          <w:tab w:leader="none" w:pos="299" w:val="left"/>
        </w:tabs>
        <w:numPr>
          <w:ilvl w:val="0"/>
          <w:numId w:val="77"/>
        </w:numPr>
        <w:rPr>
          <w:rFonts w:ascii="Arial" w:cs="Arial" w:eastAsia="Arial" w:hAnsi="Arial"/>
          <w:sz w:val="20"/>
          <w:szCs w:val="20"/>
          <w:color w:val="auto"/>
        </w:rPr>
      </w:pPr>
      <w:r>
        <w:rPr>
          <w:rFonts w:ascii="Arial" w:cs="Arial" w:eastAsia="Arial" w:hAnsi="Arial"/>
          <w:sz w:val="20"/>
          <w:szCs w:val="20"/>
          <w:color w:val="auto"/>
        </w:rPr>
        <w:t>below, any information that was disclosed by INFI to Licensee or any Affiliate of Licensee prior to the Effective Date pursuant to the Confidential Disclosure Agreement between INFI and Licensee, dated [* * *] (the “</w:t>
      </w:r>
      <w:r>
        <w:rPr>
          <w:rFonts w:ascii="Arial" w:cs="Arial" w:eastAsia="Arial" w:hAnsi="Arial"/>
          <w:sz w:val="20"/>
          <w:szCs w:val="20"/>
          <w:u w:val="single" w:color="auto"/>
          <w:color w:val="auto"/>
        </w:rPr>
        <w:t>Existing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which shall be treated as INFI’s Confidential Information, with INFI considered the Disclosing Party and Licensee considered the Receiving Party; (c) any Duvelisib Know-How Controlled by INFI as of the Effective Date that is solely and specifically related to the IPI-145 Compound or IPI-145 Product, which shall be treated as INFI’s and Licensee’s Confidential Information, with each of INFI and Licensee considered the Disclosing Party and each of Licensee and INFI considered the Receiving Party; (d) any Know-How with respect to which INFI is subject to any confidentiality or non-use obligations to any Third Party Grantor pursuant to an INFI Third Party Agreement, which shall be treated as INFI’s Confidential Information, with INFI considered the Disclosing Party and Licensee considered the Receiving Party; (e) any reports or other information (including any information made available in connection with any audit) delivered, disclosed or made available by Licensee, its Affiliates or its Sublicensees to INFI, its Affiliates or any Third Party Grantor in connection with this Agreement, which shall be treated as Licensee’s Confidential Information; and (f) the terms and conditions of this Agreement, which shall be treated as the Confidential information of both INFI and Licensee.</w:t>
      </w:r>
    </w:p>
    <w:p>
      <w:pPr>
        <w:spacing w:after="0" w:line="181" w:lineRule="exact"/>
        <w:rPr>
          <w:sz w:val="20"/>
          <w:szCs w:val="20"/>
          <w:color w:val="auto"/>
        </w:rPr>
      </w:pPr>
    </w:p>
    <w:p>
      <w:pPr>
        <w:jc w:val="both"/>
        <w:ind w:left="1" w:firstLine="646"/>
        <w:spacing w:after="0" w:line="260"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u w:val="single" w:color="auto"/>
          <w:color w:val="auto"/>
        </w:rPr>
        <w:t>Control</w:t>
      </w:r>
      <w:r>
        <w:rPr>
          <w:rFonts w:ascii="Arial" w:cs="Arial" w:eastAsia="Arial" w:hAnsi="Arial"/>
          <w:sz w:val="20"/>
          <w:szCs w:val="20"/>
          <w:color w:val="auto"/>
        </w:rPr>
        <w:t>” or “</w:t>
      </w:r>
      <w:r>
        <w:rPr>
          <w:rFonts w:ascii="Arial" w:cs="Arial" w:eastAsia="Arial" w:hAnsi="Arial"/>
          <w:sz w:val="20"/>
          <w:szCs w:val="20"/>
          <w:u w:val="single" w:color="auto"/>
          <w:color w:val="auto"/>
        </w:rPr>
        <w:t>Controlled</w:t>
      </w:r>
      <w:r>
        <w:rPr>
          <w:rFonts w:ascii="Arial" w:cs="Arial" w:eastAsia="Arial" w:hAnsi="Arial"/>
          <w:sz w:val="20"/>
          <w:szCs w:val="20"/>
          <w:color w:val="auto"/>
        </w:rPr>
        <w:t>” means, with respect to any Know-How, Patent Right, other intellectual property right or any Compound, the legal authority or right (whether by ownership, license or otherwise, but without taking into account any rights granted by one Party to the other Party under the terms of this Agreement) of a Party or, as set forth herein, its relevant Affiliate, to grant access to, a license or a sublicense of or under such Know-How, Patent Right, intellectual property right or Compound to the other Party, or to otherwise disclose proprietary or trade secret information to the other Party, without breaching the terms of any agreement with a Third Party, or misappropriating the proprietary or trade secret information of a Third Party.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50" w:name="page151"/>
    <w:bookmarkEnd w:id="150"/>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u w:val="single" w:color="auto"/>
          <w:color w:val="auto"/>
        </w:rPr>
        <w:t>Counterpart</w:t>
      </w:r>
      <w:r>
        <w:rPr>
          <w:rFonts w:ascii="Arial" w:cs="Arial" w:eastAsia="Arial" w:hAnsi="Arial"/>
          <w:sz w:val="20"/>
          <w:szCs w:val="20"/>
          <w:color w:val="auto"/>
        </w:rPr>
        <w:t>” means (a) with respect to a patent, collectively, any patent applications from which such patent issued, and all patents and patent applications described in clause (b) with respect to each such patent application; and (b) with respect to a patent application (including any provisional application), the following items, collectively: (i) all divisionals, continuations and continuations-in-part of such patent application; (ii) any patents (including certificates of correction) issuing from such patent application or any patent application described in clause (i); (iii) all patents and patent applications based on, corresponding to or claiming the priority date(s) of such patent application or any of the patents and patent applications described in clauses (i) or (ii); (iv) all rights derived from any of the items described in clauses (i), (ii) or (iii) including any substitutions, extensions (including supplemental protection certificates), registrations, confirmations, reissues, re-examinations and renewals of any of the patents described in clauses (ii) or (iii); and (v) foreign counterparts of any of the foregoing.</w:t>
      </w:r>
    </w:p>
    <w:p>
      <w:pPr>
        <w:spacing w:after="0" w:line="175"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u w:val="single" w:color="auto"/>
          <w:color w:val="auto"/>
        </w:rPr>
        <w:t>Development</w:t>
      </w:r>
      <w:r>
        <w:rPr>
          <w:rFonts w:ascii="Arial" w:cs="Arial" w:eastAsia="Arial" w:hAnsi="Arial"/>
          <w:sz w:val="22"/>
          <w:szCs w:val="22"/>
          <w:color w:val="auto"/>
        </w:rPr>
        <w:t>” or “</w:t>
      </w:r>
      <w:r>
        <w:rPr>
          <w:rFonts w:ascii="Arial" w:cs="Arial" w:eastAsia="Arial" w:hAnsi="Arial"/>
          <w:sz w:val="22"/>
          <w:szCs w:val="22"/>
          <w:u w:val="single" w:color="auto"/>
          <w:color w:val="auto"/>
        </w:rPr>
        <w:t>Develop</w:t>
      </w:r>
      <w:r>
        <w:rPr>
          <w:rFonts w:ascii="Arial" w:cs="Arial" w:eastAsia="Arial" w:hAnsi="Arial"/>
          <w:sz w:val="22"/>
          <w:szCs w:val="22"/>
          <w:color w:val="auto"/>
        </w:rPr>
        <w:t>” means, with respect to a Compound, all development activities starting with the initiation of the first IND-enabling GLP toxicology study for such Compound, excluding Research, medicinal chemistry and Commercialization.</w:t>
      </w:r>
    </w:p>
    <w:p>
      <w:pPr>
        <w:spacing w:after="0" w:line="186"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1.15 “</w:t>
      </w:r>
      <w:r>
        <w:rPr>
          <w:rFonts w:ascii="Arial" w:cs="Arial" w:eastAsia="Arial" w:hAnsi="Arial"/>
          <w:sz w:val="22"/>
          <w:szCs w:val="22"/>
          <w:u w:val="single" w:color="auto"/>
          <w:color w:val="auto"/>
        </w:rPr>
        <w:t>Diligent Efforts</w:t>
      </w:r>
      <w:r>
        <w:rPr>
          <w:rFonts w:ascii="Arial" w:cs="Arial" w:eastAsia="Arial" w:hAnsi="Arial"/>
          <w:sz w:val="22"/>
          <w:szCs w:val="22"/>
          <w:color w:val="auto"/>
        </w:rPr>
        <w:t xml:space="preserve">” means the efforts that [* *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a Person required to use “Diligent Efforts” under this Agreement will not be thereby required to take actions that [* * *]. Without limiting the generality of the foregoing, in determining Diligent Efforts with respect to the Development and Commercialization of the IPI-145 Compound or IPI-145 Product, the Parties shall take into account the following: [* * *].</w:t>
      </w:r>
    </w:p>
    <w:p>
      <w:pPr>
        <w:spacing w:after="0" w:line="188"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means the legal tender of the United States.</w:t>
      </w:r>
    </w:p>
    <w:p>
      <w:pPr>
        <w:spacing w:after="0" w:line="20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u w:val="single" w:color="auto"/>
          <w:color w:val="auto"/>
        </w:rPr>
        <w:t>Duvelisib IP</w:t>
      </w:r>
      <w:r>
        <w:rPr>
          <w:rFonts w:ascii="Arial" w:cs="Arial" w:eastAsia="Arial" w:hAnsi="Arial"/>
          <w:sz w:val="22"/>
          <w:szCs w:val="22"/>
          <w:color w:val="auto"/>
        </w:rPr>
        <w:t>” means the Duvelisib Know-How, the Duvelisib Patent Rights and INFI’s and its Affiliates’ interest in any Joint IP.</w:t>
      </w:r>
    </w:p>
    <w:p>
      <w:pPr>
        <w:spacing w:after="0" w:line="175"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u w:val="single" w:color="auto"/>
          <w:color w:val="auto"/>
        </w:rPr>
        <w:t>Duvelisib Know-How</w:t>
      </w:r>
      <w:r>
        <w:rPr>
          <w:rFonts w:ascii="Arial" w:cs="Arial" w:eastAsia="Arial" w:hAnsi="Arial"/>
          <w:sz w:val="22"/>
          <w:szCs w:val="22"/>
          <w:color w:val="auto"/>
        </w:rPr>
        <w:t>” means, subject to Section 12.6, Know-How that is (a) Controlled by INFI or any of its Affiliates on the Effective Date or thereafter during the Term (including INFI’s and its Affiliates’ interest in Joint Know-How), and (b) necessary or useful to Research, Develop, Manufacture or Commercialize any IPI-145 Compound or IPI-145 Product.</w:t>
      </w:r>
    </w:p>
    <w:p>
      <w:pPr>
        <w:spacing w:after="0" w:line="185" w:lineRule="exact"/>
        <w:rPr>
          <w:sz w:val="20"/>
          <w:szCs w:val="20"/>
          <w:color w:val="auto"/>
        </w:rPr>
      </w:pPr>
    </w:p>
    <w:p>
      <w:pPr>
        <w:jc w:val="both"/>
        <w:ind w:firstLine="646"/>
        <w:spacing w:after="0" w:line="234"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u w:val="single" w:color="auto"/>
          <w:color w:val="auto"/>
        </w:rPr>
        <w:t>Duvelisib Patent Rights</w:t>
      </w:r>
      <w:r>
        <w:rPr>
          <w:rFonts w:ascii="Arial" w:cs="Arial" w:eastAsia="Arial" w:hAnsi="Arial"/>
          <w:sz w:val="22"/>
          <w:szCs w:val="22"/>
          <w:color w:val="auto"/>
        </w:rPr>
        <w:t>” means, subject to Section 12.6, Patent Rights that (a) are Controlled by INFI or any of its Affiliates on the Effective Date or thereafter during the Term (including INFI’s and its Affiliates’ interest in Joint Patent Rights), and (b) claim or otherwise cover the Research, Development, Manufacture or Commercialization of any IPI-145 Compound or IPI-145 Product. Duvelisib Patent Rights include the INFI Prosecution Patent Rights, the INK Prosecution Patent Rights, the INK Non-Prosecution Patent Rights and the INFI Other Patent Rights.</w:t>
      </w:r>
    </w:p>
    <w:p>
      <w:pPr>
        <w:spacing w:after="0" w:line="189"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EMA</w:t>
      </w:r>
      <w:r>
        <w:rPr>
          <w:rFonts w:ascii="Arial" w:cs="Arial" w:eastAsia="Arial" w:hAnsi="Arial"/>
          <w:sz w:val="19"/>
          <w:szCs w:val="19"/>
          <w:color w:val="auto"/>
        </w:rPr>
        <w:t>” means the European Medicines Agency and any successor agency.</w:t>
      </w:r>
    </w:p>
    <w:p>
      <w:pPr>
        <w:spacing w:after="0" w:line="20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means the U.S. Food and Drug Administration and any successor agency.</w:t>
      </w:r>
    </w:p>
    <w:p>
      <w:pPr>
        <w:spacing w:after="0" w:line="205"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51" w:name="page152"/>
    <w:bookmarkEnd w:id="151"/>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FD&amp;C Act</w:t>
      </w:r>
      <w:r>
        <w:rPr>
          <w:rFonts w:ascii="Arial" w:cs="Arial" w:eastAsia="Arial" w:hAnsi="Arial"/>
          <w:sz w:val="19"/>
          <w:szCs w:val="19"/>
          <w:color w:val="auto"/>
        </w:rPr>
        <w:t>” means the United States Federal Food, Drug, and Cosmetic Act, as amended.</w:t>
      </w:r>
    </w:p>
    <w:p>
      <w:pPr>
        <w:spacing w:after="0" w:line="20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u w:val="single" w:color="auto"/>
          <w:color w:val="auto"/>
        </w:rPr>
        <w:t>Field</w:t>
      </w:r>
      <w:r>
        <w:rPr>
          <w:rFonts w:ascii="Arial" w:cs="Arial" w:eastAsia="Arial" w:hAnsi="Arial"/>
          <w:sz w:val="22"/>
          <w:szCs w:val="22"/>
          <w:color w:val="auto"/>
        </w:rPr>
        <w:t>” means the treatment, prevention, palliation or diagnosis of any oncology Indication in humans or animals.</w:t>
      </w:r>
    </w:p>
    <w:p>
      <w:pPr>
        <w:spacing w:after="0" w:line="175"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1.24 “</w:t>
      </w:r>
      <w:r>
        <w:rPr>
          <w:rFonts w:ascii="Arial" w:cs="Arial" w:eastAsia="Arial" w:hAnsi="Arial"/>
          <w:sz w:val="20"/>
          <w:szCs w:val="20"/>
          <w:u w:val="single" w:color="auto"/>
          <w:color w:val="auto"/>
        </w:rPr>
        <w:t>Good Clinical Practices</w:t>
      </w:r>
      <w:r>
        <w:rPr>
          <w:rFonts w:ascii="Arial" w:cs="Arial" w:eastAsia="Arial" w:hAnsi="Arial"/>
          <w:sz w:val="20"/>
          <w:szCs w:val="20"/>
          <w:color w:val="auto"/>
        </w:rPr>
        <w:t>” or “</w:t>
      </w:r>
      <w:r>
        <w:rPr>
          <w:rFonts w:ascii="Arial" w:cs="Arial" w:eastAsia="Arial" w:hAnsi="Arial"/>
          <w:sz w:val="20"/>
          <w:szCs w:val="20"/>
          <w:u w:val="single" w:color="auto"/>
          <w:color w:val="auto"/>
        </w:rPr>
        <w:t>GCP</w:t>
      </w:r>
      <w:r>
        <w:rPr>
          <w:rFonts w:ascii="Arial" w:cs="Arial" w:eastAsia="Arial" w:hAnsi="Arial"/>
          <w:sz w:val="20"/>
          <w:szCs w:val="20"/>
          <w:color w:val="auto"/>
        </w:rPr>
        <w:t>” means the then-current standards, practices and procedures (a) promulgated or endorsed by the FDA as set forth in the guidelines entitled “Guidance for Industry E6 Good Clinical Practice: Consolidated Guidance,” including related regulatory requirements imposed by the FDA; (b) set forth in Directive 2001/20/EC of the European Parliament and of the Council of 4 April 2001 and Commission Directive 2005//28/EC of 8 April 2005; (c) ICH Guideline for Good Clinical Practice E6; (d) equivalent Laws of an applicable Regulatory Authority; and (e) all additional Regulatory Authority documents or regulations that replace, amend, modify, supplant or complement any of the foregoing.</w:t>
      </w:r>
    </w:p>
    <w:p>
      <w:pPr>
        <w:spacing w:after="0" w:line="167"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20"/>
          <w:szCs w:val="20"/>
          <w:color w:val="auto"/>
        </w:rPr>
        <w:t>1.25 “</w:t>
      </w:r>
      <w:r>
        <w:rPr>
          <w:rFonts w:ascii="Arial" w:cs="Arial" w:eastAsia="Arial" w:hAnsi="Arial"/>
          <w:sz w:val="20"/>
          <w:szCs w:val="20"/>
          <w:u w:val="single" w:color="auto"/>
          <w:color w:val="auto"/>
        </w:rPr>
        <w:t>Good Laboratory Practices</w:t>
      </w:r>
      <w:r>
        <w:rPr>
          <w:rFonts w:ascii="Arial" w:cs="Arial" w:eastAsia="Arial" w:hAnsi="Arial"/>
          <w:sz w:val="20"/>
          <w:szCs w:val="20"/>
          <w:color w:val="auto"/>
        </w:rPr>
        <w:t>” or “</w:t>
      </w:r>
      <w:r>
        <w:rPr>
          <w:rFonts w:ascii="Arial" w:cs="Arial" w:eastAsia="Arial" w:hAnsi="Arial"/>
          <w:sz w:val="20"/>
          <w:szCs w:val="20"/>
          <w:u w:val="single" w:color="auto"/>
          <w:color w:val="auto"/>
        </w:rPr>
        <w:t>GLP</w:t>
      </w:r>
      <w:r>
        <w:rPr>
          <w:rFonts w:ascii="Arial" w:cs="Arial" w:eastAsia="Arial" w:hAnsi="Arial"/>
          <w:sz w:val="20"/>
          <w:szCs w:val="20"/>
          <w:color w:val="auto"/>
        </w:rPr>
        <w:t>” means the then-current good laboratory practice standards promulgated or endorsed by the FDA as defined in 21 C.F.R. Part 58, as such regulations may be amended from time to time, and the equivalent regulations promulgated by the equivalent Regulatory Authority in the jurisdiction where the relevant Research or Development activities are performed.</w:t>
      </w:r>
    </w:p>
    <w:p>
      <w:pPr>
        <w:spacing w:after="0" w:line="157"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20"/>
          <w:szCs w:val="20"/>
          <w:color w:val="auto"/>
        </w:rPr>
        <w:t>1.26 “</w:t>
      </w:r>
      <w:r>
        <w:rPr>
          <w:rFonts w:ascii="Arial" w:cs="Arial" w:eastAsia="Arial" w:hAnsi="Arial"/>
          <w:sz w:val="20"/>
          <w:szCs w:val="20"/>
          <w:u w:val="single" w:color="auto"/>
          <w:color w:val="auto"/>
        </w:rPr>
        <w:t>Good Manufacturing Practices</w:t>
      </w:r>
      <w:r>
        <w:rPr>
          <w:rFonts w:ascii="Arial" w:cs="Arial" w:eastAsia="Arial" w:hAnsi="Arial"/>
          <w:sz w:val="20"/>
          <w:szCs w:val="20"/>
          <w:color w:val="auto"/>
        </w:rPr>
        <w:t>” or “</w:t>
      </w:r>
      <w:r>
        <w:rPr>
          <w:rFonts w:ascii="Arial" w:cs="Arial" w:eastAsia="Arial" w:hAnsi="Arial"/>
          <w:sz w:val="20"/>
          <w:szCs w:val="20"/>
          <w:u w:val="single" w:color="auto"/>
          <w:color w:val="auto"/>
        </w:rPr>
        <w:t>GMP</w:t>
      </w:r>
      <w:r>
        <w:rPr>
          <w:rFonts w:ascii="Arial" w:cs="Arial" w:eastAsia="Arial" w:hAnsi="Arial"/>
          <w:sz w:val="20"/>
          <w:szCs w:val="20"/>
          <w:color w:val="auto"/>
        </w:rPr>
        <w:t>” means then-current standards for the manufacture of pharmaceutical products, pursuant to (a) the FD&amp;C Act (21 U.S.C. 321 et seq.); (b) relevant United States regulations in Title 21 of the United States Code of Federal Regulations (including Parts 11, 210, and 211); (c) European Community Directives 2003/94 and 91/356/EC; (d) the European Community Guide to Good Manufacturing Practice for Medicinal Intermediate Products; (e) ICH Q7A Good Manufacturing Practice Guidance for Active Pharmaceutical Ingredients; (f) equivalent Laws of an applicable Regulatory Authority at the time of Manufacture; and (g) all additional Regulatory Authority documents or regulations that replace, amend, modify, supplant or complement any of the foregoing.</w:t>
      </w:r>
    </w:p>
    <w:p>
      <w:pPr>
        <w:spacing w:after="0" w:line="168"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20"/>
          <w:szCs w:val="20"/>
          <w:color w:val="auto"/>
        </w:rPr>
        <w:t>1.27 “</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multinational, federal, state, county, local, municipal or other entity, office, commission, bureau, agency, political subdivision, instrumentality, branch, department, authority, board, court, arbitral or other tribunal, official or officer, exercising executive, judicial, legislative, police, regulatory, administrative or taxing authority or functions of any nature pertaining to government.</w:t>
      </w:r>
    </w:p>
    <w:p>
      <w:pPr>
        <w:spacing w:after="0" w:line="157"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u w:val="single" w:color="auto"/>
          <w:color w:val="auto"/>
        </w:rPr>
        <w:t>Headlicense Termination Event</w:t>
      </w:r>
      <w:r>
        <w:rPr>
          <w:rFonts w:ascii="Arial" w:cs="Arial" w:eastAsia="Arial" w:hAnsi="Arial"/>
          <w:sz w:val="22"/>
          <w:szCs w:val="22"/>
          <w:color w:val="auto"/>
        </w:rPr>
        <w:t xml:space="preserve">” means the termination of the INK Agreement by INK for a material breach thereof and such material breach is the direct result of Licensee’s, its Affiliates’ or Sublicensees’ acts or omissions in breach of Licensee’s obligations under this Agreement that has not been cured in a timely manner;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INFI has not received notice from INK that INFI is otherwise in material breach of the INK Agreement as of the time of such termination.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52" w:name="page153"/>
    <w:bookmarkEnd w:id="152"/>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ICH</w:t>
      </w:r>
      <w:r>
        <w:rPr>
          <w:rFonts w:ascii="Arial" w:cs="Arial" w:eastAsia="Arial" w:hAnsi="Arial"/>
          <w:sz w:val="22"/>
          <w:szCs w:val="22"/>
          <w:color w:val="auto"/>
        </w:rPr>
        <w:t>” means the International Conference on Harmonization of Technical Requirements for Registration of Pharmaceuticals for Human Use.</w:t>
      </w:r>
    </w:p>
    <w:p>
      <w:pPr>
        <w:spacing w:after="0" w:line="175"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20"/>
          <w:szCs w:val="20"/>
          <w:color w:val="auto"/>
        </w:rPr>
        <w:t>1.30 “</w:t>
      </w:r>
      <w:r>
        <w:rPr>
          <w:rFonts w:ascii="Arial" w:cs="Arial" w:eastAsia="Arial" w:hAnsi="Arial"/>
          <w:sz w:val="20"/>
          <w:szCs w:val="20"/>
          <w:u w:val="single" w:color="auto"/>
          <w:color w:val="auto"/>
        </w:rPr>
        <w:t>IND</w:t>
      </w:r>
      <w:r>
        <w:rPr>
          <w:rFonts w:ascii="Arial" w:cs="Arial" w:eastAsia="Arial" w:hAnsi="Arial"/>
          <w:sz w:val="20"/>
          <w:szCs w:val="20"/>
          <w:color w:val="auto"/>
        </w:rPr>
        <w:t>” an investigational new drug application filed with the FDA or the corresponding application for the investigation of a Product in any other country or group of countries, as defined in the applicable Laws and regulations and filed with the Regulatory Authority of such country or group of countries.</w:t>
      </w:r>
    </w:p>
    <w:p>
      <w:pPr>
        <w:spacing w:after="0" w:line="152"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Indication</w:t>
      </w:r>
      <w:r>
        <w:rPr>
          <w:rFonts w:ascii="Arial" w:cs="Arial" w:eastAsia="Arial" w:hAnsi="Arial"/>
          <w:sz w:val="19"/>
          <w:szCs w:val="19"/>
          <w:color w:val="auto"/>
        </w:rPr>
        <w:t>” means a disease, condition, disorder or syndrome.</w:t>
      </w:r>
    </w:p>
    <w:p>
      <w:pPr>
        <w:spacing w:after="0" w:line="20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u w:val="single" w:color="auto"/>
          <w:color w:val="auto"/>
        </w:rPr>
        <w:t>INFI Indemnitees</w:t>
      </w:r>
      <w:r>
        <w:rPr>
          <w:rFonts w:ascii="Arial" w:cs="Arial" w:eastAsia="Arial" w:hAnsi="Arial"/>
          <w:sz w:val="22"/>
          <w:szCs w:val="22"/>
          <w:color w:val="auto"/>
        </w:rPr>
        <w:t>” means INFI, its Affiliates and their respective directors, officers, employees and agents.</w:t>
      </w:r>
    </w:p>
    <w:p>
      <w:pPr>
        <w:spacing w:after="0" w:line="175"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1.33 “</w:t>
      </w:r>
      <w:r>
        <w:rPr>
          <w:rFonts w:ascii="Arial" w:cs="Arial" w:eastAsia="Arial" w:hAnsi="Arial"/>
          <w:sz w:val="22"/>
          <w:szCs w:val="22"/>
          <w:u w:val="single" w:color="auto"/>
          <w:color w:val="auto"/>
        </w:rPr>
        <w:t>INFI Other Patent Rights</w:t>
      </w:r>
      <w:r>
        <w:rPr>
          <w:rFonts w:ascii="Arial" w:cs="Arial" w:eastAsia="Arial" w:hAnsi="Arial"/>
          <w:sz w:val="22"/>
          <w:szCs w:val="22"/>
          <w:color w:val="auto"/>
        </w:rPr>
        <w:t>” means, subject to Section 12.6, the Patent Rights Controlled by INFI as of the Effective Date or during the Term that are necessary or useful to Research, Develop, Manufacture or Commercialize the IPI-145 Product, but excluding the INFI Prosecution Patent Rights, INK Prosecution Patent Rights and INK Non-Prosecution Patent Rights.</w:t>
      </w:r>
    </w:p>
    <w:p>
      <w:pPr>
        <w:spacing w:after="0" w:line="185" w:lineRule="exact"/>
        <w:rPr>
          <w:sz w:val="20"/>
          <w:szCs w:val="20"/>
          <w:color w:val="auto"/>
        </w:rPr>
      </w:pPr>
    </w:p>
    <w:p>
      <w:pPr>
        <w:jc w:val="both"/>
        <w:ind w:firstLine="646"/>
        <w:spacing w:after="0" w:line="298" w:lineRule="auto"/>
        <w:rPr>
          <w:sz w:val="20"/>
          <w:szCs w:val="20"/>
          <w:color w:val="auto"/>
        </w:rPr>
      </w:pPr>
      <w:r>
        <w:rPr>
          <w:rFonts w:ascii="Arial" w:cs="Arial" w:eastAsia="Arial" w:hAnsi="Arial"/>
          <w:sz w:val="20"/>
          <w:szCs w:val="20"/>
          <w:color w:val="auto"/>
        </w:rPr>
        <w:t>1.34 “</w:t>
      </w:r>
      <w:r>
        <w:rPr>
          <w:rFonts w:ascii="Arial" w:cs="Arial" w:eastAsia="Arial" w:hAnsi="Arial"/>
          <w:sz w:val="20"/>
          <w:szCs w:val="20"/>
          <w:u w:val="single" w:color="auto"/>
          <w:color w:val="auto"/>
        </w:rPr>
        <w:t>INFI Prosecution Patent Rights</w:t>
      </w:r>
      <w:r>
        <w:rPr>
          <w:rFonts w:ascii="Arial" w:cs="Arial" w:eastAsia="Arial" w:hAnsi="Arial"/>
          <w:sz w:val="20"/>
          <w:szCs w:val="20"/>
          <w:color w:val="auto"/>
        </w:rPr>
        <w:t xml:space="preserve">” means, subject to Section 12.6, the Patent Rights Controlled by INFI or any of its Affiliates that are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and including any Counterparts thereof.</w:t>
      </w:r>
    </w:p>
    <w:p>
      <w:pPr>
        <w:spacing w:after="0" w:line="129"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20"/>
          <w:szCs w:val="20"/>
          <w:color w:val="auto"/>
        </w:rPr>
        <w:t>1.35 “</w:t>
      </w:r>
      <w:r>
        <w:rPr>
          <w:rFonts w:ascii="Arial" w:cs="Arial" w:eastAsia="Arial" w:hAnsi="Arial"/>
          <w:sz w:val="20"/>
          <w:szCs w:val="20"/>
          <w:u w:val="single" w:color="auto"/>
          <w:color w:val="auto"/>
        </w:rPr>
        <w:t>INFI Product Related Contracts</w:t>
      </w:r>
      <w:r>
        <w:rPr>
          <w:rFonts w:ascii="Arial" w:cs="Arial" w:eastAsia="Arial" w:hAnsi="Arial"/>
          <w:sz w:val="20"/>
          <w:szCs w:val="20"/>
          <w:color w:val="auto"/>
        </w:rPr>
        <w:t xml:space="preserve">” means (a) the agreements identified in </w:t>
      </w:r>
      <w:r>
        <w:rPr>
          <w:rFonts w:ascii="Arial" w:cs="Arial" w:eastAsia="Arial" w:hAnsi="Arial"/>
          <w:sz w:val="20"/>
          <w:szCs w:val="20"/>
          <w:u w:val="single" w:color="auto"/>
          <w:color w:val="auto"/>
        </w:rPr>
        <w:t>Exhibit F-1</w:t>
      </w:r>
      <w:r>
        <w:rPr>
          <w:rFonts w:ascii="Arial" w:cs="Arial" w:eastAsia="Arial" w:hAnsi="Arial"/>
          <w:sz w:val="20"/>
          <w:szCs w:val="20"/>
          <w:color w:val="auto"/>
        </w:rPr>
        <w:t xml:space="preserve"> and (b) any agreement between INFI (or any of its Affiliates) and any Third Party that is a clinical trial site or investigator with respect to the Development of the IPI-145 Compound or IPI-145 Product (a “</w:t>
      </w:r>
      <w:r>
        <w:rPr>
          <w:rFonts w:ascii="Arial" w:cs="Arial" w:eastAsia="Arial" w:hAnsi="Arial"/>
          <w:sz w:val="20"/>
          <w:szCs w:val="20"/>
          <w:u w:val="single" w:color="auto"/>
          <w:color w:val="auto"/>
        </w:rPr>
        <w:t>Clinical Site Agreement</w:t>
      </w:r>
      <w:r>
        <w:rPr>
          <w:rFonts w:ascii="Arial" w:cs="Arial" w:eastAsia="Arial" w:hAnsi="Arial"/>
          <w:sz w:val="20"/>
          <w:szCs w:val="20"/>
          <w:color w:val="auto"/>
        </w:rPr>
        <w:t>”).</w:t>
      </w:r>
    </w:p>
    <w:p>
      <w:pPr>
        <w:spacing w:after="0" w:line="152"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INFI Third Party Agreements</w:t>
      </w:r>
      <w:r>
        <w:rPr>
          <w:rFonts w:ascii="Arial" w:cs="Arial" w:eastAsia="Arial" w:hAnsi="Arial"/>
          <w:sz w:val="20"/>
          <w:szCs w:val="20"/>
          <w:color w:val="auto"/>
        </w:rPr>
        <w:t>” means the INK Agreement and the MICL Agreements.</w:t>
      </w:r>
    </w:p>
    <w:p>
      <w:pPr>
        <w:spacing w:after="0" w:line="205"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1.37 “</w:t>
      </w:r>
      <w:r>
        <w:rPr>
          <w:rFonts w:ascii="Arial" w:cs="Arial" w:eastAsia="Arial" w:hAnsi="Arial"/>
          <w:sz w:val="22"/>
          <w:szCs w:val="22"/>
          <w:u w:val="single" w:color="auto"/>
          <w:color w:val="auto"/>
        </w:rPr>
        <w:t>INK Agreement</w:t>
      </w:r>
      <w:r>
        <w:rPr>
          <w:rFonts w:ascii="Arial" w:cs="Arial" w:eastAsia="Arial" w:hAnsi="Arial"/>
          <w:sz w:val="22"/>
          <w:szCs w:val="22"/>
          <w:color w:val="auto"/>
        </w:rPr>
        <w:t>” means the Amended and Restated Development and License Agreement, dated December 24, 2012, as amended, by and between INFI and Intellikine LLC (“</w:t>
      </w:r>
      <w:r>
        <w:rPr>
          <w:rFonts w:ascii="Arial" w:cs="Arial" w:eastAsia="Arial" w:hAnsi="Arial"/>
          <w:sz w:val="22"/>
          <w:szCs w:val="22"/>
          <w:u w:val="single" w:color="auto"/>
          <w:color w:val="auto"/>
        </w:rPr>
        <w:t>INK</w:t>
      </w:r>
      <w:r>
        <w:rPr>
          <w:rFonts w:ascii="Arial" w:cs="Arial" w:eastAsia="Arial" w:hAnsi="Arial"/>
          <w:sz w:val="22"/>
          <w:szCs w:val="22"/>
          <w:color w:val="auto"/>
        </w:rPr>
        <w:t>”), as may be amended from time to time to the extent permitted by this Agreement.</w:t>
      </w:r>
    </w:p>
    <w:p>
      <w:pPr>
        <w:spacing w:after="0" w:line="186" w:lineRule="exact"/>
        <w:rPr>
          <w:sz w:val="20"/>
          <w:szCs w:val="20"/>
          <w:color w:val="auto"/>
        </w:rPr>
      </w:pPr>
    </w:p>
    <w:p>
      <w:pPr>
        <w:jc w:val="both"/>
        <w:ind w:firstLine="646"/>
        <w:spacing w:after="0" w:line="298" w:lineRule="auto"/>
        <w:rPr>
          <w:sz w:val="20"/>
          <w:szCs w:val="20"/>
          <w:color w:val="auto"/>
        </w:rPr>
      </w:pPr>
      <w:r>
        <w:rPr>
          <w:rFonts w:ascii="Arial" w:cs="Arial" w:eastAsia="Arial" w:hAnsi="Arial"/>
          <w:sz w:val="20"/>
          <w:szCs w:val="20"/>
          <w:color w:val="auto"/>
        </w:rPr>
        <w:t>1.38 “</w:t>
      </w:r>
      <w:r>
        <w:rPr>
          <w:rFonts w:ascii="Arial" w:cs="Arial" w:eastAsia="Arial" w:hAnsi="Arial"/>
          <w:sz w:val="20"/>
          <w:szCs w:val="20"/>
          <w:u w:val="single" w:color="auto"/>
          <w:color w:val="auto"/>
        </w:rPr>
        <w:t>INK Prosecution Patent Rights</w:t>
      </w:r>
      <w:r>
        <w:rPr>
          <w:rFonts w:ascii="Arial" w:cs="Arial" w:eastAsia="Arial" w:hAnsi="Arial"/>
          <w:sz w:val="20"/>
          <w:szCs w:val="20"/>
          <w:color w:val="auto"/>
        </w:rPr>
        <w:t xml:space="preserve">” means, subject to Section 12.6, the Patent Rights Controlled by INFI or any of its Affiliates that are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and including any Counterparts thereof.</w:t>
      </w:r>
    </w:p>
    <w:p>
      <w:pPr>
        <w:spacing w:after="0" w:line="129"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1.39 “</w:t>
      </w:r>
      <w:r>
        <w:rPr>
          <w:rFonts w:ascii="Arial" w:cs="Arial" w:eastAsia="Arial" w:hAnsi="Arial"/>
          <w:sz w:val="22"/>
          <w:szCs w:val="22"/>
          <w:u w:val="single" w:color="auto"/>
          <w:color w:val="auto"/>
        </w:rPr>
        <w:t>INK Non-Prosecution Patent Rights</w:t>
      </w:r>
      <w:r>
        <w:rPr>
          <w:rFonts w:ascii="Arial" w:cs="Arial" w:eastAsia="Arial" w:hAnsi="Arial"/>
          <w:sz w:val="22"/>
          <w:szCs w:val="22"/>
          <w:color w:val="auto"/>
        </w:rPr>
        <w:t>” means, subject to Section 12.6, the Patent Rights Controlled, but not owned, by INFI or any of its Affiliates pursuant to a license or sublicense granted to INFI pursuant to the INK Agreement, and including all Counterparts thereof, but excluding the INFI Prosecution Patent Rights and INK Prosecution Patent Rights.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53" w:name="page154"/>
    <w:bookmarkEnd w:id="153"/>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1.40 “</w:t>
      </w:r>
      <w:r>
        <w:rPr>
          <w:rFonts w:ascii="Arial" w:cs="Arial" w:eastAsia="Arial" w:hAnsi="Arial"/>
          <w:sz w:val="22"/>
          <w:szCs w:val="22"/>
          <w:u w:val="single" w:color="auto"/>
          <w:color w:val="auto"/>
        </w:rPr>
        <w:t>Internal Personnel Expenses</w:t>
      </w:r>
      <w:r>
        <w:rPr>
          <w:rFonts w:ascii="Arial" w:cs="Arial" w:eastAsia="Arial" w:hAnsi="Arial"/>
          <w:sz w:val="22"/>
          <w:szCs w:val="22"/>
          <w:color w:val="auto"/>
        </w:rPr>
        <w:t>” means with respect to INFI personnel or Licensee personnel, $[* * *] per FTE year, prorated to reflect the reasonable estimated percentage of such personnel’s time spent performing activities under this Agreement based on an 1800 hour FTE year.</w:t>
      </w:r>
    </w:p>
    <w:p>
      <w:pPr>
        <w:spacing w:after="0" w:line="186"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1.41 “</w:t>
      </w:r>
      <w:r>
        <w:rPr>
          <w:rFonts w:ascii="Arial" w:cs="Arial" w:eastAsia="Arial" w:hAnsi="Arial"/>
          <w:sz w:val="22"/>
          <w:szCs w:val="22"/>
          <w:u w:val="single" w:color="auto"/>
          <w:color w:val="auto"/>
        </w:rPr>
        <w:t>IPI-145 Compound</w:t>
      </w:r>
      <w:r>
        <w:rPr>
          <w:rFonts w:ascii="Arial" w:cs="Arial" w:eastAsia="Arial" w:hAnsi="Arial"/>
          <w:sz w:val="22"/>
          <w:szCs w:val="22"/>
          <w:color w:val="auto"/>
        </w:rPr>
        <w:t xml:space="preserve">” means the Compound known as IPI-145 or Duvelisib and described in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or, for clarity, any of its various chemical forms, including acids, bases, salts, metabolites, esters, isomers, enantiomers, pro-drug forms, hydrates, solvates, polymorphs and degradants thereof, in each case that has substantially the same pharmacological effect, in crystal, powder or other form.</w:t>
      </w:r>
    </w:p>
    <w:p>
      <w:pPr>
        <w:spacing w:after="0" w:line="18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1.42 “</w:t>
      </w:r>
      <w:r>
        <w:rPr>
          <w:rFonts w:ascii="Arial" w:cs="Arial" w:eastAsia="Arial" w:hAnsi="Arial"/>
          <w:sz w:val="22"/>
          <w:szCs w:val="22"/>
          <w:u w:val="single" w:color="auto"/>
          <w:color w:val="auto"/>
        </w:rPr>
        <w:t>IPI-145 Product</w:t>
      </w:r>
      <w:r>
        <w:rPr>
          <w:rFonts w:ascii="Arial" w:cs="Arial" w:eastAsia="Arial" w:hAnsi="Arial"/>
          <w:sz w:val="22"/>
          <w:szCs w:val="22"/>
          <w:color w:val="auto"/>
        </w:rPr>
        <w:t>” means any Product which is, or which contains or comprises, the IPI-145 Compound.</w:t>
      </w:r>
    </w:p>
    <w:p>
      <w:pPr>
        <w:spacing w:after="0" w:line="17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1.43 “</w:t>
      </w:r>
      <w:r>
        <w:rPr>
          <w:rFonts w:ascii="Arial" w:cs="Arial" w:eastAsia="Arial" w:hAnsi="Arial"/>
          <w:sz w:val="22"/>
          <w:szCs w:val="22"/>
          <w:u w:val="single" w:color="auto"/>
          <w:color w:val="auto"/>
        </w:rPr>
        <w:t>IPI-443 Product</w:t>
      </w:r>
      <w:r>
        <w:rPr>
          <w:rFonts w:ascii="Arial" w:cs="Arial" w:eastAsia="Arial" w:hAnsi="Arial"/>
          <w:sz w:val="22"/>
          <w:szCs w:val="22"/>
          <w:color w:val="auto"/>
        </w:rPr>
        <w:t xml:space="preserve">” means any Product which is, or which contains or comprises the Compound set forth in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7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1.44 “</w:t>
      </w:r>
      <w:r>
        <w:rPr>
          <w:rFonts w:ascii="Arial" w:cs="Arial" w:eastAsia="Arial" w:hAnsi="Arial"/>
          <w:sz w:val="22"/>
          <w:szCs w:val="22"/>
          <w:u w:val="single" w:color="auto"/>
          <w:color w:val="auto"/>
        </w:rPr>
        <w:t>Joint IP</w:t>
      </w:r>
      <w:r>
        <w:rPr>
          <w:rFonts w:ascii="Arial" w:cs="Arial" w:eastAsia="Arial" w:hAnsi="Arial"/>
          <w:sz w:val="22"/>
          <w:szCs w:val="22"/>
          <w:color w:val="auto"/>
        </w:rPr>
        <w:t>” means Joint Know-How and Joint Patent Rights and other intellectual property rights (other than Patent Rights) covering Joint Know-How.</w:t>
      </w:r>
    </w:p>
    <w:p>
      <w:pPr>
        <w:spacing w:after="0" w:line="175"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1.45 “</w:t>
      </w:r>
      <w:r>
        <w:rPr>
          <w:rFonts w:ascii="Arial" w:cs="Arial" w:eastAsia="Arial" w:hAnsi="Arial"/>
          <w:sz w:val="20"/>
          <w:szCs w:val="20"/>
          <w:u w:val="single" w:color="auto"/>
          <w:color w:val="auto"/>
        </w:rPr>
        <w:t>Know-How</w:t>
      </w:r>
      <w:r>
        <w:rPr>
          <w:rFonts w:ascii="Arial" w:cs="Arial" w:eastAsia="Arial" w:hAnsi="Arial"/>
          <w:sz w:val="20"/>
          <w:szCs w:val="20"/>
          <w:color w:val="auto"/>
        </w:rPr>
        <w:t>” means all technical information, know-how and data, including inventions, discoveries, trade secrets, specifications, instructions, processes, formulae, materials, expertise and other technology applicable to formulations, compositions or products or to their manufacture, development, registration, use or marketing or to methods of assaying or testing them or processes for their manufacture, formulations containing them or compositions incorporating or comprising them, and including all biological, chemical, pharmacological, biochemical, toxicological, pharmaceutical, physical and analytical, safety, quality control, manufacturing, nonclinical and clinical data, regulatory data and filings, instructions, processes, formulae, expertise and information, relevant to the research, development, manufacture, use, importation, offering for sale or sale of, or which may be useful in studying, testing, developing, producing or formulating, products, or intermediates for the synthesis thereof. Know-How excludes the Patent Rights covering any inventions.</w:t>
      </w:r>
    </w:p>
    <w:p>
      <w:pPr>
        <w:spacing w:after="0" w:line="17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1.46 “</w:t>
      </w:r>
      <w:r>
        <w:rPr>
          <w:rFonts w:ascii="Arial" w:cs="Arial" w:eastAsia="Arial" w:hAnsi="Arial"/>
          <w:sz w:val="22"/>
          <w:szCs w:val="22"/>
          <w:u w:val="single" w:color="auto"/>
          <w:color w:val="auto"/>
        </w:rPr>
        <w:t>Knowledge</w:t>
      </w:r>
      <w:r>
        <w:rPr>
          <w:rFonts w:ascii="Arial" w:cs="Arial" w:eastAsia="Arial" w:hAnsi="Arial"/>
          <w:sz w:val="22"/>
          <w:szCs w:val="22"/>
          <w:color w:val="auto"/>
        </w:rPr>
        <w:t>” means the actual knowledge, without any duty to investigate, of the INFI employee with the specified title as of the Effective Date.</w:t>
      </w:r>
    </w:p>
    <w:p>
      <w:pPr>
        <w:spacing w:after="0" w:line="175"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1.47 “</w:t>
      </w:r>
      <w:r>
        <w:rPr>
          <w:rFonts w:ascii="Arial" w:cs="Arial" w:eastAsia="Arial" w:hAnsi="Arial"/>
          <w:sz w:val="22"/>
          <w:szCs w:val="22"/>
          <w:u w:val="single" w:color="auto"/>
          <w:color w:val="auto"/>
        </w:rPr>
        <w:t>Law</w:t>
      </w:r>
      <w:r>
        <w:rPr>
          <w:rFonts w:ascii="Arial" w:cs="Arial" w:eastAsia="Arial" w:hAnsi="Arial"/>
          <w:sz w:val="22"/>
          <w:szCs w:val="22"/>
          <w:color w:val="auto"/>
        </w:rPr>
        <w:t>” means any provision of any then-current multinational, federal, national, state, county, local, municipal or foreign law, statute, ordinance, order, writ, code, rule or regulation, promulgated or issued by any Governmental Authority, as well as with respect to either Party any binding judgments, decrees, stipulations, injunctions, determinations, awards or agreements issued by or entered into by such Party with any Governmental Authority.</w:t>
      </w:r>
    </w:p>
    <w:p>
      <w:pPr>
        <w:spacing w:after="0" w:line="188"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1.48 “</w:t>
      </w:r>
      <w:r>
        <w:rPr>
          <w:rFonts w:ascii="Arial" w:cs="Arial" w:eastAsia="Arial" w:hAnsi="Arial"/>
          <w:sz w:val="22"/>
          <w:szCs w:val="22"/>
          <w:u w:val="single" w:color="auto"/>
          <w:color w:val="auto"/>
        </w:rPr>
        <w:t>Licensee Indemnitees</w:t>
      </w:r>
      <w:r>
        <w:rPr>
          <w:rFonts w:ascii="Arial" w:cs="Arial" w:eastAsia="Arial" w:hAnsi="Arial"/>
          <w:sz w:val="22"/>
          <w:szCs w:val="22"/>
          <w:color w:val="auto"/>
        </w:rPr>
        <w:t>” means Licensee, its Affiliates and their respective directors, officers, employees and agents.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54" w:name="page155"/>
    <w:bookmarkEnd w:id="154"/>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left="1" w:firstLine="646"/>
        <w:spacing w:after="0" w:line="239" w:lineRule="auto"/>
        <w:rPr>
          <w:sz w:val="20"/>
          <w:szCs w:val="20"/>
          <w:color w:val="auto"/>
        </w:rPr>
      </w:pPr>
      <w:r>
        <w:rPr>
          <w:rFonts w:ascii="Arial" w:cs="Arial" w:eastAsia="Arial" w:hAnsi="Arial"/>
          <w:sz w:val="22"/>
          <w:szCs w:val="22"/>
          <w:color w:val="auto"/>
        </w:rPr>
        <w:t>1.49 “</w:t>
      </w:r>
      <w:r>
        <w:rPr>
          <w:rFonts w:ascii="Arial" w:cs="Arial" w:eastAsia="Arial" w:hAnsi="Arial"/>
          <w:sz w:val="22"/>
          <w:szCs w:val="22"/>
          <w:u w:val="single" w:color="auto"/>
          <w:color w:val="auto"/>
        </w:rPr>
        <w:t>Licensee IP</w:t>
      </w:r>
      <w:r>
        <w:rPr>
          <w:rFonts w:ascii="Arial" w:cs="Arial" w:eastAsia="Arial" w:hAnsi="Arial"/>
          <w:sz w:val="22"/>
          <w:szCs w:val="22"/>
          <w:color w:val="auto"/>
        </w:rPr>
        <w:t>” means the Licensee Know-How and the Licensee Patent Rights, in each case, solely to the extent arising from the Research, Development, Manufacture or Commercialization of the IPI-145 Compound or IPI-145 Product using any Duvelisib IP.</w:t>
      </w:r>
    </w:p>
    <w:p>
      <w:pPr>
        <w:spacing w:after="0" w:line="186" w:lineRule="exact"/>
        <w:rPr>
          <w:sz w:val="20"/>
          <w:szCs w:val="20"/>
          <w:color w:val="auto"/>
        </w:rPr>
      </w:pPr>
    </w:p>
    <w:p>
      <w:pPr>
        <w:jc w:val="both"/>
        <w:ind w:left="1" w:firstLine="646"/>
        <w:spacing w:after="0" w:line="235" w:lineRule="auto"/>
        <w:rPr>
          <w:sz w:val="20"/>
          <w:szCs w:val="20"/>
          <w:color w:val="auto"/>
        </w:rPr>
      </w:pPr>
      <w:r>
        <w:rPr>
          <w:rFonts w:ascii="Arial" w:cs="Arial" w:eastAsia="Arial" w:hAnsi="Arial"/>
          <w:sz w:val="22"/>
          <w:szCs w:val="22"/>
          <w:color w:val="auto"/>
        </w:rPr>
        <w:t>1.50 “</w:t>
      </w:r>
      <w:r>
        <w:rPr>
          <w:rFonts w:ascii="Arial" w:cs="Arial" w:eastAsia="Arial" w:hAnsi="Arial"/>
          <w:sz w:val="22"/>
          <w:szCs w:val="22"/>
          <w:u w:val="single" w:color="auto"/>
          <w:color w:val="auto"/>
        </w:rPr>
        <w:t>Licensee Know-How</w:t>
      </w:r>
      <w:r>
        <w:rPr>
          <w:rFonts w:ascii="Arial" w:cs="Arial" w:eastAsia="Arial" w:hAnsi="Arial"/>
          <w:sz w:val="22"/>
          <w:szCs w:val="22"/>
          <w:color w:val="auto"/>
        </w:rPr>
        <w:t>” means, subject to Section 12.6, Know-How that is (a) Controlled by Licensee or any of its Affiliates during the Term but not on the Effective Date; and (b) necessary or useful to Research, Develop, Manufacture or Commercialize any Compound that is a Target Inhibitor, or any Product containing such a Compound, in the Territory. Licensee Know-How includes Licensee’s and its Affiliates’ rights in Joint Know-How.</w:t>
      </w:r>
    </w:p>
    <w:p>
      <w:pPr>
        <w:spacing w:after="0" w:line="188" w:lineRule="exact"/>
        <w:rPr>
          <w:sz w:val="20"/>
          <w:szCs w:val="20"/>
          <w:color w:val="auto"/>
        </w:rPr>
      </w:pPr>
    </w:p>
    <w:p>
      <w:pPr>
        <w:jc w:val="both"/>
        <w:ind w:left="1" w:firstLine="646"/>
        <w:spacing w:after="0" w:line="275" w:lineRule="auto"/>
        <w:rPr>
          <w:sz w:val="20"/>
          <w:szCs w:val="20"/>
          <w:color w:val="auto"/>
        </w:rPr>
      </w:pPr>
      <w:r>
        <w:rPr>
          <w:rFonts w:ascii="Arial" w:cs="Arial" w:eastAsia="Arial" w:hAnsi="Arial"/>
          <w:sz w:val="20"/>
          <w:szCs w:val="20"/>
          <w:color w:val="auto"/>
        </w:rPr>
        <w:t>1.51 “</w:t>
      </w:r>
      <w:r>
        <w:rPr>
          <w:rFonts w:ascii="Arial" w:cs="Arial" w:eastAsia="Arial" w:hAnsi="Arial"/>
          <w:sz w:val="20"/>
          <w:szCs w:val="20"/>
          <w:u w:val="single" w:color="auto"/>
          <w:color w:val="auto"/>
        </w:rPr>
        <w:t>Licensee Patent Rights</w:t>
      </w:r>
      <w:r>
        <w:rPr>
          <w:rFonts w:ascii="Arial" w:cs="Arial" w:eastAsia="Arial" w:hAnsi="Arial"/>
          <w:sz w:val="20"/>
          <w:szCs w:val="20"/>
          <w:color w:val="auto"/>
        </w:rPr>
        <w:t>” means, subject to Section 12.6, Patent Rights Controlled by Licensee during the Term but not on the Effective Date (and not prior to the Effective Date) and claiming Licensee Know-How. Licensee Patent Rights includes Licensee’s and its Affiliates’ interest in any Joint Patent Rights.</w:t>
      </w:r>
    </w:p>
    <w:p>
      <w:pPr>
        <w:spacing w:after="0" w:line="152" w:lineRule="exact"/>
        <w:rPr>
          <w:sz w:val="20"/>
          <w:szCs w:val="20"/>
          <w:color w:val="auto"/>
        </w:rPr>
      </w:pPr>
    </w:p>
    <w:p>
      <w:pPr>
        <w:jc w:val="both"/>
        <w:ind w:left="1" w:firstLine="646"/>
        <w:spacing w:after="0" w:line="237" w:lineRule="auto"/>
        <w:rPr>
          <w:sz w:val="20"/>
          <w:szCs w:val="20"/>
          <w:color w:val="auto"/>
        </w:rPr>
      </w:pPr>
      <w:r>
        <w:rPr>
          <w:rFonts w:ascii="Arial" w:cs="Arial" w:eastAsia="Arial" w:hAnsi="Arial"/>
          <w:sz w:val="22"/>
          <w:szCs w:val="22"/>
          <w:color w:val="auto"/>
        </w:rPr>
        <w:t>1.52 “</w:t>
      </w:r>
      <w:r>
        <w:rPr>
          <w:rFonts w:ascii="Arial" w:cs="Arial" w:eastAsia="Arial" w:hAnsi="Arial"/>
          <w:sz w:val="22"/>
          <w:szCs w:val="22"/>
          <w:u w:val="single" w:color="auto"/>
          <w:color w:val="auto"/>
        </w:rPr>
        <w:t>MAA</w:t>
      </w:r>
      <w:r>
        <w:rPr>
          <w:rFonts w:ascii="Arial" w:cs="Arial" w:eastAsia="Arial" w:hAnsi="Arial"/>
          <w:sz w:val="22"/>
          <w:szCs w:val="22"/>
          <w:color w:val="auto"/>
        </w:rPr>
        <w:t>” means an application for the authorization for marketing of a Product in any country or group of countries outside the United States, and all supplements, including all documents, data and other information concerning the Product, as defined in the applicable laws and regulations and filed with the Regulatory Authority of a given country or group of countries.</w:t>
      </w:r>
    </w:p>
    <w:p>
      <w:pPr>
        <w:spacing w:after="0" w:line="185" w:lineRule="exact"/>
        <w:rPr>
          <w:sz w:val="20"/>
          <w:szCs w:val="20"/>
          <w:color w:val="auto"/>
        </w:rPr>
      </w:pPr>
    </w:p>
    <w:p>
      <w:pPr>
        <w:jc w:val="both"/>
        <w:ind w:left="1" w:firstLine="646"/>
        <w:spacing w:after="0" w:line="268" w:lineRule="auto"/>
        <w:rPr>
          <w:sz w:val="20"/>
          <w:szCs w:val="20"/>
          <w:color w:val="auto"/>
        </w:rPr>
      </w:pPr>
      <w:r>
        <w:rPr>
          <w:rFonts w:ascii="Arial" w:cs="Arial" w:eastAsia="Arial" w:hAnsi="Arial"/>
          <w:sz w:val="20"/>
          <w:szCs w:val="20"/>
          <w:color w:val="auto"/>
        </w:rPr>
        <w:t>1.53 “</w:t>
      </w:r>
      <w:r>
        <w:rPr>
          <w:rFonts w:ascii="Arial" w:cs="Arial" w:eastAsia="Arial" w:hAnsi="Arial"/>
          <w:sz w:val="20"/>
          <w:szCs w:val="20"/>
          <w:u w:val="single" w:color="auto"/>
          <w:color w:val="auto"/>
        </w:rPr>
        <w:t>Manufacture</w:t>
      </w:r>
      <w:r>
        <w:rPr>
          <w:rFonts w:ascii="Arial" w:cs="Arial" w:eastAsia="Arial" w:hAnsi="Arial"/>
          <w:sz w:val="20"/>
          <w:szCs w:val="20"/>
          <w:color w:val="auto"/>
        </w:rPr>
        <w:t>” or “</w:t>
      </w:r>
      <w:r>
        <w:rPr>
          <w:rFonts w:ascii="Arial" w:cs="Arial" w:eastAsia="Arial" w:hAnsi="Arial"/>
          <w:sz w:val="20"/>
          <w:szCs w:val="20"/>
          <w:u w:val="single" w:color="auto"/>
          <w:color w:val="auto"/>
        </w:rPr>
        <w:t>Manufacturing</w:t>
      </w:r>
      <w:r>
        <w:rPr>
          <w:rFonts w:ascii="Arial" w:cs="Arial" w:eastAsia="Arial" w:hAnsi="Arial"/>
          <w:sz w:val="20"/>
          <w:szCs w:val="20"/>
          <w:color w:val="auto"/>
        </w:rPr>
        <w:t>” means any activities directed to producing, manufacturing, scaling up, processing, filling, finishing, packaging, labeling, quality assurance testing and release, shipping and storage of a Compound or Product or component thereof (including production of drug substance and drug product, in bulk form, for preclinical and clinical studies and for Commercialization).</w:t>
      </w:r>
    </w:p>
    <w:p>
      <w:pPr>
        <w:spacing w:after="0" w:line="157" w:lineRule="exact"/>
        <w:rPr>
          <w:sz w:val="20"/>
          <w:szCs w:val="20"/>
          <w:color w:val="auto"/>
        </w:rPr>
      </w:pPr>
    </w:p>
    <w:p>
      <w:pPr>
        <w:jc w:val="both"/>
        <w:ind w:left="1" w:firstLine="646"/>
        <w:spacing w:after="0" w:line="275" w:lineRule="auto"/>
        <w:rPr>
          <w:sz w:val="20"/>
          <w:szCs w:val="20"/>
          <w:color w:val="auto"/>
        </w:rPr>
      </w:pPr>
      <w:r>
        <w:rPr>
          <w:rFonts w:ascii="Arial" w:cs="Arial" w:eastAsia="Arial" w:hAnsi="Arial"/>
          <w:sz w:val="20"/>
          <w:szCs w:val="20"/>
          <w:color w:val="auto"/>
        </w:rPr>
        <w:t>1.54 “</w:t>
      </w:r>
      <w:r>
        <w:rPr>
          <w:rFonts w:ascii="Arial" w:cs="Arial" w:eastAsia="Arial" w:hAnsi="Arial"/>
          <w:sz w:val="20"/>
          <w:szCs w:val="20"/>
          <w:u w:val="single" w:color="auto"/>
          <w:color w:val="auto"/>
        </w:rPr>
        <w:t>Marketing Authorization</w:t>
      </w:r>
      <w:r>
        <w:rPr>
          <w:rFonts w:ascii="Arial" w:cs="Arial" w:eastAsia="Arial" w:hAnsi="Arial"/>
          <w:sz w:val="20"/>
          <w:szCs w:val="20"/>
          <w:color w:val="auto"/>
        </w:rPr>
        <w:t>” means the grant of all necessary permits, registrations, authorizations, licenses and approvals (or waivers) required for the manufacture, promotion, marketing, storage, import, export, transport, distribution, use, offer for sale, sale or other commercialization of a Product in any country.</w:t>
      </w:r>
    </w:p>
    <w:p>
      <w:pPr>
        <w:spacing w:after="0" w:line="152" w:lineRule="exact"/>
        <w:rPr>
          <w:sz w:val="20"/>
          <w:szCs w:val="20"/>
          <w:color w:val="auto"/>
        </w:rPr>
      </w:pPr>
    </w:p>
    <w:p>
      <w:pPr>
        <w:ind w:left="641"/>
        <w:spacing w:after="0"/>
        <w:tabs>
          <w:tab w:leader="none" w:pos="1381"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MHLW</w:t>
      </w:r>
      <w:r>
        <w:rPr>
          <w:rFonts w:ascii="Arial" w:cs="Arial" w:eastAsia="Arial" w:hAnsi="Arial"/>
          <w:sz w:val="19"/>
          <w:szCs w:val="19"/>
          <w:color w:val="auto"/>
        </w:rPr>
        <w:t>” means the Japanese Ministry of Health, Labour and Welfare and any successor agency.</w:t>
      </w:r>
    </w:p>
    <w:p>
      <w:pPr>
        <w:spacing w:after="0" w:line="205" w:lineRule="exact"/>
        <w:rPr>
          <w:sz w:val="20"/>
          <w:szCs w:val="20"/>
          <w:color w:val="auto"/>
        </w:rPr>
      </w:pPr>
    </w:p>
    <w:p>
      <w:pPr>
        <w:jc w:val="both"/>
        <w:ind w:left="1" w:firstLine="646"/>
        <w:spacing w:after="0" w:line="262" w:lineRule="auto"/>
        <w:rPr>
          <w:sz w:val="20"/>
          <w:szCs w:val="20"/>
          <w:color w:val="auto"/>
        </w:rPr>
      </w:pPr>
      <w:r>
        <w:rPr>
          <w:rFonts w:ascii="Arial" w:cs="Arial" w:eastAsia="Arial" w:hAnsi="Arial"/>
          <w:sz w:val="20"/>
          <w:szCs w:val="20"/>
          <w:color w:val="auto"/>
        </w:rPr>
        <w:t>1.56 “</w:t>
      </w:r>
      <w:r>
        <w:rPr>
          <w:rFonts w:ascii="Arial" w:cs="Arial" w:eastAsia="Arial" w:hAnsi="Arial"/>
          <w:sz w:val="20"/>
          <w:szCs w:val="20"/>
          <w:u w:val="single" w:color="auto"/>
          <w:color w:val="auto"/>
        </w:rPr>
        <w:t>MICL Agreements</w:t>
      </w:r>
      <w:r>
        <w:rPr>
          <w:rFonts w:ascii="Arial" w:cs="Arial" w:eastAsia="Arial" w:hAnsi="Arial"/>
          <w:sz w:val="20"/>
          <w:szCs w:val="20"/>
          <w:color w:val="auto"/>
        </w:rPr>
        <w:t>” means (a) the Termination and Revised Relationship Agreement by and between INFI and Mundipharma International Corporation Limited (“</w:t>
      </w:r>
      <w:r>
        <w:rPr>
          <w:rFonts w:ascii="Arial" w:cs="Arial" w:eastAsia="Arial" w:hAnsi="Arial"/>
          <w:sz w:val="20"/>
          <w:szCs w:val="20"/>
          <w:u w:val="single" w:color="auto"/>
          <w:color w:val="auto"/>
        </w:rPr>
        <w:t>MICL</w:t>
      </w:r>
      <w:r>
        <w:rPr>
          <w:rFonts w:ascii="Arial" w:cs="Arial" w:eastAsia="Arial" w:hAnsi="Arial"/>
          <w:sz w:val="20"/>
          <w:szCs w:val="20"/>
          <w:color w:val="auto"/>
        </w:rPr>
        <w:t>”), entered into as of July 17, 2012; and</w:t>
      </w:r>
    </w:p>
    <w:p>
      <w:pPr>
        <w:jc w:val="both"/>
        <w:ind w:left="1" w:hanging="1"/>
        <w:spacing w:after="0" w:line="234" w:lineRule="auto"/>
        <w:tabs>
          <w:tab w:leader="none" w:pos="308"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Termination and Revised Relationship Agreement by and between INFI and Purdue Pharmaceutical Products L.P. (“</w:t>
      </w:r>
      <w:r>
        <w:rPr>
          <w:rFonts w:ascii="Arial" w:cs="Arial" w:eastAsia="Arial" w:hAnsi="Arial"/>
          <w:sz w:val="22"/>
          <w:szCs w:val="22"/>
          <w:u w:val="single" w:color="auto"/>
          <w:color w:val="auto"/>
        </w:rPr>
        <w:t>Purdue</w:t>
      </w:r>
      <w:r>
        <w:rPr>
          <w:rFonts w:ascii="Arial" w:cs="Arial" w:eastAsia="Arial" w:hAnsi="Arial"/>
          <w:sz w:val="22"/>
          <w:szCs w:val="22"/>
          <w:color w:val="auto"/>
        </w:rPr>
        <w:t>”), entered into as of July 17, 2012; each ((a) and (b)) as may be amended from time to time to the extent permitted by this Agreement.</w:t>
      </w:r>
    </w:p>
    <w:p>
      <w:pPr>
        <w:spacing w:after="0" w:line="184" w:lineRule="exact"/>
        <w:rPr>
          <w:sz w:val="20"/>
          <w:szCs w:val="20"/>
          <w:color w:val="auto"/>
        </w:rPr>
      </w:pPr>
    </w:p>
    <w:p>
      <w:pPr>
        <w:ind w:left="1" w:firstLine="646"/>
        <w:spacing w:after="0" w:line="249" w:lineRule="auto"/>
        <w:rPr>
          <w:sz w:val="20"/>
          <w:szCs w:val="20"/>
          <w:color w:val="auto"/>
        </w:rPr>
      </w:pPr>
      <w:r>
        <w:rPr>
          <w:rFonts w:ascii="Arial" w:cs="Arial" w:eastAsia="Arial" w:hAnsi="Arial"/>
          <w:sz w:val="22"/>
          <w:szCs w:val="22"/>
          <w:color w:val="auto"/>
        </w:rPr>
        <w:t>1.57 “</w:t>
      </w:r>
      <w:r>
        <w:rPr>
          <w:rFonts w:ascii="Arial" w:cs="Arial" w:eastAsia="Arial" w:hAnsi="Arial"/>
          <w:sz w:val="22"/>
          <w:szCs w:val="22"/>
          <w:u w:val="single" w:color="auto"/>
          <w:color w:val="auto"/>
        </w:rPr>
        <w:t>NDA</w:t>
      </w:r>
      <w:r>
        <w:rPr>
          <w:rFonts w:ascii="Arial" w:cs="Arial" w:eastAsia="Arial" w:hAnsi="Arial"/>
          <w:sz w:val="22"/>
          <w:szCs w:val="22"/>
          <w:color w:val="auto"/>
        </w:rPr>
        <w:t>” means with respect to a Product, a new drug application and all supplements filed with the FDA with respect to such Product, including all documents, data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55" w:name="page156"/>
    <w:bookmarkEnd w:id="155"/>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other information concerning such Product which are necessary for, or included in, a Marketing Authorization to use, sell, supply or market such Product in the United States.</w:t>
      </w:r>
    </w:p>
    <w:p>
      <w:pPr>
        <w:spacing w:after="0" w:line="175" w:lineRule="exact"/>
        <w:rPr>
          <w:sz w:val="20"/>
          <w:szCs w:val="20"/>
          <w:color w:val="auto"/>
        </w:rPr>
      </w:pPr>
    </w:p>
    <w:p>
      <w:pPr>
        <w:jc w:val="both"/>
        <w:ind w:firstLine="646"/>
        <w:spacing w:after="0" w:line="278" w:lineRule="auto"/>
        <w:rPr>
          <w:sz w:val="20"/>
          <w:szCs w:val="20"/>
          <w:color w:val="auto"/>
        </w:rPr>
      </w:pPr>
      <w:r>
        <w:rPr>
          <w:rFonts w:ascii="Arial" w:cs="Arial" w:eastAsia="Arial" w:hAnsi="Arial"/>
          <w:sz w:val="19"/>
          <w:szCs w:val="19"/>
          <w:color w:val="auto"/>
        </w:rPr>
        <w:t>1.58 “</w:t>
      </w:r>
      <w:r>
        <w:rPr>
          <w:rFonts w:ascii="Arial" w:cs="Arial" w:eastAsia="Arial" w:hAnsi="Arial"/>
          <w:sz w:val="19"/>
          <w:szCs w:val="19"/>
          <w:u w:val="single" w:color="auto"/>
          <w:color w:val="auto"/>
        </w:rPr>
        <w:t>Net Sales</w:t>
      </w:r>
      <w:r>
        <w:rPr>
          <w:rFonts w:ascii="Arial" w:cs="Arial" w:eastAsia="Arial" w:hAnsi="Arial"/>
          <w:sz w:val="19"/>
          <w:szCs w:val="19"/>
          <w:color w:val="auto"/>
        </w:rPr>
        <w:t>” means (I) with respect to an IPI-145 Product (subject to clause (II) below, for a Combination Product) in a particular period, the gross amount invoiced by Licensee, its Affiliates and/or the Sublicensees on sales or other dispositions (excluding sales or dispositions for use in clinical trials or other scientific testing, in either case for which Licensees, its Affiliates and/or the Sublicensees receive no revenue) of such IPI-145 Product to unrelated Third Parties during such period, less the following deductions (to the extent included in the gross amount invoiced or otherwise directly paid or incurred by Licensee, its Affiliates and/or its Sublicensees):</w:t>
      </w:r>
    </w:p>
    <w:p>
      <w:pPr>
        <w:spacing w:after="0" w:line="150" w:lineRule="exact"/>
        <w:rPr>
          <w:sz w:val="20"/>
          <w:szCs w:val="20"/>
          <w:color w:val="auto"/>
        </w:rPr>
      </w:pPr>
    </w:p>
    <w:p>
      <w:pPr>
        <w:ind w:firstLine="1291"/>
        <w:spacing w:after="0" w:line="249" w:lineRule="auto"/>
        <w:tabs>
          <w:tab w:leader="none" w:pos="2621" w:val="left"/>
        </w:tabs>
        <w:numPr>
          <w:ilvl w:val="0"/>
          <w:numId w:val="79"/>
        </w:numPr>
        <w:rPr>
          <w:rFonts w:ascii="Arial" w:cs="Arial" w:eastAsia="Arial" w:hAnsi="Arial"/>
          <w:sz w:val="22"/>
          <w:szCs w:val="22"/>
          <w:color w:val="auto"/>
        </w:rPr>
      </w:pPr>
      <w:r>
        <w:rPr>
          <w:rFonts w:ascii="Arial" w:cs="Arial" w:eastAsia="Arial" w:hAnsi="Arial"/>
          <w:sz w:val="22"/>
          <w:szCs w:val="22"/>
          <w:color w:val="auto"/>
        </w:rPr>
        <w:t>trade, cash and quantity discounts actually allowed and taken directly with respect to such sales or other dispositions;</w:t>
      </w:r>
    </w:p>
    <w:p>
      <w:pPr>
        <w:spacing w:after="0" w:line="174" w:lineRule="exact"/>
        <w:rPr>
          <w:rFonts w:ascii="Arial" w:cs="Arial" w:eastAsia="Arial" w:hAnsi="Arial"/>
          <w:sz w:val="22"/>
          <w:szCs w:val="22"/>
          <w:color w:val="auto"/>
        </w:rPr>
      </w:pPr>
    </w:p>
    <w:p>
      <w:pPr>
        <w:jc w:val="both"/>
        <w:ind w:firstLine="1291"/>
        <w:spacing w:after="0" w:line="239" w:lineRule="auto"/>
        <w:tabs>
          <w:tab w:leader="none" w:pos="2633" w:val="left"/>
        </w:tabs>
        <w:numPr>
          <w:ilvl w:val="0"/>
          <w:numId w:val="79"/>
        </w:numPr>
        <w:rPr>
          <w:rFonts w:ascii="Arial" w:cs="Arial" w:eastAsia="Arial" w:hAnsi="Arial"/>
          <w:sz w:val="22"/>
          <w:szCs w:val="22"/>
          <w:color w:val="auto"/>
        </w:rPr>
      </w:pPr>
      <w:r>
        <w:rPr>
          <w:rFonts w:ascii="Arial" w:cs="Arial" w:eastAsia="Arial" w:hAnsi="Arial"/>
          <w:sz w:val="22"/>
          <w:szCs w:val="22"/>
          <w:color w:val="auto"/>
        </w:rPr>
        <w:t>tariffs, duties, excises, sales taxes or other taxes imposed upon and paid directly with respect to the delivery, sale or use of the IPI-145 Product and included and separately stated in the applicable invoice (excluding national, state or local taxes based on income);</w:t>
      </w:r>
    </w:p>
    <w:p>
      <w:pPr>
        <w:spacing w:after="0" w:line="186" w:lineRule="exact"/>
        <w:rPr>
          <w:rFonts w:ascii="Arial" w:cs="Arial" w:eastAsia="Arial" w:hAnsi="Arial"/>
          <w:sz w:val="22"/>
          <w:szCs w:val="22"/>
          <w:color w:val="auto"/>
        </w:rPr>
      </w:pPr>
    </w:p>
    <w:p>
      <w:pPr>
        <w:jc w:val="both"/>
        <w:ind w:firstLine="1291"/>
        <w:spacing w:after="0" w:line="261" w:lineRule="auto"/>
        <w:tabs>
          <w:tab w:leader="none" w:pos="2621" w:val="left"/>
        </w:tabs>
        <w:numPr>
          <w:ilvl w:val="0"/>
          <w:numId w:val="79"/>
        </w:numPr>
        <w:rPr>
          <w:rFonts w:ascii="Arial" w:cs="Arial" w:eastAsia="Arial" w:hAnsi="Arial"/>
          <w:sz w:val="20"/>
          <w:szCs w:val="20"/>
          <w:color w:val="auto"/>
        </w:rPr>
      </w:pPr>
      <w:r>
        <w:rPr>
          <w:rFonts w:ascii="Arial" w:cs="Arial" w:eastAsia="Arial" w:hAnsi="Arial"/>
          <w:sz w:val="20"/>
          <w:szCs w:val="20"/>
          <w:color w:val="auto"/>
        </w:rPr>
        <w:t>allowances for amounts repaid or credited by reason of rejections, defects, recalls or returns or because of reasonable and customary chargebacks, refunds, coupons, patient co-pay savings cards, rebates (including related administration fees), wholesaler fee for service, reasonable amounts of physician samples, reasonable amounts of free products given to indigent patients, retroactive price reductions or any other items substantially similar in character and substance to the foregoing, with equitable adjustments to be made from time to time for any differences between these allowances and actual amounts;</w:t>
      </w:r>
    </w:p>
    <w:p>
      <w:pPr>
        <w:spacing w:after="0" w:line="168" w:lineRule="exact"/>
        <w:rPr>
          <w:rFonts w:ascii="Arial" w:cs="Arial" w:eastAsia="Arial" w:hAnsi="Arial"/>
          <w:sz w:val="20"/>
          <w:szCs w:val="20"/>
          <w:color w:val="auto"/>
        </w:rPr>
      </w:pPr>
    </w:p>
    <w:p>
      <w:pPr>
        <w:jc w:val="both"/>
        <w:ind w:firstLine="1291"/>
        <w:spacing w:after="0" w:line="239" w:lineRule="auto"/>
        <w:tabs>
          <w:tab w:leader="none" w:pos="2633" w:val="left"/>
        </w:tabs>
        <w:numPr>
          <w:ilvl w:val="0"/>
          <w:numId w:val="79"/>
        </w:numPr>
        <w:rPr>
          <w:rFonts w:ascii="Arial" w:cs="Arial" w:eastAsia="Arial" w:hAnsi="Arial"/>
          <w:sz w:val="22"/>
          <w:szCs w:val="22"/>
          <w:color w:val="auto"/>
        </w:rPr>
      </w:pPr>
      <w:r>
        <w:rPr>
          <w:rFonts w:ascii="Arial" w:cs="Arial" w:eastAsia="Arial" w:hAnsi="Arial"/>
          <w:sz w:val="22"/>
          <w:szCs w:val="22"/>
          <w:color w:val="auto"/>
        </w:rPr>
        <w:t>amounts previously included in Net Sales of IPI-145 Products that are written-off by Licensee as uncollectible in accordance with Licensee’s standard practices for writing off uncollectible amounts consistently applied; and</w:t>
      </w:r>
    </w:p>
    <w:p>
      <w:pPr>
        <w:spacing w:after="0" w:line="186" w:lineRule="exact"/>
        <w:rPr>
          <w:rFonts w:ascii="Arial" w:cs="Arial" w:eastAsia="Arial" w:hAnsi="Arial"/>
          <w:sz w:val="22"/>
          <w:szCs w:val="22"/>
          <w:color w:val="auto"/>
        </w:rPr>
      </w:pPr>
    </w:p>
    <w:p>
      <w:pPr>
        <w:ind w:firstLine="1291"/>
        <w:spacing w:after="0" w:line="249" w:lineRule="auto"/>
        <w:tabs>
          <w:tab w:leader="none" w:pos="2621" w:val="left"/>
        </w:tabs>
        <w:numPr>
          <w:ilvl w:val="0"/>
          <w:numId w:val="79"/>
        </w:numPr>
        <w:rPr>
          <w:rFonts w:ascii="Arial" w:cs="Arial" w:eastAsia="Arial" w:hAnsi="Arial"/>
          <w:sz w:val="22"/>
          <w:szCs w:val="22"/>
          <w:color w:val="auto"/>
        </w:rPr>
      </w:pPr>
      <w:r>
        <w:rPr>
          <w:rFonts w:ascii="Arial" w:cs="Arial" w:eastAsia="Arial" w:hAnsi="Arial"/>
          <w:sz w:val="22"/>
          <w:szCs w:val="22"/>
          <w:color w:val="auto"/>
        </w:rPr>
        <w:t>freight, insurance and other transportation charges incurred in shipping an IPI-145 Product to Third Parties, included and separately stated in the applicable invoice;</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and (II) with respect to an IPI-145 Product that is a Combination Product in a particular period, Net Sales of such Combination Product during such period (as determined in accordance with clause (I)) multiplied by (a) the fraction, A/(A+B), where A is the average sale price of the IPI-145 Product when sold separately in finished form and B is the average sale price of the other active pharmaceutical ingredients included in the Combination Product when sold separately in finished form or (b) where the average sale price cannot be determined for both the IPI-145 Product and all other active pharmaceutical ingredients included in such Combination Product, the fraction, C/(C+D), where C is the fair market value of the IPI-145 Product and D is the fair market value of all other active pharmaceutical ingredients included in the Combination Product (and in such event, Licensee will in good faith make a determination of the respective fair market values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56" w:name="page157"/>
    <w:bookmarkEnd w:id="156"/>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IPI-145 Product and all other active pharmaceutical ingredients included in the Combination Product).</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There shall be no double-counting in determining the foregoing deductions.</w:t>
      </w:r>
    </w:p>
    <w:p>
      <w:pPr>
        <w:spacing w:after="0" w:line="205" w:lineRule="exact"/>
        <w:rPr>
          <w:sz w:val="20"/>
          <w:szCs w:val="20"/>
          <w:color w:val="auto"/>
        </w:rPr>
      </w:pPr>
    </w:p>
    <w:p>
      <w:pPr>
        <w:jc w:val="both"/>
        <w:ind w:right="20" w:firstLine="646"/>
        <w:spacing w:after="0" w:line="275" w:lineRule="auto"/>
        <w:rPr>
          <w:sz w:val="20"/>
          <w:szCs w:val="20"/>
          <w:color w:val="auto"/>
        </w:rPr>
      </w:pPr>
      <w:r>
        <w:rPr>
          <w:rFonts w:ascii="Arial" w:cs="Arial" w:eastAsia="Arial" w:hAnsi="Arial"/>
          <w:sz w:val="20"/>
          <w:szCs w:val="20"/>
          <w:color w:val="auto"/>
        </w:rPr>
        <w:t>Such amounts shall be determined from the books and records of Licensee, its Affiliates and/or the Sublicensees, maintained in accordance with applicable accounting principles (such as U.S. generally accepted accounting principles (“</w:t>
      </w:r>
      <w:r>
        <w:rPr>
          <w:rFonts w:ascii="Arial" w:cs="Arial" w:eastAsia="Arial" w:hAnsi="Arial"/>
          <w:sz w:val="20"/>
          <w:szCs w:val="20"/>
          <w:u w:val="single" w:color="auto"/>
          <w:color w:val="auto"/>
        </w:rPr>
        <w:t>U.S. GAAP</w:t>
      </w:r>
      <w:r>
        <w:rPr>
          <w:rFonts w:ascii="Arial" w:cs="Arial" w:eastAsia="Arial" w:hAnsi="Arial"/>
          <w:sz w:val="20"/>
          <w:szCs w:val="20"/>
          <w:color w:val="auto"/>
        </w:rPr>
        <w:t>”) and/or International Financial Reporting Standards), consistently applied.</w:t>
      </w:r>
    </w:p>
    <w:p>
      <w:pPr>
        <w:spacing w:after="0" w:line="152" w:lineRule="exact"/>
        <w:rPr>
          <w:sz w:val="20"/>
          <w:szCs w:val="20"/>
          <w:color w:val="auto"/>
        </w:rPr>
      </w:pPr>
    </w:p>
    <w:p>
      <w:pPr>
        <w:jc w:val="both"/>
        <w:ind w:right="20" w:firstLine="646"/>
        <w:spacing w:after="0" w:line="249" w:lineRule="auto"/>
        <w:rPr>
          <w:sz w:val="20"/>
          <w:szCs w:val="20"/>
          <w:color w:val="auto"/>
        </w:rPr>
      </w:pPr>
      <w:r>
        <w:rPr>
          <w:rFonts w:ascii="Arial" w:cs="Arial" w:eastAsia="Arial" w:hAnsi="Arial"/>
          <w:sz w:val="22"/>
          <w:szCs w:val="22"/>
          <w:color w:val="auto"/>
        </w:rPr>
        <w:t>1.59 “</w:t>
      </w:r>
      <w:r>
        <w:rPr>
          <w:rFonts w:ascii="Arial" w:cs="Arial" w:eastAsia="Arial" w:hAnsi="Arial"/>
          <w:sz w:val="22"/>
          <w:szCs w:val="22"/>
          <w:u w:val="single" w:color="auto"/>
          <w:color w:val="auto"/>
        </w:rPr>
        <w:t>Out-of-Pocket Expenses</w:t>
      </w:r>
      <w:r>
        <w:rPr>
          <w:rFonts w:ascii="Arial" w:cs="Arial" w:eastAsia="Arial" w:hAnsi="Arial"/>
          <w:sz w:val="22"/>
          <w:szCs w:val="22"/>
          <w:color w:val="auto"/>
        </w:rPr>
        <w:t>” means, with respect to a Party or any of its Affiliates, direct expenses paid or payable by such Party or its Affiliates to any Third Party.</w:t>
      </w:r>
    </w:p>
    <w:p>
      <w:pPr>
        <w:spacing w:after="0" w:line="175" w:lineRule="exact"/>
        <w:rPr>
          <w:sz w:val="20"/>
          <w:szCs w:val="20"/>
          <w:color w:val="auto"/>
        </w:rPr>
      </w:pPr>
    </w:p>
    <w:p>
      <w:pPr>
        <w:jc w:val="both"/>
        <w:ind w:right="20" w:firstLine="646"/>
        <w:spacing w:after="0" w:line="235" w:lineRule="auto"/>
        <w:rPr>
          <w:sz w:val="20"/>
          <w:szCs w:val="20"/>
          <w:color w:val="auto"/>
        </w:rPr>
      </w:pPr>
      <w:r>
        <w:rPr>
          <w:rFonts w:ascii="Arial" w:cs="Arial" w:eastAsia="Arial" w:hAnsi="Arial"/>
          <w:sz w:val="22"/>
          <w:szCs w:val="22"/>
          <w:color w:val="auto"/>
        </w:rPr>
        <w:t>1.60 “</w:t>
      </w:r>
      <w:r>
        <w:rPr>
          <w:rFonts w:ascii="Arial" w:cs="Arial" w:eastAsia="Arial" w:hAnsi="Arial"/>
          <w:sz w:val="22"/>
          <w:szCs w:val="22"/>
          <w:u w:val="single" w:color="auto"/>
          <w:color w:val="auto"/>
        </w:rPr>
        <w:t>Patent Expenses</w:t>
      </w:r>
      <w:r>
        <w:rPr>
          <w:rFonts w:ascii="Arial" w:cs="Arial" w:eastAsia="Arial" w:hAnsi="Arial"/>
          <w:sz w:val="22"/>
          <w:szCs w:val="22"/>
          <w:color w:val="auto"/>
        </w:rPr>
        <w:t>” means reasonable and documented Internal Personnel Expenses and Out-of-Pocket Expenses (including attorney’s fees, disbursements to agents in foreign jurisdictions, and government filing fees and annuity fees) incurred by or invoiced to a Party at any time on or after November 1, 2016 in connection with the Prosecution and Maintenance, enforcement or defense of, or seeking Patent Term Extension with respect to, any of the Prosecution Patent Rights.</w:t>
      </w:r>
    </w:p>
    <w:p>
      <w:pPr>
        <w:spacing w:after="0" w:line="188" w:lineRule="exact"/>
        <w:rPr>
          <w:sz w:val="20"/>
          <w:szCs w:val="20"/>
          <w:color w:val="auto"/>
        </w:rPr>
      </w:pPr>
    </w:p>
    <w:p>
      <w:pPr>
        <w:jc w:val="both"/>
        <w:ind w:right="20" w:firstLine="646"/>
        <w:spacing w:after="0" w:line="264" w:lineRule="auto"/>
        <w:rPr>
          <w:sz w:val="20"/>
          <w:szCs w:val="20"/>
          <w:color w:val="auto"/>
        </w:rPr>
      </w:pPr>
      <w:r>
        <w:rPr>
          <w:rFonts w:ascii="Arial" w:cs="Arial" w:eastAsia="Arial" w:hAnsi="Arial"/>
          <w:sz w:val="20"/>
          <w:szCs w:val="20"/>
          <w:color w:val="auto"/>
        </w:rPr>
        <w:t>1.61 “</w:t>
      </w:r>
      <w:r>
        <w:rPr>
          <w:rFonts w:ascii="Arial" w:cs="Arial" w:eastAsia="Arial" w:hAnsi="Arial"/>
          <w:sz w:val="20"/>
          <w:szCs w:val="20"/>
          <w:u w:val="single" w:color="auto"/>
          <w:color w:val="auto"/>
        </w:rPr>
        <w:t>Patent Right</w:t>
      </w:r>
      <w:r>
        <w:rPr>
          <w:rFonts w:ascii="Arial" w:cs="Arial" w:eastAsia="Arial" w:hAnsi="Arial"/>
          <w:sz w:val="20"/>
          <w:szCs w:val="20"/>
          <w:color w:val="auto"/>
        </w:rPr>
        <w:t>” means all patents and patent applications (including provisional applications), including all divisionals, continuations, substitutions, continuations-in-part, re-examinations, re-issues, additions, renewals, extensions, confirmations, registrations, any confirmation patent or registration patent or patent of addition based on any such patent, patent term extensions, and supplemental protection certificates or requests for continued examinations, foreign counterparts, and the like of any of the foregoing.</w:t>
      </w:r>
    </w:p>
    <w:p>
      <w:pPr>
        <w:spacing w:after="0" w:line="162" w:lineRule="exact"/>
        <w:rPr>
          <w:sz w:val="20"/>
          <w:szCs w:val="20"/>
          <w:color w:val="auto"/>
        </w:rPr>
      </w:pPr>
    </w:p>
    <w:p>
      <w:pPr>
        <w:jc w:val="both"/>
        <w:ind w:right="20" w:firstLine="646"/>
        <w:spacing w:after="0" w:line="298" w:lineRule="auto"/>
        <w:rPr>
          <w:sz w:val="20"/>
          <w:szCs w:val="20"/>
          <w:color w:val="auto"/>
        </w:rPr>
      </w:pPr>
      <w:r>
        <w:rPr>
          <w:rFonts w:ascii="Arial" w:cs="Arial" w:eastAsia="Arial" w:hAnsi="Arial"/>
          <w:sz w:val="20"/>
          <w:szCs w:val="20"/>
          <w:color w:val="auto"/>
        </w:rPr>
        <w:t>1.62 “</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general partnership, limited partnership, joint venture, proprietorship or other business organization or a governmental agency or a political subdivision thereto.</w:t>
      </w:r>
    </w:p>
    <w:p>
      <w:pPr>
        <w:spacing w:after="0" w:line="129" w:lineRule="exact"/>
        <w:rPr>
          <w:sz w:val="20"/>
          <w:szCs w:val="20"/>
          <w:color w:val="auto"/>
        </w:rPr>
      </w:pPr>
    </w:p>
    <w:p>
      <w:pPr>
        <w:jc w:val="both"/>
        <w:ind w:right="20" w:firstLine="646"/>
        <w:spacing w:after="0" w:line="239" w:lineRule="auto"/>
        <w:rPr>
          <w:sz w:val="20"/>
          <w:szCs w:val="20"/>
          <w:color w:val="auto"/>
        </w:rPr>
      </w:pPr>
      <w:r>
        <w:rPr>
          <w:rFonts w:ascii="Arial" w:cs="Arial" w:eastAsia="Arial" w:hAnsi="Arial"/>
          <w:sz w:val="22"/>
          <w:szCs w:val="22"/>
          <w:color w:val="auto"/>
        </w:rPr>
        <w:t>1.63 “</w:t>
      </w:r>
      <w:r>
        <w:rPr>
          <w:rFonts w:ascii="Arial" w:cs="Arial" w:eastAsia="Arial" w:hAnsi="Arial"/>
          <w:sz w:val="22"/>
          <w:szCs w:val="22"/>
          <w:u w:val="single" w:color="auto"/>
          <w:color w:val="auto"/>
        </w:rPr>
        <w:t>Product</w:t>
      </w:r>
      <w:r>
        <w:rPr>
          <w:rFonts w:ascii="Arial" w:cs="Arial" w:eastAsia="Arial" w:hAnsi="Arial"/>
          <w:sz w:val="22"/>
          <w:szCs w:val="22"/>
          <w:color w:val="auto"/>
        </w:rPr>
        <w:t>” means a preparation, kit, article of manufacture, composition of matter, material, compound, component or product which is, or which contains or comprises a Compound, including all formulations, modes of administration and dosage forms thereof.</w:t>
      </w:r>
    </w:p>
    <w:p>
      <w:pPr>
        <w:spacing w:after="0" w:line="186"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1.64 “</w:t>
      </w:r>
      <w:r>
        <w:rPr>
          <w:rFonts w:ascii="Arial" w:cs="Arial" w:eastAsia="Arial" w:hAnsi="Arial"/>
          <w:sz w:val="20"/>
          <w:szCs w:val="20"/>
          <w:u w:val="single" w:color="auto"/>
          <w:color w:val="auto"/>
        </w:rPr>
        <w:t>Prosecution and Maintenance</w:t>
      </w:r>
      <w:r>
        <w:rPr>
          <w:rFonts w:ascii="Arial" w:cs="Arial" w:eastAsia="Arial" w:hAnsi="Arial"/>
          <w:sz w:val="20"/>
          <w:szCs w:val="20"/>
          <w:color w:val="auto"/>
        </w:rPr>
        <w:t>” or “</w:t>
      </w:r>
      <w:r>
        <w:rPr>
          <w:rFonts w:ascii="Arial" w:cs="Arial" w:eastAsia="Arial" w:hAnsi="Arial"/>
          <w:sz w:val="20"/>
          <w:szCs w:val="20"/>
          <w:u w:val="single" w:color="auto"/>
          <w:color w:val="auto"/>
        </w:rPr>
        <w:t>Prosecute and Maintain</w:t>
      </w:r>
      <w:r>
        <w:rPr>
          <w:rFonts w:ascii="Arial" w:cs="Arial" w:eastAsia="Arial" w:hAnsi="Arial"/>
          <w:sz w:val="20"/>
          <w:szCs w:val="20"/>
          <w:color w:val="auto"/>
        </w:rPr>
        <w:t xml:space="preserve">” means, with regard to a Patent Right, the preparation, filing, prosecution and maintenance of such Patent Right, as well as re-examinations, reissues, appeals, together with the initiation or defense of interferences, the initiation or defense of oppositions and other similar proceedings with respect to such Patent Right, and any appeals therefrom, including any nullity or revocation proceeding, or any of the foregoing,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“Prosecution and Maintenance” or “Prosecute and Maintain” shall not include any request for Patent Term Extension, any post-grant review or any other defense or enforcement action taken with respect to a Patent Right.</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2" w:right="899" w:bottom="1440" w:gutter="0" w:footer="0" w:header="0"/>
        </w:sectPr>
      </w:pPr>
    </w:p>
    <w:bookmarkStart w:id="157" w:name="page158"/>
    <w:bookmarkEnd w:id="157"/>
    <w:p>
      <w:pPr>
        <w:jc w:val="center"/>
        <w:ind w:left="920" w:right="6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left="1" w:right="20" w:firstLine="646"/>
        <w:spacing w:after="0" w:line="239" w:lineRule="auto"/>
        <w:rPr>
          <w:sz w:val="20"/>
          <w:szCs w:val="20"/>
          <w:color w:val="auto"/>
        </w:rPr>
      </w:pPr>
      <w:r>
        <w:rPr>
          <w:rFonts w:ascii="Arial" w:cs="Arial" w:eastAsia="Arial" w:hAnsi="Arial"/>
          <w:sz w:val="22"/>
          <w:szCs w:val="22"/>
          <w:color w:val="auto"/>
        </w:rPr>
        <w:t>1.65 “</w:t>
      </w:r>
      <w:r>
        <w:rPr>
          <w:rFonts w:ascii="Arial" w:cs="Arial" w:eastAsia="Arial" w:hAnsi="Arial"/>
          <w:sz w:val="22"/>
          <w:szCs w:val="22"/>
          <w:u w:val="single" w:color="auto"/>
          <w:color w:val="auto"/>
        </w:rPr>
        <w:t>Regulatory Approval</w:t>
      </w:r>
      <w:r>
        <w:rPr>
          <w:rFonts w:ascii="Arial" w:cs="Arial" w:eastAsia="Arial" w:hAnsi="Arial"/>
          <w:sz w:val="22"/>
          <w:szCs w:val="22"/>
          <w:color w:val="auto"/>
        </w:rPr>
        <w:t>” means, with respect to a Product, the approval of the applicable Regulatory Authority necessary for the marketing and sale of such Product for a particular indication in a country. Regulatory Approval shall also include any “orphan drug” or similar designation.</w:t>
      </w:r>
    </w:p>
    <w:p>
      <w:pPr>
        <w:spacing w:after="0" w:line="186" w:lineRule="exact"/>
        <w:rPr>
          <w:sz w:val="20"/>
          <w:szCs w:val="20"/>
          <w:color w:val="auto"/>
        </w:rPr>
      </w:pPr>
    </w:p>
    <w:p>
      <w:pPr>
        <w:jc w:val="both"/>
        <w:ind w:left="1" w:right="20" w:firstLine="646"/>
        <w:spacing w:after="0" w:line="237" w:lineRule="auto"/>
        <w:rPr>
          <w:sz w:val="20"/>
          <w:szCs w:val="20"/>
          <w:color w:val="auto"/>
        </w:rPr>
      </w:pPr>
      <w:r>
        <w:rPr>
          <w:rFonts w:ascii="Arial" w:cs="Arial" w:eastAsia="Arial" w:hAnsi="Arial"/>
          <w:sz w:val="22"/>
          <w:szCs w:val="22"/>
          <w:color w:val="auto"/>
        </w:rPr>
        <w:t>1.66 “</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a federal, national, multinational, state, provincial or local regulatory agency, department, bureau or other governmental entity with authority over the testing, manufacture, use, storage, import, promotion, marketing or sale of a pharmaceutical product in a country or territory, including the FDA, EMA and MHLW.</w:t>
      </w:r>
    </w:p>
    <w:p>
      <w:pPr>
        <w:spacing w:after="0" w:line="185" w:lineRule="exact"/>
        <w:rPr>
          <w:sz w:val="20"/>
          <w:szCs w:val="20"/>
          <w:color w:val="auto"/>
        </w:rPr>
      </w:pPr>
    </w:p>
    <w:p>
      <w:pPr>
        <w:jc w:val="both"/>
        <w:ind w:left="1" w:right="20" w:firstLine="646"/>
        <w:spacing w:after="0" w:line="258" w:lineRule="auto"/>
        <w:rPr>
          <w:sz w:val="20"/>
          <w:szCs w:val="20"/>
          <w:color w:val="auto"/>
        </w:rPr>
      </w:pPr>
      <w:r>
        <w:rPr>
          <w:rFonts w:ascii="Arial" w:cs="Arial" w:eastAsia="Arial" w:hAnsi="Arial"/>
          <w:sz w:val="20"/>
          <w:szCs w:val="20"/>
          <w:color w:val="auto"/>
        </w:rPr>
        <w:t>1.67 “</w:t>
      </w:r>
      <w:r>
        <w:rPr>
          <w:rFonts w:ascii="Arial" w:cs="Arial" w:eastAsia="Arial" w:hAnsi="Arial"/>
          <w:sz w:val="20"/>
          <w:szCs w:val="20"/>
          <w:u w:val="single" w:color="auto"/>
          <w:color w:val="auto"/>
        </w:rPr>
        <w:t>Regulatory Documentation</w:t>
      </w:r>
      <w:r>
        <w:rPr>
          <w:rFonts w:ascii="Arial" w:cs="Arial" w:eastAsia="Arial" w:hAnsi="Arial"/>
          <w:sz w:val="20"/>
          <w:szCs w:val="20"/>
          <w:color w:val="auto"/>
        </w:rPr>
        <w:t>” means, with respect to any Compound or Product, all INDs, NDAs, and other regulatory applications submitted to any Regulatory Authority, copies of Regulatory Approvals, regulatory materials, drug dossiers, master files (including Drug Master Files, as defined in 21 C.F.R. §314.420 and any non-United States equivalents), and any other reports, records, regulatory correspondence, meeting minutes, telephone logs, and other materials relating to Regulatory Approval of such Compound or Product (including any underlying safety and effectiveness data whether or not submitted to any Regulatory Authority), or required to Research, Develop, Manufacture or Commercialize such Compound or Product, including any information that relates to pharmacology, toxicology, chemistry, manufacturing and controls data, batch records, safety and efficacy, and any safety database required to be maintained for Regulatory Authorities.</w:t>
      </w:r>
    </w:p>
    <w:p>
      <w:pPr>
        <w:spacing w:after="0" w:line="171" w:lineRule="exact"/>
        <w:rPr>
          <w:sz w:val="20"/>
          <w:szCs w:val="20"/>
          <w:color w:val="auto"/>
        </w:rPr>
      </w:pPr>
    </w:p>
    <w:p>
      <w:pPr>
        <w:jc w:val="both"/>
        <w:ind w:left="1" w:right="20" w:firstLine="646"/>
        <w:spacing w:after="0" w:line="237" w:lineRule="auto"/>
        <w:rPr>
          <w:sz w:val="20"/>
          <w:szCs w:val="20"/>
          <w:color w:val="auto"/>
        </w:rPr>
      </w:pPr>
      <w:r>
        <w:rPr>
          <w:rFonts w:ascii="Arial" w:cs="Arial" w:eastAsia="Arial" w:hAnsi="Arial"/>
          <w:sz w:val="22"/>
          <w:szCs w:val="22"/>
          <w:color w:val="auto"/>
        </w:rPr>
        <w:t>1.68 “</w:t>
      </w:r>
      <w:r>
        <w:rPr>
          <w:rFonts w:ascii="Arial" w:cs="Arial" w:eastAsia="Arial" w:hAnsi="Arial"/>
          <w:sz w:val="22"/>
          <w:szCs w:val="22"/>
          <w:u w:val="single" w:color="auto"/>
          <w:color w:val="auto"/>
        </w:rPr>
        <w:t>Regulatory Exclusivity</w:t>
      </w:r>
      <w:r>
        <w:rPr>
          <w:rFonts w:ascii="Arial" w:cs="Arial" w:eastAsia="Arial" w:hAnsi="Arial"/>
          <w:sz w:val="22"/>
          <w:szCs w:val="22"/>
          <w:color w:val="auto"/>
        </w:rPr>
        <w:t>” means the ability to exclude Third Parties from Manufacturing or Commercializing a product that could compete with a Product in a country, either through data exclusivity rights, orphan drug designation, or such other rights conferred by a Regulatory Authority in such country other than through Patent Rights.</w:t>
      </w:r>
    </w:p>
    <w:p>
      <w:pPr>
        <w:spacing w:after="0" w:line="185" w:lineRule="exact"/>
        <w:rPr>
          <w:sz w:val="20"/>
          <w:szCs w:val="20"/>
          <w:color w:val="auto"/>
        </w:rPr>
      </w:pPr>
    </w:p>
    <w:p>
      <w:pPr>
        <w:ind w:left="641"/>
        <w:spacing w:after="0"/>
        <w:tabs>
          <w:tab w:leader="none" w:pos="1381"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Reimbursement Event</w:t>
      </w:r>
      <w:r>
        <w:rPr>
          <w:rFonts w:ascii="Arial" w:cs="Arial" w:eastAsia="Arial" w:hAnsi="Arial"/>
          <w:sz w:val="20"/>
          <w:szCs w:val="20"/>
          <w:color w:val="auto"/>
        </w:rPr>
        <w:t>” means the DUO Reimbursement Event or the Approval Reimbursement</w:t>
      </w:r>
    </w:p>
    <w:p>
      <w:pPr>
        <w:spacing w:after="0" w:line="7" w:lineRule="exact"/>
        <w:rPr>
          <w:sz w:val="20"/>
          <w:szCs w:val="20"/>
          <w:color w:val="auto"/>
        </w:rPr>
      </w:pPr>
    </w:p>
    <w:p>
      <w:pPr>
        <w:ind w:left="1"/>
        <w:spacing w:after="0"/>
        <w:rPr>
          <w:sz w:val="20"/>
          <w:szCs w:val="20"/>
          <w:color w:val="auto"/>
        </w:rPr>
      </w:pPr>
      <w:r>
        <w:rPr>
          <w:rFonts w:ascii="Arial" w:cs="Arial" w:eastAsia="Arial" w:hAnsi="Arial"/>
          <w:sz w:val="22"/>
          <w:szCs w:val="22"/>
          <w:color w:val="auto"/>
        </w:rPr>
        <w:t>Event.</w:t>
      </w:r>
    </w:p>
    <w:p>
      <w:pPr>
        <w:spacing w:after="0" w:line="187" w:lineRule="exact"/>
        <w:rPr>
          <w:sz w:val="20"/>
          <w:szCs w:val="20"/>
          <w:color w:val="auto"/>
        </w:rPr>
      </w:pPr>
    </w:p>
    <w:p>
      <w:pPr>
        <w:jc w:val="both"/>
        <w:ind w:left="1" w:right="20" w:firstLine="646"/>
        <w:spacing w:after="0" w:line="298" w:lineRule="auto"/>
        <w:rPr>
          <w:sz w:val="20"/>
          <w:szCs w:val="20"/>
          <w:color w:val="auto"/>
        </w:rPr>
      </w:pPr>
      <w:r>
        <w:rPr>
          <w:rFonts w:ascii="Arial" w:cs="Arial" w:eastAsia="Arial" w:hAnsi="Arial"/>
          <w:sz w:val="20"/>
          <w:szCs w:val="20"/>
          <w:color w:val="auto"/>
        </w:rPr>
        <w:t>1.70 “</w:t>
      </w:r>
      <w:r>
        <w:rPr>
          <w:rFonts w:ascii="Arial" w:cs="Arial" w:eastAsia="Arial" w:hAnsi="Arial"/>
          <w:sz w:val="20"/>
          <w:szCs w:val="20"/>
          <w:u w:val="single" w:color="auto"/>
          <w:color w:val="auto"/>
        </w:rPr>
        <w:t>Reimbursement Payment</w:t>
      </w:r>
      <w:r>
        <w:rPr>
          <w:rFonts w:ascii="Arial" w:cs="Arial" w:eastAsia="Arial" w:hAnsi="Arial"/>
          <w:sz w:val="20"/>
          <w:szCs w:val="20"/>
          <w:color w:val="auto"/>
        </w:rPr>
        <w:t>” means a payment to be made pursuant to Section 3.1.2(c)(i) upon achievement of the DUO Reimbursement Event or the Approval Reimbursement Event, as applicable.</w:t>
      </w:r>
    </w:p>
    <w:p>
      <w:pPr>
        <w:spacing w:after="0" w:line="129" w:lineRule="exact"/>
        <w:rPr>
          <w:sz w:val="20"/>
          <w:szCs w:val="20"/>
          <w:color w:val="auto"/>
        </w:rPr>
      </w:pPr>
    </w:p>
    <w:p>
      <w:pPr>
        <w:jc w:val="both"/>
        <w:ind w:left="1" w:right="20" w:firstLine="646"/>
        <w:spacing w:after="0" w:line="298" w:lineRule="auto"/>
        <w:rPr>
          <w:sz w:val="20"/>
          <w:szCs w:val="20"/>
          <w:color w:val="auto"/>
        </w:rPr>
      </w:pPr>
      <w:r>
        <w:rPr>
          <w:rFonts w:ascii="Arial" w:cs="Arial" w:eastAsia="Arial" w:hAnsi="Arial"/>
          <w:sz w:val="20"/>
          <w:szCs w:val="20"/>
          <w:color w:val="auto"/>
        </w:rPr>
        <w:t>1.71 “</w:t>
      </w:r>
      <w:r>
        <w:rPr>
          <w:rFonts w:ascii="Arial" w:cs="Arial" w:eastAsia="Arial" w:hAnsi="Arial"/>
          <w:sz w:val="20"/>
          <w:szCs w:val="20"/>
          <w:u w:val="single" w:color="auto"/>
          <w:color w:val="auto"/>
        </w:rPr>
        <w:t>Research</w:t>
      </w:r>
      <w:r>
        <w:rPr>
          <w:rFonts w:ascii="Arial" w:cs="Arial" w:eastAsia="Arial" w:hAnsi="Arial"/>
          <w:sz w:val="20"/>
          <w:szCs w:val="20"/>
          <w:color w:val="auto"/>
        </w:rPr>
        <w:t>” means, with respect to a Compound, any activities prior to the initiation of the first IND-enabling GLP toxicology study for such Compound, excluding any medicinal chemistry activities.</w:t>
      </w:r>
    </w:p>
    <w:p>
      <w:pPr>
        <w:spacing w:after="0" w:line="129" w:lineRule="exact"/>
        <w:rPr>
          <w:sz w:val="20"/>
          <w:szCs w:val="20"/>
          <w:color w:val="auto"/>
        </w:rPr>
      </w:pPr>
    </w:p>
    <w:p>
      <w:pPr>
        <w:jc w:val="both"/>
        <w:ind w:left="1" w:firstLine="646"/>
        <w:spacing w:after="0" w:line="275" w:lineRule="auto"/>
        <w:rPr>
          <w:sz w:val="20"/>
          <w:szCs w:val="20"/>
          <w:color w:val="auto"/>
        </w:rPr>
      </w:pPr>
      <w:r>
        <w:rPr>
          <w:rFonts w:ascii="Arial" w:cs="Arial" w:eastAsia="Arial" w:hAnsi="Arial"/>
          <w:sz w:val="19"/>
          <w:szCs w:val="19"/>
          <w:color w:val="auto"/>
        </w:rPr>
        <w:t>1.72 “</w:t>
      </w:r>
      <w:r>
        <w:rPr>
          <w:rFonts w:ascii="Arial" w:cs="Arial" w:eastAsia="Arial" w:hAnsi="Arial"/>
          <w:sz w:val="19"/>
          <w:szCs w:val="19"/>
          <w:u w:val="single" w:color="auto"/>
          <w:color w:val="auto"/>
        </w:rPr>
        <w:t>Royalty Term</w:t>
      </w:r>
      <w:r>
        <w:rPr>
          <w:rFonts w:ascii="Arial" w:cs="Arial" w:eastAsia="Arial" w:hAnsi="Arial"/>
          <w:sz w:val="19"/>
          <w:szCs w:val="19"/>
          <w:color w:val="auto"/>
        </w:rPr>
        <w:t>” means, with respect to an IPI-145 Product in a particular country, the period of time commencing on the first Commercial Sale of such IPI-145 Product in such country and ending on the last to occur of</w:t>
      </w:r>
    </w:p>
    <w:p>
      <w:pPr>
        <w:spacing w:after="0" w:line="2" w:lineRule="exact"/>
        <w:rPr>
          <w:sz w:val="20"/>
          <w:szCs w:val="20"/>
          <w:color w:val="auto"/>
        </w:rPr>
      </w:pPr>
    </w:p>
    <w:p>
      <w:pPr>
        <w:jc w:val="both"/>
        <w:ind w:left="1" w:right="20" w:hanging="1"/>
        <w:spacing w:after="0" w:line="266" w:lineRule="auto"/>
        <w:tabs>
          <w:tab w:leader="none" w:pos="31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date on which all Duvelisib Patent Rights containing a Valid Claim covering the composition, formulation, preparation, Manufacture, Commercialization or other use of such IPI-145 Product in the country of sale have expired, (b) the date on which all Duvelisib Patent Rights containing a Valid Claim covering the Manufacture</w:t>
      </w:r>
    </w:p>
    <w:p>
      <w:pPr>
        <w:spacing w:after="0" w:line="159" w:lineRule="exact"/>
        <w:rPr>
          <w:rFonts w:ascii="Arial" w:cs="Arial" w:eastAsia="Arial" w:hAnsi="Arial"/>
          <w:sz w:val="20"/>
          <w:szCs w:val="20"/>
          <w:color w:val="auto"/>
        </w:rPr>
      </w:pPr>
    </w:p>
    <w:p>
      <w:pPr>
        <w:ind w:left="4921" w:hanging="173"/>
        <w:spacing w:after="0"/>
        <w:tabs>
          <w:tab w:leader="none" w:pos="4921" w:val="left"/>
        </w:tabs>
        <w:numPr>
          <w:ilvl w:val="1"/>
          <w:numId w:val="80"/>
        </w:numPr>
        <w:rPr>
          <w:rFonts w:ascii="Arial" w:cs="Arial" w:eastAsia="Arial" w:hAnsi="Arial"/>
          <w:sz w:val="22"/>
          <w:szCs w:val="22"/>
          <w:color w:val="auto"/>
        </w:rPr>
      </w:pPr>
      <w:r>
        <w:rPr>
          <w:rFonts w:ascii="Arial" w:cs="Arial" w:eastAsia="Arial" w:hAnsi="Arial"/>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1"/>
          </w:cols>
          <w:pgMar w:left="919" w:top="112" w:right="899" w:bottom="1440" w:gutter="0" w:footer="0" w:header="0"/>
        </w:sectPr>
      </w:pPr>
    </w:p>
    <w:bookmarkStart w:id="158" w:name="page159"/>
    <w:bookmarkEnd w:id="158"/>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the country of actual Manufacture of such IPI-145 Product have expired, or (c) the expiration of any Regulatory Exclusivity with respect to such IPI-145 Product in such country.</w:t>
      </w:r>
    </w:p>
    <w:p>
      <w:pPr>
        <w:spacing w:after="0" w:line="175" w:lineRule="exact"/>
        <w:rPr>
          <w:sz w:val="20"/>
          <w:szCs w:val="20"/>
          <w:color w:val="auto"/>
        </w:rPr>
      </w:pPr>
    </w:p>
    <w:p>
      <w:pPr>
        <w:jc w:val="both"/>
        <w:ind w:firstLine="646"/>
        <w:spacing w:after="0" w:line="296" w:lineRule="auto"/>
        <w:rPr>
          <w:sz w:val="20"/>
          <w:szCs w:val="20"/>
          <w:color w:val="auto"/>
        </w:rPr>
      </w:pPr>
      <w:r>
        <w:rPr>
          <w:rFonts w:ascii="Arial" w:cs="Arial" w:eastAsia="Arial" w:hAnsi="Arial"/>
          <w:sz w:val="19"/>
          <w:szCs w:val="19"/>
          <w:color w:val="auto"/>
        </w:rPr>
        <w:t>1.73 “</w:t>
      </w:r>
      <w:r>
        <w:rPr>
          <w:rFonts w:ascii="Arial" w:cs="Arial" w:eastAsia="Arial" w:hAnsi="Arial"/>
          <w:sz w:val="19"/>
          <w:szCs w:val="19"/>
          <w:u w:val="single" w:color="auto"/>
          <w:color w:val="auto"/>
        </w:rPr>
        <w:t>Senior Executive</w:t>
      </w:r>
      <w:r>
        <w:rPr>
          <w:rFonts w:ascii="Arial" w:cs="Arial" w:eastAsia="Arial" w:hAnsi="Arial"/>
          <w:sz w:val="19"/>
          <w:szCs w:val="19"/>
          <w:color w:val="auto"/>
        </w:rPr>
        <w:t>” means, in the case of INFI, the Chief Executive Officer of INFI (or a senior executive officer designated by the Chief Executive Officer of INFI), and in the case of Licensee, the Chief Executive Officer of Licensee (or a senior executive officer designated by the Chief Executive Officer of Licensee).</w:t>
      </w:r>
    </w:p>
    <w:p>
      <w:pPr>
        <w:spacing w:after="0" w:line="134"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1.74 “</w:t>
      </w:r>
      <w:r>
        <w:rPr>
          <w:rFonts w:ascii="Arial" w:cs="Arial" w:eastAsia="Arial" w:hAnsi="Arial"/>
          <w:sz w:val="22"/>
          <w:szCs w:val="22"/>
          <w:u w:val="single" w:color="auto"/>
          <w:color w:val="auto"/>
        </w:rPr>
        <w:t>Sublicensee</w:t>
      </w:r>
      <w:r>
        <w:rPr>
          <w:rFonts w:ascii="Arial" w:cs="Arial" w:eastAsia="Arial" w:hAnsi="Arial"/>
          <w:sz w:val="22"/>
          <w:szCs w:val="22"/>
          <w:color w:val="auto"/>
        </w:rPr>
        <w:t>” means a Third Party to whom Licensee, or any of its Affiliates or any other Sublicensee, grants a sublicense as permitted under this Agreement, under any of the Duvelisib IP.</w:t>
      </w:r>
    </w:p>
    <w:p>
      <w:pPr>
        <w:spacing w:after="0" w:line="17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Target Inhibitor</w:t>
      </w:r>
      <w:r>
        <w:rPr>
          <w:rFonts w:ascii="Arial" w:cs="Arial" w:eastAsia="Arial" w:hAnsi="Arial"/>
          <w:sz w:val="19"/>
          <w:szCs w:val="19"/>
          <w:color w:val="auto"/>
        </w:rPr>
        <w:t xml:space="preserve">” means any Compound which meets the criteria set forth in </w:t>
      </w:r>
      <w:r>
        <w:rPr>
          <w:rFonts w:ascii="Arial" w:cs="Arial" w:eastAsia="Arial" w:hAnsi="Arial"/>
          <w:sz w:val="19"/>
          <w:szCs w:val="19"/>
          <w:u w:val="single" w:color="auto"/>
          <w:color w:val="auto"/>
        </w:rPr>
        <w:t>Exhibit I</w:t>
      </w:r>
      <w:r>
        <w:rPr>
          <w:rFonts w:ascii="Arial" w:cs="Arial" w:eastAsia="Arial" w:hAnsi="Arial"/>
          <w:sz w:val="19"/>
          <w:szCs w:val="19"/>
          <w:color w:val="auto"/>
        </w:rPr>
        <w:t>.</w:t>
      </w:r>
    </w:p>
    <w:p>
      <w:pPr>
        <w:spacing w:after="0" w:line="20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Territory</w:t>
      </w:r>
      <w:r>
        <w:rPr>
          <w:rFonts w:ascii="Arial" w:cs="Arial" w:eastAsia="Arial" w:hAnsi="Arial"/>
          <w:sz w:val="20"/>
          <w:szCs w:val="20"/>
          <w:color w:val="auto"/>
        </w:rPr>
        <w:t>” means worldwide.</w:t>
      </w:r>
    </w:p>
    <w:p>
      <w:pPr>
        <w:spacing w:after="0" w:line="20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other than INFI, Licensee or any Affiliate of INFI or Licensee.</w:t>
      </w:r>
    </w:p>
    <w:p>
      <w:pPr>
        <w:spacing w:after="0" w:line="20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Third Party Grantor</w:t>
      </w:r>
      <w:r>
        <w:rPr>
          <w:rFonts w:ascii="Arial" w:cs="Arial" w:eastAsia="Arial" w:hAnsi="Arial"/>
          <w:sz w:val="20"/>
          <w:szCs w:val="20"/>
          <w:color w:val="auto"/>
        </w:rPr>
        <w:t>” means INK, MICL or Purdue.</w:t>
      </w:r>
    </w:p>
    <w:p>
      <w:pPr>
        <w:spacing w:after="0" w:line="20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1.79 “</w:t>
      </w:r>
      <w:r>
        <w:rPr>
          <w:rFonts w:ascii="Arial" w:cs="Arial" w:eastAsia="Arial" w:hAnsi="Arial"/>
          <w:sz w:val="22"/>
          <w:szCs w:val="22"/>
          <w:u w:val="single" w:color="auto"/>
          <w:color w:val="auto"/>
        </w:rPr>
        <w:t>United States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 and all of its territories and possessions.</w:t>
      </w:r>
    </w:p>
    <w:p>
      <w:pPr>
        <w:spacing w:after="0" w:line="17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U.S. Bankruptcy Code</w:t>
      </w:r>
      <w:r>
        <w:rPr>
          <w:rFonts w:ascii="Arial" w:cs="Arial" w:eastAsia="Arial" w:hAnsi="Arial"/>
          <w:sz w:val="19"/>
          <w:szCs w:val="19"/>
          <w:color w:val="auto"/>
        </w:rPr>
        <w:t>” means of Title 11 of the United States Code, as amended.</w:t>
      </w:r>
    </w:p>
    <w:p>
      <w:pPr>
        <w:spacing w:after="0" w:line="205"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20"/>
          <w:szCs w:val="20"/>
          <w:color w:val="auto"/>
        </w:rPr>
        <w:t>1.81 “</w:t>
      </w:r>
      <w:r>
        <w:rPr>
          <w:rFonts w:ascii="Arial" w:cs="Arial" w:eastAsia="Arial" w:hAnsi="Arial"/>
          <w:sz w:val="20"/>
          <w:szCs w:val="20"/>
          <w:u w:val="single" w:color="auto"/>
          <w:color w:val="auto"/>
        </w:rPr>
        <w:t>Valid Claim</w:t>
      </w:r>
      <w:r>
        <w:rPr>
          <w:rFonts w:ascii="Arial" w:cs="Arial" w:eastAsia="Arial" w:hAnsi="Arial"/>
          <w:sz w:val="20"/>
          <w:szCs w:val="20"/>
          <w:color w:val="auto"/>
        </w:rPr>
        <w:t>” means a claim of any issued, unexpired patent that has not been revoked or held unenforceable or invalid by a decision of a court or governmental agency of competent jurisdiction from which no appeal can be taken, or with respect to which an appeal is not taken within the time allowed for appeal, and that has not been disclaimed or admitted to be invalid or unenforceable through reissue, disclaimer or otherwise.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gridSpan w:val="2"/>
          </w:tcPr>
          <w:p>
            <w:pPr>
              <w:jc w:val="right"/>
              <w:ind w:right="272"/>
              <w:spacing w:after="0"/>
              <w:rPr>
                <w:sz w:val="20"/>
                <w:szCs w:val="20"/>
                <w:color w:val="auto"/>
              </w:rPr>
            </w:pPr>
            <w:r>
              <w:rPr>
                <w:rFonts w:ascii="Arial" w:cs="Arial" w:eastAsia="Arial" w:hAnsi="Arial"/>
                <w:sz w:val="22"/>
                <w:szCs w:val="22"/>
                <w:color w:val="auto"/>
              </w:rPr>
              <w:t>1.82</w:t>
            </w:r>
          </w:p>
        </w:tc>
        <w:tc>
          <w:tcPr>
            <w:tcW w:w="8660" w:type="dxa"/>
            <w:vAlign w:val="bottom"/>
            <w:gridSpan w:val="6"/>
          </w:tcPr>
          <w:p>
            <w:pPr>
              <w:spacing w:after="0"/>
              <w:rPr>
                <w:sz w:val="20"/>
                <w:szCs w:val="20"/>
                <w:color w:val="auto"/>
              </w:rPr>
            </w:pPr>
            <w:r>
              <w:rPr>
                <w:rFonts w:ascii="Arial" w:cs="Arial" w:eastAsia="Arial" w:hAnsi="Arial"/>
                <w:sz w:val="22"/>
                <w:szCs w:val="22"/>
                <w:color w:val="auto"/>
              </w:rPr>
              <w:t>Additional Definitions.  Each of the following definitions is set forth in the section of this</w:t>
            </w:r>
          </w:p>
        </w:tc>
      </w:tr>
      <w:tr>
        <w:trPr>
          <w:trHeight w:val="20"/>
        </w:trPr>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73"/>
        </w:trPr>
        <w:tc>
          <w:tcPr>
            <w:tcW w:w="4880" w:type="dxa"/>
            <w:vAlign w:val="bottom"/>
            <w:gridSpan w:val="5"/>
          </w:tcPr>
          <w:p>
            <w:pPr>
              <w:jc w:val="right"/>
              <w:ind w:right="2440"/>
              <w:spacing w:after="0"/>
              <w:rPr>
                <w:sz w:val="20"/>
                <w:szCs w:val="20"/>
                <w:color w:val="auto"/>
              </w:rPr>
            </w:pPr>
            <w:r>
              <w:rPr>
                <w:rFonts w:ascii="Arial" w:cs="Arial" w:eastAsia="Arial" w:hAnsi="Arial"/>
                <w:sz w:val="22"/>
                <w:szCs w:val="22"/>
                <w:color w:val="auto"/>
                <w:w w:val="89"/>
              </w:rPr>
              <w:t>Agreement indicated below:</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140" w:type="dxa"/>
            <w:vAlign w:val="bottom"/>
          </w:tcPr>
          <w:p>
            <w:pPr>
              <w:spacing w:after="0"/>
              <w:rPr>
                <w:sz w:val="23"/>
                <w:szCs w:val="23"/>
                <w:color w:val="auto"/>
              </w:rPr>
            </w:pPr>
          </w:p>
        </w:tc>
      </w:tr>
      <w:tr>
        <w:trPr>
          <w:trHeight w:val="407"/>
        </w:trPr>
        <w:tc>
          <w:tcPr>
            <w:tcW w:w="940" w:type="dxa"/>
            <w:vAlign w:val="bottom"/>
          </w:tcPr>
          <w:p>
            <w:pPr>
              <w:spacing w:after="0"/>
              <w:rPr>
                <w:sz w:val="24"/>
                <w:szCs w:val="24"/>
                <w:color w:val="auto"/>
              </w:rPr>
            </w:pPr>
          </w:p>
        </w:tc>
        <w:tc>
          <w:tcPr>
            <w:tcW w:w="3940" w:type="dxa"/>
            <w:vAlign w:val="bottom"/>
            <w:gridSpan w:val="4"/>
          </w:tcPr>
          <w:p>
            <w:pPr>
              <w:spacing w:after="0"/>
              <w:rPr>
                <w:sz w:val="20"/>
                <w:szCs w:val="20"/>
                <w:color w:val="auto"/>
              </w:rPr>
            </w:pPr>
            <w:r>
              <w:rPr>
                <w:rFonts w:ascii="Arial" w:cs="Arial" w:eastAsia="Arial" w:hAnsi="Arial"/>
                <w:sz w:val="22"/>
                <w:szCs w:val="22"/>
                <w:b w:val="1"/>
                <w:bCs w:val="1"/>
                <w:color w:val="auto"/>
              </w:rPr>
              <w:t>Definition:</w:t>
            </w:r>
          </w:p>
        </w:tc>
        <w:tc>
          <w:tcPr>
            <w:tcW w:w="5180" w:type="dxa"/>
            <w:vAlign w:val="bottom"/>
            <w:gridSpan w:val="3"/>
          </w:tcPr>
          <w:p>
            <w:pPr>
              <w:ind w:left="300"/>
              <w:spacing w:after="0"/>
              <w:rPr>
                <w:sz w:val="20"/>
                <w:szCs w:val="20"/>
                <w:color w:val="auto"/>
              </w:rPr>
            </w:pPr>
            <w:r>
              <w:rPr>
                <w:rFonts w:ascii="Arial" w:cs="Arial" w:eastAsia="Arial" w:hAnsi="Arial"/>
                <w:sz w:val="22"/>
                <w:szCs w:val="22"/>
                <w:b w:val="1"/>
                <w:bCs w:val="1"/>
                <w:color w:val="auto"/>
              </w:rPr>
              <w:t>Section:</w:t>
            </w:r>
          </w:p>
        </w:tc>
      </w:tr>
      <w:tr>
        <w:trPr>
          <w:trHeight w:val="20"/>
        </w:trPr>
        <w:tc>
          <w:tcPr>
            <w:tcW w:w="9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7"/>
        </w:trPr>
        <w:tc>
          <w:tcPr>
            <w:tcW w:w="9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22"/>
                <w:szCs w:val="22"/>
                <w:color w:val="auto"/>
              </w:rPr>
              <w:t>AAA</w:t>
            </w:r>
          </w:p>
        </w:tc>
        <w:tc>
          <w:tcPr>
            <w:tcW w:w="2960" w:type="dxa"/>
            <w:vAlign w:val="bottom"/>
            <w:gridSpan w:val="2"/>
          </w:tcPr>
          <w:p>
            <w:pPr>
              <w:spacing w:after="0"/>
              <w:rPr>
                <w:sz w:val="24"/>
                <w:szCs w:val="24"/>
                <w:color w:val="auto"/>
              </w:rPr>
            </w:pPr>
          </w:p>
        </w:tc>
        <w:tc>
          <w:tcPr>
            <w:tcW w:w="1040" w:type="dxa"/>
            <w:vAlign w:val="bottom"/>
            <w:gridSpan w:val="2"/>
          </w:tcPr>
          <w:p>
            <w:pPr>
              <w:ind w:left="300"/>
              <w:spacing w:after="0"/>
              <w:rPr>
                <w:sz w:val="20"/>
                <w:szCs w:val="20"/>
                <w:color w:val="auto"/>
              </w:rPr>
            </w:pPr>
            <w:r>
              <w:rPr>
                <w:rFonts w:ascii="Arial" w:cs="Arial" w:eastAsia="Arial" w:hAnsi="Arial"/>
                <w:sz w:val="22"/>
                <w:szCs w:val="22"/>
                <w:color w:val="auto"/>
              </w:rPr>
              <w:t>12.2.3</w:t>
            </w:r>
          </w:p>
        </w:tc>
        <w:tc>
          <w:tcPr>
            <w:tcW w:w="4140" w:type="dxa"/>
            <w:vAlign w:val="bottom"/>
          </w:tcPr>
          <w:p>
            <w:pPr>
              <w:spacing w:after="0"/>
              <w:rPr>
                <w:sz w:val="24"/>
                <w:szCs w:val="24"/>
                <w:color w:val="auto"/>
              </w:rPr>
            </w:pP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Agreement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Preamble</w:t>
            </w: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Arbitration Request</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12.2.1</w:t>
            </w:r>
          </w:p>
        </w:tc>
        <w:tc>
          <w:tcPr>
            <w:tcW w:w="4140" w:type="dxa"/>
            <w:vAlign w:val="bottom"/>
          </w:tcPr>
          <w:p>
            <w:pPr>
              <w:spacing w:after="0"/>
              <w:rPr>
                <w:sz w:val="21"/>
                <w:szCs w:val="21"/>
                <w:color w:val="auto"/>
              </w:rPr>
            </w:pP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Approval Reimbursement Event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3.1.2.(c)(i)(2)</w:t>
            </w: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Audit Opinion</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6.6</w:t>
            </w:r>
          </w:p>
        </w:tc>
        <w:tc>
          <w:tcPr>
            <w:tcW w:w="4140" w:type="dxa"/>
            <w:vAlign w:val="bottom"/>
          </w:tcPr>
          <w:p>
            <w:pPr>
              <w:spacing w:after="0"/>
              <w:rPr>
                <w:sz w:val="21"/>
                <w:szCs w:val="21"/>
                <w:color w:val="auto"/>
              </w:rPr>
            </w:pP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Audited Financial Statements</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6.6</w:t>
            </w:r>
          </w:p>
        </w:tc>
        <w:tc>
          <w:tcPr>
            <w:tcW w:w="4140" w:type="dxa"/>
            <w:vAlign w:val="bottom"/>
          </w:tcPr>
          <w:p>
            <w:pPr>
              <w:spacing w:after="0"/>
              <w:rPr>
                <w:sz w:val="21"/>
                <w:szCs w:val="21"/>
                <w:color w:val="auto"/>
              </w:rPr>
            </w:pP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Breaching Party</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11.2</w:t>
            </w:r>
          </w:p>
        </w:tc>
        <w:tc>
          <w:tcPr>
            <w:tcW w:w="4140" w:type="dxa"/>
            <w:vAlign w:val="bottom"/>
          </w:tcPr>
          <w:p>
            <w:pPr>
              <w:spacing w:after="0"/>
              <w:rPr>
                <w:sz w:val="21"/>
                <w:szCs w:val="21"/>
                <w:color w:val="auto"/>
              </w:rPr>
            </w:pP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Clinical Site Agreement</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1.3.6</w:t>
            </w:r>
          </w:p>
        </w:tc>
        <w:tc>
          <w:tcPr>
            <w:tcW w:w="4140" w:type="dxa"/>
            <w:vAlign w:val="bottom"/>
          </w:tcPr>
          <w:p>
            <w:pPr>
              <w:spacing w:after="0"/>
              <w:rPr>
                <w:sz w:val="21"/>
                <w:szCs w:val="21"/>
                <w:color w:val="auto"/>
              </w:rPr>
            </w:pP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Development Plan</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3.1.1</w:t>
            </w:r>
          </w:p>
        </w:tc>
        <w:tc>
          <w:tcPr>
            <w:tcW w:w="4140" w:type="dxa"/>
            <w:vAlign w:val="bottom"/>
          </w:tcPr>
          <w:p>
            <w:pPr>
              <w:spacing w:after="0"/>
              <w:rPr>
                <w:sz w:val="21"/>
                <w:szCs w:val="21"/>
                <w:color w:val="auto"/>
              </w:rPr>
            </w:pP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Disclosing Party</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1.10</w:t>
            </w:r>
          </w:p>
        </w:tc>
        <w:tc>
          <w:tcPr>
            <w:tcW w:w="4140" w:type="dxa"/>
            <w:vAlign w:val="bottom"/>
          </w:tcPr>
          <w:p>
            <w:pPr>
              <w:spacing w:after="0"/>
              <w:rPr>
                <w:sz w:val="21"/>
                <w:szCs w:val="21"/>
                <w:color w:val="auto"/>
              </w:rPr>
            </w:pP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DUO Reimbursement Event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3.1.2.(c)(i)(1)</w:t>
            </w: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Effective Date</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Preamble</w:t>
            </w:r>
          </w:p>
        </w:tc>
      </w:tr>
      <w:tr>
        <w:trPr>
          <w:trHeight w:val="242"/>
        </w:trPr>
        <w:tc>
          <w:tcPr>
            <w:tcW w:w="940" w:type="dxa"/>
            <w:vAlign w:val="bottom"/>
          </w:tcPr>
          <w:p>
            <w:pPr>
              <w:spacing w:after="0"/>
              <w:rPr>
                <w:sz w:val="21"/>
                <w:szCs w:val="21"/>
                <w:color w:val="auto"/>
              </w:rPr>
            </w:pPr>
          </w:p>
        </w:tc>
        <w:tc>
          <w:tcPr>
            <w:tcW w:w="3940" w:type="dxa"/>
            <w:vAlign w:val="bottom"/>
            <w:gridSpan w:val="4"/>
          </w:tcPr>
          <w:p>
            <w:pPr>
              <w:spacing w:after="0" w:line="242" w:lineRule="exact"/>
              <w:rPr>
                <w:sz w:val="20"/>
                <w:szCs w:val="20"/>
                <w:color w:val="auto"/>
              </w:rPr>
            </w:pPr>
            <w:r>
              <w:rPr>
                <w:rFonts w:ascii="Arial" w:cs="Arial" w:eastAsia="Arial" w:hAnsi="Arial"/>
                <w:sz w:val="22"/>
                <w:szCs w:val="22"/>
                <w:color w:val="auto"/>
              </w:rPr>
              <w:t>Existing Confidentiality Agreement</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1.10</w:t>
            </w:r>
          </w:p>
        </w:tc>
        <w:tc>
          <w:tcPr>
            <w:tcW w:w="4140" w:type="dxa"/>
            <w:vAlign w:val="bottom"/>
          </w:tcPr>
          <w:p>
            <w:pPr>
              <w:spacing w:after="0"/>
              <w:rPr>
                <w:sz w:val="21"/>
                <w:szCs w:val="21"/>
                <w:color w:val="auto"/>
              </w:rPr>
            </w:pPr>
          </w:p>
        </w:tc>
      </w:tr>
      <w:tr>
        <w:trPr>
          <w:trHeight w:val="274"/>
        </w:trPr>
        <w:tc>
          <w:tcPr>
            <w:tcW w:w="940" w:type="dxa"/>
            <w:vAlign w:val="bottom"/>
          </w:tcPr>
          <w:p>
            <w:pPr>
              <w:spacing w:after="0"/>
              <w:rPr>
                <w:sz w:val="23"/>
                <w:szCs w:val="23"/>
                <w:color w:val="auto"/>
              </w:rPr>
            </w:pPr>
          </w:p>
        </w:tc>
        <w:tc>
          <w:tcPr>
            <w:tcW w:w="3940" w:type="dxa"/>
            <w:vAlign w:val="bottom"/>
            <w:gridSpan w:val="4"/>
          </w:tcPr>
          <w:p>
            <w:pPr>
              <w:spacing w:after="0"/>
              <w:rPr>
                <w:sz w:val="20"/>
                <w:szCs w:val="20"/>
                <w:color w:val="auto"/>
              </w:rPr>
            </w:pPr>
            <w:r>
              <w:rPr>
                <w:rFonts w:ascii="Arial" w:cs="Arial" w:eastAsia="Arial" w:hAnsi="Arial"/>
                <w:sz w:val="22"/>
                <w:szCs w:val="22"/>
                <w:color w:val="auto"/>
              </w:rPr>
              <w:t>Existing IPI-145 Product</w:t>
            </w:r>
          </w:p>
        </w:tc>
        <w:tc>
          <w:tcPr>
            <w:tcW w:w="5180" w:type="dxa"/>
            <w:vAlign w:val="bottom"/>
            <w:gridSpan w:val="3"/>
          </w:tcPr>
          <w:p>
            <w:pPr>
              <w:ind w:left="300"/>
              <w:spacing w:after="0"/>
              <w:rPr>
                <w:sz w:val="20"/>
                <w:szCs w:val="20"/>
                <w:color w:val="auto"/>
              </w:rPr>
            </w:pPr>
            <w:r>
              <w:rPr>
                <w:rFonts w:ascii="Arial" w:cs="Arial" w:eastAsia="Arial" w:hAnsi="Arial"/>
                <w:sz w:val="22"/>
                <w:szCs w:val="22"/>
                <w:color w:val="auto"/>
              </w:rPr>
              <w:t>6.1.1(d)</w:t>
            </w:r>
          </w:p>
        </w:tc>
      </w:tr>
      <w:tr>
        <w:trPr>
          <w:trHeight w:val="458"/>
        </w:trPr>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1040" w:type="dxa"/>
            <w:vAlign w:val="bottom"/>
            <w:gridSpan w:val="2"/>
          </w:tcPr>
          <w:p>
            <w:pPr>
              <w:ind w:left="40"/>
              <w:spacing w:after="0"/>
              <w:rPr>
                <w:sz w:val="20"/>
                <w:szCs w:val="20"/>
                <w:color w:val="auto"/>
              </w:rPr>
            </w:pPr>
            <w:r>
              <w:rPr>
                <w:rFonts w:ascii="Arial" w:cs="Arial" w:eastAsia="Arial" w:hAnsi="Arial"/>
                <w:sz w:val="22"/>
                <w:szCs w:val="22"/>
                <w:color w:val="auto"/>
              </w:rPr>
              <w:t>13 -</w:t>
            </w:r>
          </w:p>
        </w:tc>
        <w:tc>
          <w:tcPr>
            <w:tcW w:w="4140" w:type="dxa"/>
            <w:vAlign w:val="bottom"/>
          </w:tcPr>
          <w:p>
            <w:pPr>
              <w:spacing w:after="0"/>
              <w:rPr>
                <w:sz w:val="24"/>
                <w:szCs w:val="24"/>
                <w:color w:val="auto"/>
              </w:rPr>
            </w:pPr>
          </w:p>
        </w:tc>
      </w:tr>
      <w:tr>
        <w:trPr>
          <w:trHeight w:val="118"/>
        </w:trPr>
        <w:tc>
          <w:tcPr>
            <w:tcW w:w="9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12" w:right="919" w:bottom="1440" w:gutter="0" w:footer="0" w:header="0"/>
        </w:sectPr>
      </w:pPr>
    </w:p>
    <w:bookmarkStart w:id="159" w:name="page160"/>
    <w:bookmarkEnd w:id="159"/>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22"/>
                <w:szCs w:val="22"/>
                <w:b w:val="1"/>
                <w:bCs w:val="1"/>
                <w:color w:val="auto"/>
              </w:rPr>
              <w:t>Definition:</w:t>
            </w:r>
          </w:p>
        </w:tc>
        <w:tc>
          <w:tcPr>
            <w:tcW w:w="5180" w:type="dxa"/>
            <w:vAlign w:val="bottom"/>
            <w:gridSpan w:val="3"/>
          </w:tcPr>
          <w:p>
            <w:pPr>
              <w:ind w:left="300"/>
              <w:spacing w:after="0"/>
              <w:rPr>
                <w:sz w:val="20"/>
                <w:szCs w:val="20"/>
                <w:color w:val="auto"/>
              </w:rPr>
            </w:pPr>
            <w:r>
              <w:rPr>
                <w:rFonts w:ascii="Arial" w:cs="Arial" w:eastAsia="Arial" w:hAnsi="Arial"/>
                <w:sz w:val="22"/>
                <w:szCs w:val="22"/>
                <w:b w:val="1"/>
                <w:bCs w:val="1"/>
                <w:color w:val="auto"/>
              </w:rPr>
              <w:t>Section:</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940" w:type="dxa"/>
            <w:vAlign w:val="bottom"/>
          </w:tcPr>
          <w:p>
            <w:pPr>
              <w:spacing w:after="0"/>
              <w:rPr>
                <w:sz w:val="24"/>
                <w:szCs w:val="24"/>
                <w:color w:val="auto"/>
              </w:rPr>
            </w:pPr>
          </w:p>
        </w:tc>
        <w:tc>
          <w:tcPr>
            <w:tcW w:w="3940" w:type="dxa"/>
            <w:vAlign w:val="bottom"/>
            <w:gridSpan w:val="2"/>
            <w:vMerge w:val="restart"/>
          </w:tcPr>
          <w:p>
            <w:pPr>
              <w:spacing w:after="0"/>
              <w:rPr>
                <w:sz w:val="20"/>
                <w:szCs w:val="20"/>
                <w:color w:val="auto"/>
              </w:rPr>
            </w:pPr>
            <w:r>
              <w:rPr>
                <w:rFonts w:ascii="Arial" w:cs="Arial" w:eastAsia="Arial" w:hAnsi="Arial"/>
                <w:sz w:val="22"/>
                <w:szCs w:val="22"/>
                <w:color w:val="auto"/>
              </w:rPr>
              <w:t>Existing Patents</w:t>
            </w:r>
          </w:p>
        </w:tc>
        <w:tc>
          <w:tcPr>
            <w:tcW w:w="1040" w:type="dxa"/>
            <w:vAlign w:val="bottom"/>
            <w:gridSpan w:val="2"/>
          </w:tcPr>
          <w:p>
            <w:pPr>
              <w:ind w:left="300"/>
              <w:spacing w:after="0"/>
              <w:rPr>
                <w:sz w:val="20"/>
                <w:szCs w:val="20"/>
                <w:color w:val="auto"/>
              </w:rPr>
            </w:pPr>
            <w:r>
              <w:rPr>
                <w:rFonts w:ascii="Arial" w:cs="Arial" w:eastAsia="Arial" w:hAnsi="Arial"/>
                <w:sz w:val="22"/>
                <w:szCs w:val="22"/>
                <w:color w:val="auto"/>
              </w:rPr>
              <w:t>9.2.4</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40" w:type="dxa"/>
            <w:vAlign w:val="bottom"/>
          </w:tcPr>
          <w:p>
            <w:pPr>
              <w:spacing w:after="0"/>
              <w:rPr>
                <w:sz w:val="15"/>
                <w:szCs w:val="15"/>
                <w:color w:val="auto"/>
              </w:rPr>
            </w:pPr>
          </w:p>
        </w:tc>
        <w:tc>
          <w:tcPr>
            <w:tcW w:w="39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Headlicense Breach</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2.5.5</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Holdback Payment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3.1.2(b)</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Indemnified Party</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10.3</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Indemnifying Party</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10.3</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Independent Auditor</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6.6</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INFI</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INFI Acquirer</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12.6.1</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INFI Pre-Existing Affiliates</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12.6.1</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Initiating Party</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7.6</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INK</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1.37</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INK Mark</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7.8.1</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Infringed Patent Right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6.1.1(d)</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Insurance Period</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10.6.1</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Joint Know-How</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7.2</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Joint Patent Rights</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7.2</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Licensee</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Licensee Common Stock</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3.1.2(c)(ii)</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Licensee Acquirer</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12.6.2</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Licensee Pre-Existing Affiliates</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12.6.2</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Losses</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10.1</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MICL</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1.56</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MICL Repayment Amount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6.1.3(b)(i)</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MICL Royalty Payment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6.1.3(b)(i)</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MICL Trailing Royalty Payment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6.1.3(c)</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Non-Breaching Party</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11.2</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Paragraph IV Certification</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7.4</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Party or Parties</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Patent Term Extensions</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7.9.1</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Product Mark</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2.5.1</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Prosecution Patent Rights</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7.3.1(a)</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Purdue</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1.56</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Purdue Repayment Amount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6.1.3(b)(ii)</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Purdue Royalty Payment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6.1.3(b)(ii)</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Receiving Party</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1.11</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Registration Statement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3.1.2(c)(iv)</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Reimbursable Amount</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3.1.2(c)(i)</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Reimbursement Announcement Date</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3.1.2(c)(i)</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Reimbursement Notice</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3.1.2(c)(i)</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Representatives</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8.2.1</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Reviewing Party</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8.5</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Royalty Termination Date</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6.1.1(b)</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SEC</w:t>
            </w:r>
          </w:p>
        </w:tc>
        <w:tc>
          <w:tcPr>
            <w:tcW w:w="5180" w:type="dxa"/>
            <w:vAlign w:val="bottom"/>
            <w:gridSpan w:val="3"/>
          </w:tcPr>
          <w:p>
            <w:pPr>
              <w:ind w:left="300"/>
              <w:spacing w:after="0" w:line="242" w:lineRule="exact"/>
              <w:rPr>
                <w:sz w:val="20"/>
                <w:szCs w:val="20"/>
                <w:color w:val="auto"/>
              </w:rPr>
            </w:pPr>
            <w:r>
              <w:rPr>
                <w:rFonts w:ascii="Arial" w:cs="Arial" w:eastAsia="Arial" w:hAnsi="Arial"/>
                <w:sz w:val="22"/>
                <w:szCs w:val="22"/>
                <w:color w:val="auto"/>
              </w:rPr>
              <w:t>3.1.2(c)(iv)</w:t>
            </w: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3940" w:type="dxa"/>
            <w:vAlign w:val="bottom"/>
            <w:gridSpan w:val="2"/>
          </w:tcPr>
          <w:p>
            <w:pPr>
              <w:spacing w:after="0" w:line="242" w:lineRule="exact"/>
              <w:rPr>
                <w:sz w:val="20"/>
                <w:szCs w:val="20"/>
                <w:color w:val="auto"/>
              </w:rPr>
            </w:pPr>
            <w:r>
              <w:rPr>
                <w:rFonts w:ascii="Arial" w:cs="Arial" w:eastAsia="Arial" w:hAnsi="Arial"/>
                <w:sz w:val="22"/>
                <w:szCs w:val="22"/>
                <w:color w:val="auto"/>
              </w:rPr>
              <w:t>SEC Financial Statements</w:t>
            </w:r>
          </w:p>
        </w:tc>
        <w:tc>
          <w:tcPr>
            <w:tcW w:w="1040" w:type="dxa"/>
            <w:vAlign w:val="bottom"/>
            <w:gridSpan w:val="2"/>
          </w:tcPr>
          <w:p>
            <w:pPr>
              <w:ind w:left="300"/>
              <w:spacing w:after="0" w:line="242" w:lineRule="exact"/>
              <w:rPr>
                <w:sz w:val="20"/>
                <w:szCs w:val="20"/>
                <w:color w:val="auto"/>
              </w:rPr>
            </w:pPr>
            <w:r>
              <w:rPr>
                <w:rFonts w:ascii="Arial" w:cs="Arial" w:eastAsia="Arial" w:hAnsi="Arial"/>
                <w:sz w:val="22"/>
                <w:szCs w:val="22"/>
                <w:color w:val="auto"/>
              </w:rPr>
              <w:t>6.6</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940" w:type="dxa"/>
            <w:vAlign w:val="bottom"/>
          </w:tcPr>
          <w:p>
            <w:pPr>
              <w:spacing w:after="0"/>
              <w:rPr>
                <w:sz w:val="23"/>
                <w:szCs w:val="23"/>
                <w:color w:val="auto"/>
              </w:rPr>
            </w:pPr>
          </w:p>
        </w:tc>
        <w:tc>
          <w:tcPr>
            <w:tcW w:w="3940" w:type="dxa"/>
            <w:vAlign w:val="bottom"/>
            <w:gridSpan w:val="2"/>
          </w:tcPr>
          <w:p>
            <w:pPr>
              <w:spacing w:after="0"/>
              <w:rPr>
                <w:sz w:val="20"/>
                <w:szCs w:val="20"/>
                <w:color w:val="auto"/>
              </w:rPr>
            </w:pPr>
            <w:r>
              <w:rPr>
                <w:rFonts w:ascii="Arial" w:cs="Arial" w:eastAsia="Arial" w:hAnsi="Arial"/>
                <w:sz w:val="22"/>
                <w:szCs w:val="22"/>
                <w:color w:val="auto"/>
              </w:rPr>
              <w:t>Securities Act</w:t>
            </w:r>
          </w:p>
        </w:tc>
        <w:tc>
          <w:tcPr>
            <w:tcW w:w="5180" w:type="dxa"/>
            <w:vAlign w:val="bottom"/>
            <w:gridSpan w:val="3"/>
          </w:tcPr>
          <w:p>
            <w:pPr>
              <w:ind w:left="300"/>
              <w:spacing w:after="0"/>
              <w:rPr>
                <w:sz w:val="20"/>
                <w:szCs w:val="20"/>
                <w:color w:val="auto"/>
              </w:rPr>
            </w:pPr>
            <w:r>
              <w:rPr>
                <w:rFonts w:ascii="Arial" w:cs="Arial" w:eastAsia="Arial" w:hAnsi="Arial"/>
                <w:sz w:val="22"/>
                <w:szCs w:val="22"/>
                <w:color w:val="auto"/>
              </w:rPr>
              <w:t>3.1.2(c)(ii)</w:t>
            </w:r>
          </w:p>
        </w:tc>
        <w:tc>
          <w:tcPr>
            <w:tcW w:w="0" w:type="dxa"/>
            <w:vAlign w:val="bottom"/>
          </w:tcPr>
          <w:p>
            <w:pPr>
              <w:spacing w:after="0"/>
              <w:rPr>
                <w:sz w:val="1"/>
                <w:szCs w:val="1"/>
                <w:color w:val="auto"/>
              </w:rPr>
            </w:pPr>
          </w:p>
        </w:tc>
      </w:tr>
      <w:tr>
        <w:trPr>
          <w:trHeight w:val="458"/>
        </w:trPr>
        <w:tc>
          <w:tcPr>
            <w:tcW w:w="488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1040" w:type="dxa"/>
            <w:vAlign w:val="bottom"/>
            <w:gridSpan w:val="2"/>
          </w:tcPr>
          <w:p>
            <w:pPr>
              <w:ind w:left="40"/>
              <w:spacing w:after="0"/>
              <w:rPr>
                <w:sz w:val="20"/>
                <w:szCs w:val="20"/>
                <w:color w:val="auto"/>
              </w:rPr>
            </w:pPr>
            <w:r>
              <w:rPr>
                <w:rFonts w:ascii="Arial" w:cs="Arial" w:eastAsia="Arial" w:hAnsi="Arial"/>
                <w:sz w:val="22"/>
                <w:szCs w:val="22"/>
                <w:color w:val="auto"/>
              </w:rPr>
              <w:t>14 -</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12" w:right="919" w:bottom="1440" w:gutter="0" w:footer="0" w:header="0"/>
        </w:sectPr>
      </w:pPr>
    </w:p>
    <w:bookmarkStart w:id="160" w:name="page161"/>
    <w:bookmarkEnd w:id="160"/>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54"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3500" w:type="dxa"/>
            <w:vAlign w:val="bottom"/>
            <w:gridSpan w:val="2"/>
          </w:tcPr>
          <w:p>
            <w:pPr>
              <w:spacing w:after="0"/>
              <w:rPr>
                <w:sz w:val="20"/>
                <w:szCs w:val="20"/>
                <w:color w:val="auto"/>
              </w:rPr>
            </w:pPr>
            <w:r>
              <w:rPr>
                <w:rFonts w:ascii="Arial" w:cs="Arial" w:eastAsia="Arial" w:hAnsi="Arial"/>
                <w:sz w:val="22"/>
                <w:szCs w:val="22"/>
                <w:b w:val="1"/>
                <w:bCs w:val="1"/>
                <w:color w:val="auto"/>
              </w:rPr>
              <w:t>Definition:</w:t>
            </w:r>
          </w:p>
        </w:tc>
        <w:tc>
          <w:tcPr>
            <w:tcW w:w="1540" w:type="dxa"/>
            <w:vAlign w:val="bottom"/>
            <w:gridSpan w:val="3"/>
          </w:tcPr>
          <w:p>
            <w:pPr>
              <w:ind w:left="740"/>
              <w:spacing w:after="0"/>
              <w:rPr>
                <w:sz w:val="20"/>
                <w:szCs w:val="20"/>
                <w:color w:val="auto"/>
              </w:rPr>
            </w:pPr>
            <w:r>
              <w:rPr>
                <w:rFonts w:ascii="Arial" w:cs="Arial" w:eastAsia="Arial" w:hAnsi="Arial"/>
                <w:sz w:val="22"/>
                <w:szCs w:val="22"/>
                <w:b w:val="1"/>
                <w:bCs w:val="1"/>
                <w:color w:val="auto"/>
                <w:w w:val="89"/>
              </w:rPr>
              <w:t>Section:</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500" w:type="dxa"/>
            <w:vAlign w:val="bottom"/>
            <w:gridSpan w:val="2"/>
            <w:vMerge w:val="restart"/>
          </w:tcPr>
          <w:p>
            <w:pPr>
              <w:spacing w:after="0"/>
              <w:rPr>
                <w:sz w:val="20"/>
                <w:szCs w:val="20"/>
                <w:color w:val="auto"/>
              </w:rPr>
            </w:pPr>
            <w:r>
              <w:rPr>
                <w:rFonts w:ascii="Arial" w:cs="Arial" w:eastAsia="Arial" w:hAnsi="Arial"/>
                <w:sz w:val="22"/>
                <w:szCs w:val="22"/>
                <w:color w:val="auto"/>
              </w:rPr>
              <w:t>Superseded Agreement</w:t>
            </w:r>
          </w:p>
        </w:tc>
        <w:tc>
          <w:tcPr>
            <w:tcW w:w="1540" w:type="dxa"/>
            <w:vAlign w:val="bottom"/>
            <w:gridSpan w:val="3"/>
          </w:tcPr>
          <w:p>
            <w:pPr>
              <w:ind w:left="740"/>
              <w:spacing w:after="0"/>
              <w:rPr>
                <w:sz w:val="20"/>
                <w:szCs w:val="20"/>
                <w:color w:val="auto"/>
              </w:rPr>
            </w:pPr>
            <w:r>
              <w:rPr>
                <w:rFonts w:ascii="Arial" w:cs="Arial" w:eastAsia="Arial" w:hAnsi="Arial"/>
                <w:sz w:val="22"/>
                <w:szCs w:val="22"/>
                <w:color w:val="auto"/>
                <w:w w:val="82"/>
              </w:rPr>
              <w:t>Preamble</w:t>
            </w:r>
          </w:p>
        </w:tc>
        <w:tc>
          <w:tcPr>
            <w:tcW w:w="0" w:type="dxa"/>
            <w:vAlign w:val="bottom"/>
          </w:tcPr>
          <w:p>
            <w:pPr>
              <w:spacing w:after="0"/>
              <w:rPr>
                <w:sz w:val="1"/>
                <w:szCs w:val="1"/>
                <w:color w:val="auto"/>
              </w:rPr>
            </w:pPr>
          </w:p>
        </w:tc>
      </w:tr>
      <w:tr>
        <w:trPr>
          <w:trHeight w:val="184"/>
        </w:trPr>
        <w:tc>
          <w:tcPr>
            <w:tcW w:w="35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500" w:type="dxa"/>
            <w:vAlign w:val="bottom"/>
            <w:gridSpan w:val="2"/>
          </w:tcPr>
          <w:p>
            <w:pPr>
              <w:spacing w:after="0" w:line="242" w:lineRule="exact"/>
              <w:rPr>
                <w:sz w:val="20"/>
                <w:szCs w:val="20"/>
                <w:color w:val="auto"/>
              </w:rPr>
            </w:pPr>
            <w:r>
              <w:rPr>
                <w:rFonts w:ascii="Arial" w:cs="Arial" w:eastAsia="Arial" w:hAnsi="Arial"/>
                <w:sz w:val="22"/>
                <w:szCs w:val="22"/>
                <w:color w:val="auto"/>
              </w:rPr>
              <w:t>Term</w:t>
            </w:r>
          </w:p>
        </w:tc>
        <w:tc>
          <w:tcPr>
            <w:tcW w:w="1480" w:type="dxa"/>
            <w:vAlign w:val="bottom"/>
            <w:gridSpan w:val="2"/>
          </w:tcPr>
          <w:p>
            <w:pPr>
              <w:ind w:left="740"/>
              <w:spacing w:after="0" w:line="242" w:lineRule="exact"/>
              <w:rPr>
                <w:sz w:val="20"/>
                <w:szCs w:val="20"/>
                <w:color w:val="auto"/>
              </w:rPr>
            </w:pPr>
            <w:r>
              <w:rPr>
                <w:rFonts w:ascii="Arial" w:cs="Arial" w:eastAsia="Arial" w:hAnsi="Arial"/>
                <w:sz w:val="22"/>
                <w:szCs w:val="22"/>
                <w:color w:val="auto"/>
              </w:rPr>
              <w:t>11.1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00" w:type="dxa"/>
            <w:vAlign w:val="bottom"/>
            <w:gridSpan w:val="2"/>
          </w:tcPr>
          <w:p>
            <w:pPr>
              <w:spacing w:after="0" w:line="242" w:lineRule="exact"/>
              <w:rPr>
                <w:sz w:val="20"/>
                <w:szCs w:val="20"/>
                <w:color w:val="auto"/>
              </w:rPr>
            </w:pPr>
            <w:r>
              <w:rPr>
                <w:rFonts w:ascii="Arial" w:cs="Arial" w:eastAsia="Arial" w:hAnsi="Arial"/>
                <w:sz w:val="22"/>
                <w:szCs w:val="22"/>
                <w:color w:val="auto"/>
              </w:rPr>
              <w:t>Third Party Infringement</w:t>
            </w:r>
          </w:p>
        </w:tc>
        <w:tc>
          <w:tcPr>
            <w:tcW w:w="1480" w:type="dxa"/>
            <w:vAlign w:val="bottom"/>
            <w:gridSpan w:val="2"/>
          </w:tcPr>
          <w:p>
            <w:pPr>
              <w:ind w:left="740"/>
              <w:spacing w:after="0" w:line="242" w:lineRule="exact"/>
              <w:rPr>
                <w:sz w:val="20"/>
                <w:szCs w:val="20"/>
                <w:color w:val="auto"/>
              </w:rPr>
            </w:pPr>
            <w:r>
              <w:rPr>
                <w:rFonts w:ascii="Arial" w:cs="Arial" w:eastAsia="Arial" w:hAnsi="Arial"/>
                <w:sz w:val="22"/>
                <w:szCs w:val="22"/>
                <w:color w:val="auto"/>
              </w:rPr>
              <w:t>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00" w:type="dxa"/>
            <w:vAlign w:val="bottom"/>
            <w:gridSpan w:val="2"/>
          </w:tcPr>
          <w:p>
            <w:pPr>
              <w:spacing w:after="0" w:line="242" w:lineRule="exact"/>
              <w:rPr>
                <w:sz w:val="20"/>
                <w:szCs w:val="20"/>
                <w:color w:val="auto"/>
              </w:rPr>
            </w:pPr>
            <w:r>
              <w:rPr>
                <w:rFonts w:ascii="Arial" w:cs="Arial" w:eastAsia="Arial" w:hAnsi="Arial"/>
                <w:sz w:val="22"/>
                <w:szCs w:val="22"/>
                <w:color w:val="auto"/>
              </w:rPr>
              <w:t>Transition Plan</w:t>
            </w:r>
          </w:p>
        </w:tc>
        <w:tc>
          <w:tcPr>
            <w:tcW w:w="1480" w:type="dxa"/>
            <w:vAlign w:val="bottom"/>
            <w:gridSpan w:val="2"/>
          </w:tcPr>
          <w:p>
            <w:pPr>
              <w:ind w:left="740"/>
              <w:spacing w:after="0" w:line="242" w:lineRule="exact"/>
              <w:rPr>
                <w:sz w:val="20"/>
                <w:szCs w:val="20"/>
                <w:color w:val="auto"/>
              </w:rPr>
            </w:pPr>
            <w:r>
              <w:rPr>
                <w:rFonts w:ascii="Arial" w:cs="Arial" w:eastAsia="Arial" w:hAnsi="Arial"/>
                <w:sz w:val="22"/>
                <w:szCs w:val="22"/>
                <w:color w:val="auto"/>
              </w:rPr>
              <w:t>3.2.1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00" w:type="dxa"/>
            <w:vAlign w:val="bottom"/>
            <w:gridSpan w:val="2"/>
          </w:tcPr>
          <w:p>
            <w:pPr>
              <w:spacing w:after="0" w:line="242" w:lineRule="exact"/>
              <w:rPr>
                <w:sz w:val="20"/>
                <w:szCs w:val="20"/>
                <w:color w:val="auto"/>
              </w:rPr>
            </w:pPr>
            <w:r>
              <w:rPr>
                <w:rFonts w:ascii="Arial" w:cs="Arial" w:eastAsia="Arial" w:hAnsi="Arial"/>
                <w:sz w:val="22"/>
                <w:szCs w:val="22"/>
                <w:color w:val="auto"/>
              </w:rPr>
              <w:t>Transition Period</w:t>
            </w:r>
          </w:p>
        </w:tc>
        <w:tc>
          <w:tcPr>
            <w:tcW w:w="1480" w:type="dxa"/>
            <w:vAlign w:val="bottom"/>
            <w:gridSpan w:val="2"/>
          </w:tcPr>
          <w:p>
            <w:pPr>
              <w:ind w:left="740"/>
              <w:spacing w:after="0" w:line="242" w:lineRule="exact"/>
              <w:rPr>
                <w:sz w:val="20"/>
                <w:szCs w:val="20"/>
                <w:color w:val="auto"/>
              </w:rPr>
            </w:pPr>
            <w:r>
              <w:rPr>
                <w:rFonts w:ascii="Arial" w:cs="Arial" w:eastAsia="Arial" w:hAnsi="Arial"/>
                <w:sz w:val="22"/>
                <w:szCs w:val="22"/>
                <w:color w:val="auto"/>
              </w:rPr>
              <w:t>3.2.1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00" w:type="dxa"/>
            <w:vAlign w:val="bottom"/>
            <w:gridSpan w:val="2"/>
          </w:tcPr>
          <w:p>
            <w:pPr>
              <w:spacing w:after="0" w:line="242" w:lineRule="exact"/>
              <w:rPr>
                <w:sz w:val="20"/>
                <w:szCs w:val="20"/>
                <w:color w:val="auto"/>
              </w:rPr>
            </w:pPr>
            <w:r>
              <w:rPr>
                <w:rFonts w:ascii="Arial" w:cs="Arial" w:eastAsia="Arial" w:hAnsi="Arial"/>
                <w:sz w:val="22"/>
                <w:szCs w:val="22"/>
                <w:color w:val="auto"/>
              </w:rPr>
              <w:t>Unaudited Financial Statements</w:t>
            </w:r>
          </w:p>
        </w:tc>
        <w:tc>
          <w:tcPr>
            <w:tcW w:w="1480" w:type="dxa"/>
            <w:vAlign w:val="bottom"/>
            <w:gridSpan w:val="2"/>
          </w:tcPr>
          <w:p>
            <w:pPr>
              <w:ind w:left="740"/>
              <w:spacing w:after="0" w:line="242" w:lineRule="exact"/>
              <w:rPr>
                <w:sz w:val="20"/>
                <w:szCs w:val="20"/>
                <w:color w:val="auto"/>
              </w:rPr>
            </w:pPr>
            <w:r>
              <w:rPr>
                <w:rFonts w:ascii="Arial" w:cs="Arial" w:eastAsia="Arial" w:hAnsi="Arial"/>
                <w:sz w:val="22"/>
                <w:szCs w:val="22"/>
                <w:color w:val="auto"/>
              </w:rPr>
              <w:t>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500" w:type="dxa"/>
            <w:vAlign w:val="bottom"/>
            <w:gridSpan w:val="2"/>
          </w:tcPr>
          <w:p>
            <w:pPr>
              <w:spacing w:after="0"/>
              <w:rPr>
                <w:sz w:val="20"/>
                <w:szCs w:val="20"/>
                <w:color w:val="auto"/>
              </w:rPr>
            </w:pPr>
            <w:r>
              <w:rPr>
                <w:rFonts w:ascii="Arial" w:cs="Arial" w:eastAsia="Arial" w:hAnsi="Arial"/>
                <w:sz w:val="22"/>
                <w:szCs w:val="22"/>
                <w:color w:val="auto"/>
              </w:rPr>
              <w:t>U.S. GAAP</w:t>
            </w:r>
          </w:p>
        </w:tc>
        <w:tc>
          <w:tcPr>
            <w:tcW w:w="1480" w:type="dxa"/>
            <w:vAlign w:val="bottom"/>
            <w:gridSpan w:val="2"/>
          </w:tcPr>
          <w:p>
            <w:pPr>
              <w:ind w:left="740"/>
              <w:spacing w:after="0"/>
              <w:rPr>
                <w:sz w:val="20"/>
                <w:szCs w:val="20"/>
                <w:color w:val="auto"/>
              </w:rPr>
            </w:pPr>
            <w:r>
              <w:rPr>
                <w:rFonts w:ascii="Arial" w:cs="Arial" w:eastAsia="Arial" w:hAnsi="Arial"/>
                <w:sz w:val="22"/>
                <w:szCs w:val="22"/>
                <w:color w:val="auto"/>
              </w:rPr>
              <w:t>1.58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RIGHTS</w:t>
      </w:r>
    </w:p>
    <w:p>
      <w:pPr>
        <w:spacing w:after="0" w:line="187"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License Grant to Licensee</w:t>
      </w:r>
      <w:r>
        <w:rPr>
          <w:rFonts w:ascii="Arial" w:cs="Arial" w:eastAsia="Arial" w:hAnsi="Arial"/>
          <w:sz w:val="20"/>
          <w:szCs w:val="20"/>
          <w:color w:val="auto"/>
        </w:rPr>
        <w:t xml:space="preserve">. During the Term, subject to the terms and conditions of this Agreement, INFI hereby grants Licensee an exclusive (exclusive even with respect to INFI), royalty-bearing, non-transferable (except in accordance with Section 12.5) license, with the right to sublicense (subject to Section 2.2), under the Duvelisib IP to Research, Develop, Manufacture, Commercialize and import the IPI-145 Compound and IPI-145 Products in the Territory in the Field. For the avoidance of doubt, the license set forth in this Section 2.1 includes exclusive rights with respect to IPI-145 Products that are Combination Products;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nothing set forth in this this Agreement shall grant Licensee the right to Research, perform medicinal chemistry on, Develop, Manufacture, Commercialize or import any Compound (other than the IPI-145 Compound) that is claimed or covered by, or embodies, any Patent Right or Know-How owned by or licensed to INFI or any of its Affiliates. With respect to any exclusive license granted to Licensee under this Agreement, “exclusive” means exclusive to Licensee (even with respect INFI and its Affiliates), except for (a) non-exclusive licenses granted by INFI to Third Parties under INFI Product Related Contracts that will not adversely affect Licensee’s ability to Research, Develop, Manufacture and Commercialize the IPI-145 Product in accordance with this Agreement, and (b) any limitations on the rights granted to INFI by any applicable Third Party Grantor in the INFI Third Party Agreements as of the Effective Date (or as amended thereafter to the extent permitted by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61" w:name="page162"/>
    <w:bookmarkEnd w:id="161"/>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4"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8"/>
          <w:szCs w:val="18"/>
          <w:u w:val="single" w:color="auto"/>
          <w:color w:val="auto"/>
        </w:rPr>
        <w:t>Sublicenses</w:t>
      </w:r>
      <w:r>
        <w:rPr>
          <w:rFonts w:ascii="Arial" w:cs="Arial" w:eastAsia="Arial" w:hAnsi="Arial"/>
          <w:sz w:val="18"/>
          <w:szCs w:val="18"/>
          <w:color w:val="auto"/>
        </w:rPr>
        <w:t>.</w:t>
      </w:r>
    </w:p>
    <w:p>
      <w:pPr>
        <w:spacing w:after="0" w:line="205"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 xml:space="preserve">2.2.1 Licensee shall have the right to grant sublicenses within the scope of the license under Section 2.1;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any sublicense agreement shall be in writing and shall be consistent with the relevant restrictions and limitations set forth in this Agreement.</w:t>
      </w:r>
    </w:p>
    <w:p>
      <w:pPr>
        <w:spacing w:after="0" w:line="186"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2.2.2 Licensee shall be liable for the failure of any of the Sublicensees to comply with the relevant obligations under this Agreement and shall, at its own cost, use Diligent Efforts to enforce compliance by the Sublicensees with the terms of the sublicense agreement.</w:t>
      </w:r>
    </w:p>
    <w:p>
      <w:pPr>
        <w:spacing w:after="0" w:line="186"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License Grant to INFI</w:t>
      </w:r>
      <w:r>
        <w:rPr>
          <w:rFonts w:ascii="Arial" w:cs="Arial" w:eastAsia="Arial" w:hAnsi="Arial"/>
          <w:sz w:val="20"/>
          <w:szCs w:val="20"/>
          <w:color w:val="auto"/>
        </w:rPr>
        <w:t xml:space="preserve">. Subject to the terms and conditions of this Agreement, Licensee hereby grants to INFI a non-exclusive, perpetual, sublicensable (through multiple tiers), fully-paid up, worldwide, royalty-free license under the Licensee IP to Research (including to perform medicinal chemistry), Develop, Manufacture and Commercialize Compounds that are Target Inhibitors and Products that contain one or more of such Compounds, </w:t>
      </w:r>
      <w:r>
        <w:rPr>
          <w:rFonts w:ascii="Arial" w:cs="Arial" w:eastAsia="Arial" w:hAnsi="Arial"/>
          <w:sz w:val="20"/>
          <w:szCs w:val="20"/>
          <w:u w:val="single" w:color="auto"/>
          <w:color w:val="auto"/>
        </w:rPr>
        <w:t>except that</w:t>
      </w:r>
      <w:r>
        <w:rPr>
          <w:rFonts w:ascii="Arial" w:cs="Arial" w:eastAsia="Arial" w:hAnsi="Arial"/>
          <w:sz w:val="20"/>
          <w:szCs w:val="20"/>
          <w:color w:val="auto"/>
        </w:rPr>
        <w:t>, (a) such license does not extend to any Compound or Product that is Controlled by Licensee, its Affiliates, licensees or Sublicensees as of the Effective Date, and (b) during the Term, such license does not extend to the IPI-145 Compound or IPI-145 Products.</w:t>
      </w:r>
    </w:p>
    <w:p>
      <w:pPr>
        <w:spacing w:after="0" w:line="16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INFI Third Party Agreements</w:t>
      </w:r>
      <w:r>
        <w:rPr>
          <w:rFonts w:ascii="Arial" w:cs="Arial" w:eastAsia="Arial" w:hAnsi="Arial"/>
          <w:sz w:val="19"/>
          <w:szCs w:val="19"/>
          <w:color w:val="auto"/>
        </w:rPr>
        <w:t>.</w:t>
      </w:r>
    </w:p>
    <w:p>
      <w:pPr>
        <w:spacing w:after="0" w:line="205" w:lineRule="exact"/>
        <w:rPr>
          <w:sz w:val="20"/>
          <w:szCs w:val="20"/>
          <w:color w:val="auto"/>
        </w:rPr>
      </w:pPr>
    </w:p>
    <w:p>
      <w:pPr>
        <w:jc w:val="both"/>
        <w:ind w:firstLine="1292"/>
        <w:spacing w:after="0" w:line="234" w:lineRule="auto"/>
        <w:rPr>
          <w:sz w:val="20"/>
          <w:szCs w:val="20"/>
          <w:color w:val="auto"/>
        </w:rPr>
      </w:pPr>
      <w:r>
        <w:rPr>
          <w:rFonts w:ascii="Arial" w:cs="Arial" w:eastAsia="Arial" w:hAnsi="Arial"/>
          <w:sz w:val="22"/>
          <w:szCs w:val="22"/>
          <w:color w:val="auto"/>
        </w:rPr>
        <w:t>2.4.1 Licensee acknowledges and agrees, subject to the accuracy of the representations and warranties contained in Section 9.2.9, that (a) it has received a copy of the INFI Third Party Agreements existing as of the Effective Date and (b) all rights granted to and obligations of Licensee hereunder are subject to the terms and conditions of the INFI Third Party Agreements. Licensee acknowledges that the Third Party Grantors retain, and the activities conducted by Licensee, its Affiliates and the Sublicensees pursuant to this Agreement shall not limit, the Third Party Grantors’ rights with respect to the Know-How and Patent Rights as set forth in the INFI Third Party Agreements.</w:t>
      </w:r>
    </w:p>
    <w:p>
      <w:pPr>
        <w:spacing w:after="0" w:line="185" w:lineRule="exact"/>
        <w:rPr>
          <w:sz w:val="20"/>
          <w:szCs w:val="20"/>
          <w:color w:val="auto"/>
        </w:rPr>
      </w:pPr>
    </w:p>
    <w:p>
      <w:pPr>
        <w:jc w:val="both"/>
        <w:ind w:firstLine="1292"/>
        <w:spacing w:after="0" w:line="237" w:lineRule="auto"/>
        <w:rPr>
          <w:sz w:val="20"/>
          <w:szCs w:val="20"/>
          <w:color w:val="auto"/>
        </w:rPr>
      </w:pPr>
      <w:r>
        <w:rPr>
          <w:rFonts w:ascii="Arial" w:cs="Arial" w:eastAsia="Arial" w:hAnsi="Arial"/>
          <w:sz w:val="22"/>
          <w:szCs w:val="22"/>
          <w:color w:val="auto"/>
        </w:rPr>
        <w:t>2.4.2 Licensee shall, and shall cause its Affiliates and Sublicensees to, comply in all material respects with the INFI Third Party Agreements and take any action reasonably requested by INFI to prevent any potential material breach by Licensee, its Affiliates or Sublicensees of any applicable term of any INFI Third Party Agreements.</w:t>
      </w:r>
    </w:p>
    <w:p>
      <w:pPr>
        <w:spacing w:after="0" w:line="185"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20"/>
          <w:szCs w:val="20"/>
          <w:color w:val="auto"/>
        </w:rPr>
        <w:t>2.4.3 INFI shall not, without Licensee’s prior written consent (which shall not be unreasonably withheld), terminate, or enter into any amendment to, any INFI Third Party Agreement which termination or amendment would have an adverse effect, in any material respect, on Licensee’s rights or obligations under this Agreement or on the Research, Development, Manufacture or Commercialization of the IPI-145 Compound or IPI-145 Products as contemplated hereunder. To the extent permitted under the relevant INFI Third Party Agreement, INFI shall provide Licensee with a copy of all modifications to or amendments of the INFI Third Party Agreements, regardless of whether Licensee’s consent was required with respect thereto.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62" w:name="page163"/>
    <w:bookmarkEnd w:id="162"/>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4"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2.4.4 Each Party shall, and shall cause its Affiliates and licensees or sublicensees to, use Diligent Efforts not to perform any acts or omissions that would constitute a breach of any of the INFI Third Party Agreements which breach would have an adverse effect, in any material respect, on the Research, Development, Manufacture or Commercialization of the IPI-145 Compound or IPI-145 Products as contemplated hereunder. Licensee shall and shall cause its Affiliates and licensees or sublicensees to use Diligent Efforts not to perform any acts or omissions that would constitute a breach of any of the INFI Third Party Agreements which breach would have an adverse effect, in any material respect, on the Research, Development, Manufacture or Commercialization of the Target Inhibitors as contemplated under such INFI Third Party Agreement. Each Party shall provide the other promptly with notice of the occurrence of any such breach (or receipt of notice of an allegation of any such breach).</w:t>
      </w:r>
    </w:p>
    <w:p>
      <w:pPr>
        <w:spacing w:after="0" w:line="192"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20"/>
          <w:szCs w:val="20"/>
          <w:color w:val="auto"/>
        </w:rPr>
        <w:t>2.4.5 If INFI receives a notice from INK alleging that INFI has materially breached its obligations under the INK Agreement and such material breach is a result of Licensee’s, its Affiliates’ or Sublicensees’ acts or omissions in breach of Licensee’s obligations under this Agreement (such alleged material breach, a “</w:t>
      </w:r>
      <w:r>
        <w:rPr>
          <w:rFonts w:ascii="Arial" w:cs="Arial" w:eastAsia="Arial" w:hAnsi="Arial"/>
          <w:sz w:val="20"/>
          <w:szCs w:val="20"/>
          <w:u w:val="single" w:color="auto"/>
          <w:color w:val="auto"/>
        </w:rPr>
        <w:t>Headlicense Breach</w:t>
      </w:r>
      <w:r>
        <w:rPr>
          <w:rFonts w:ascii="Arial" w:cs="Arial" w:eastAsia="Arial" w:hAnsi="Arial"/>
          <w:sz w:val="20"/>
          <w:szCs w:val="20"/>
          <w:color w:val="auto"/>
        </w:rPr>
        <w:t>”), then INFI shall promptly forward such notice of the Headlicense Breach to Licensee. Licensee shall have an opportunity to cure such Headlicense Breach in accordance with the terms set forth in Section 11.2 (but without any extension of the cure period therein), so long as Licensee provides evidence to INFI during such cure period of its actions to cure such breach. If Licensee fails to cure its Headlicense Breach or to provide evidence of such actions in accordance with the preceding sentence, then Licensee’s Headlicense Breach shall be considered a material breach of this Agreement by Licensee, which material breach shall not be subject to any further cure periods under Section 11.2 of this Agreement.</w:t>
      </w:r>
    </w:p>
    <w:p>
      <w:pPr>
        <w:spacing w:after="0" w:line="175" w:lineRule="exact"/>
        <w:rPr>
          <w:sz w:val="20"/>
          <w:szCs w:val="20"/>
          <w:color w:val="auto"/>
        </w:rPr>
      </w:pPr>
    </w:p>
    <w:tbl>
      <w:tblPr>
        <w:tblLayout w:type="fixed"/>
        <w:tblInd w:w="1300" w:type="dxa"/>
        <w:tblCellMar>
          <w:top w:w="0" w:type="dxa"/>
          <w:left w:w="0" w:type="dxa"/>
          <w:bottom w:w="0" w:type="dxa"/>
          <w:right w:w="0" w:type="dxa"/>
        </w:tblCellMar>
      </w:tblPr>
      <w:tr>
        <w:trPr>
          <w:trHeight w:val="274"/>
        </w:trPr>
        <w:tc>
          <w:tcPr>
            <w:tcW w:w="900" w:type="dxa"/>
            <w:vAlign w:val="bottom"/>
          </w:tcPr>
          <w:p>
            <w:pPr>
              <w:jc w:val="right"/>
              <w:ind w:right="372"/>
              <w:spacing w:after="0"/>
              <w:rPr>
                <w:sz w:val="20"/>
                <w:szCs w:val="20"/>
                <w:color w:val="auto"/>
              </w:rPr>
            </w:pPr>
            <w:r>
              <w:rPr>
                <w:rFonts w:ascii="Arial" w:cs="Arial" w:eastAsia="Arial" w:hAnsi="Arial"/>
                <w:sz w:val="22"/>
                <w:szCs w:val="22"/>
                <w:color w:val="auto"/>
                <w:w w:val="81"/>
              </w:rPr>
              <w:t>2.4.6</w:t>
            </w:r>
          </w:p>
        </w:tc>
        <w:tc>
          <w:tcPr>
            <w:tcW w:w="7860" w:type="dxa"/>
            <w:vAlign w:val="bottom"/>
          </w:tcPr>
          <w:p>
            <w:pPr>
              <w:jc w:val="right"/>
              <w:ind w:right="6692"/>
              <w:spacing w:after="0"/>
              <w:rPr>
                <w:sz w:val="20"/>
                <w:szCs w:val="20"/>
                <w:color w:val="auto"/>
              </w:rPr>
            </w:pPr>
            <w:r>
              <w:rPr>
                <w:rFonts w:ascii="Arial" w:cs="Arial" w:eastAsia="Arial" w:hAnsi="Arial"/>
                <w:sz w:val="22"/>
                <w:szCs w:val="22"/>
                <w:color w:val="auto"/>
              </w:rPr>
              <w:t>[* * *]</w:t>
            </w:r>
          </w:p>
        </w:tc>
      </w:tr>
      <w:tr>
        <w:trPr>
          <w:trHeight w:val="444"/>
        </w:trPr>
        <w:tc>
          <w:tcPr>
            <w:tcW w:w="900" w:type="dxa"/>
            <w:vAlign w:val="bottom"/>
          </w:tcPr>
          <w:p>
            <w:pPr>
              <w:jc w:val="right"/>
              <w:ind w:right="372"/>
              <w:spacing w:after="0"/>
              <w:rPr>
                <w:sz w:val="20"/>
                <w:szCs w:val="20"/>
                <w:color w:val="auto"/>
              </w:rPr>
            </w:pPr>
            <w:r>
              <w:rPr>
                <w:rFonts w:ascii="Arial" w:cs="Arial" w:eastAsia="Arial" w:hAnsi="Arial"/>
                <w:sz w:val="22"/>
                <w:szCs w:val="22"/>
                <w:color w:val="auto"/>
                <w:w w:val="81"/>
              </w:rPr>
              <w:t>2.4.7</w:t>
            </w:r>
          </w:p>
        </w:tc>
        <w:tc>
          <w:tcPr>
            <w:tcW w:w="7860" w:type="dxa"/>
            <w:vAlign w:val="bottom"/>
          </w:tcPr>
          <w:p>
            <w:pPr>
              <w:jc w:val="right"/>
              <w:spacing w:after="0"/>
              <w:rPr>
                <w:sz w:val="20"/>
                <w:szCs w:val="20"/>
                <w:color w:val="auto"/>
              </w:rPr>
            </w:pPr>
            <w:r>
              <w:rPr>
                <w:rFonts w:ascii="Arial" w:cs="Arial" w:eastAsia="Arial" w:hAnsi="Arial"/>
                <w:sz w:val="22"/>
                <w:szCs w:val="22"/>
                <w:color w:val="auto"/>
              </w:rPr>
              <w:t>Licensee acknowledges and agrees that (a) INFI may provide a copy of this</w:t>
            </w:r>
          </w:p>
        </w:tc>
      </w:tr>
    </w:tbl>
    <w:p>
      <w:pPr>
        <w:jc w:val="both"/>
        <w:spacing w:after="0" w:line="259" w:lineRule="auto"/>
        <w:rPr>
          <w:sz w:val="20"/>
          <w:szCs w:val="20"/>
          <w:color w:val="auto"/>
        </w:rPr>
      </w:pPr>
      <w:r>
        <w:rPr>
          <w:rFonts w:ascii="Arial" w:cs="Arial" w:eastAsia="Arial" w:hAnsi="Arial"/>
          <w:sz w:val="20"/>
          <w:szCs w:val="20"/>
          <w:color w:val="auto"/>
        </w:rPr>
        <w:t xml:space="preserve">Agreement, and any amendment to this Agreement, to any Third Party Grantor and (b) INFI may provide to any Third Party Grantor any information required to be provided to such Third Party Grantor in accordance with the applicable INFI Third Party Agreement. INFI acknowledges and agrees that Licensee may provide to any Affiliate or Sublicensee a copy of the INFI Third Party Agreements;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Affiliate or Sublicensee is subject to confidentiality and non-use obligations no less stringent than those set forth in Article 8.</w:t>
      </w:r>
    </w:p>
    <w:p>
      <w:pPr>
        <w:spacing w:after="0" w:line="138"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2.4.8</w:t>
            </w:r>
          </w:p>
        </w:tc>
        <w:tc>
          <w:tcPr>
            <w:tcW w:w="3160" w:type="dxa"/>
            <w:vAlign w:val="bottom"/>
            <w:gridSpan w:val="2"/>
          </w:tcPr>
          <w:p>
            <w:pPr>
              <w:jc w:val="right"/>
              <w:ind w:right="60"/>
              <w:spacing w:after="0"/>
              <w:rPr>
                <w:sz w:val="20"/>
                <w:szCs w:val="20"/>
                <w:color w:val="auto"/>
              </w:rPr>
            </w:pPr>
            <w:r>
              <w:rPr>
                <w:rFonts w:ascii="Arial" w:cs="Arial" w:eastAsia="Arial" w:hAnsi="Arial"/>
                <w:sz w:val="22"/>
                <w:szCs w:val="22"/>
                <w:color w:val="auto"/>
                <w:w w:val="90"/>
              </w:rPr>
              <w:t>Termination of the INK Agreement.</w:t>
            </w:r>
          </w:p>
        </w:tc>
        <w:tc>
          <w:tcPr>
            <w:tcW w:w="42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75"/>
        </w:trPr>
        <w:tc>
          <w:tcPr>
            <w:tcW w:w="1400" w:type="dxa"/>
            <w:vAlign w:val="bottom"/>
          </w:tcPr>
          <w:p>
            <w:pPr>
              <w:jc w:val="right"/>
              <w:ind w:right="412"/>
              <w:spacing w:after="0"/>
              <w:rPr>
                <w:sz w:val="20"/>
                <w:szCs w:val="20"/>
                <w:color w:val="auto"/>
              </w:rPr>
            </w:pPr>
            <w:r>
              <w:rPr>
                <w:rFonts w:ascii="Arial" w:cs="Arial" w:eastAsia="Arial" w:hAnsi="Arial"/>
                <w:sz w:val="22"/>
                <w:szCs w:val="22"/>
                <w:color w:val="auto"/>
              </w:rPr>
              <w:t>(a)</w:t>
            </w:r>
          </w:p>
        </w:tc>
        <w:tc>
          <w:tcPr>
            <w:tcW w:w="3160" w:type="dxa"/>
            <w:vAlign w:val="bottom"/>
            <w:gridSpan w:val="2"/>
          </w:tcPr>
          <w:p>
            <w:pPr>
              <w:jc w:val="right"/>
              <w:ind w:right="60"/>
              <w:spacing w:after="0"/>
              <w:rPr>
                <w:sz w:val="20"/>
                <w:szCs w:val="20"/>
                <w:color w:val="auto"/>
              </w:rPr>
            </w:pPr>
            <w:r>
              <w:rPr>
                <w:rFonts w:ascii="Arial" w:cs="Arial" w:eastAsia="Arial" w:hAnsi="Arial"/>
                <w:sz w:val="22"/>
                <w:szCs w:val="22"/>
                <w:color w:val="auto"/>
              </w:rPr>
              <w:t>Subject to the terms</w:t>
            </w:r>
          </w:p>
        </w:tc>
        <w:tc>
          <w:tcPr>
            <w:tcW w:w="4200" w:type="dxa"/>
            <w:vAlign w:val="bottom"/>
          </w:tcPr>
          <w:p>
            <w:pPr>
              <w:ind w:left="40"/>
              <w:spacing w:after="0"/>
              <w:rPr>
                <w:sz w:val="20"/>
                <w:szCs w:val="20"/>
                <w:color w:val="auto"/>
              </w:rPr>
            </w:pPr>
            <w:r>
              <w:rPr>
                <w:rFonts w:ascii="Arial" w:cs="Arial" w:eastAsia="Arial" w:hAnsi="Arial"/>
                <w:sz w:val="22"/>
                <w:szCs w:val="22"/>
                <w:color w:val="auto"/>
                <w:w w:val="96"/>
              </w:rPr>
              <w:t>of this Section 2.4.8, the licenses granted to</w:t>
            </w:r>
          </w:p>
        </w:tc>
      </w:tr>
    </w:tbl>
    <w:p>
      <w:pPr>
        <w:jc w:val="both"/>
        <w:spacing w:after="0" w:line="231" w:lineRule="auto"/>
        <w:rPr>
          <w:sz w:val="20"/>
          <w:szCs w:val="20"/>
          <w:color w:val="auto"/>
        </w:rPr>
      </w:pPr>
      <w:r>
        <w:rPr>
          <w:rFonts w:ascii="Arial" w:cs="Arial" w:eastAsia="Arial" w:hAnsi="Arial"/>
          <w:sz w:val="22"/>
          <w:szCs w:val="22"/>
          <w:color w:val="auto"/>
        </w:rPr>
        <w:t>Licensee hereunder with respect to the Patent Rights and Know-How licensed to INFI pursuant to the INK Agreement shall terminate upon termination of the INK Agreement (except as provided in Section 15.1(b) therein) and the provisions of Section 15.2 or Section 15.3, as applicable, of the INK Agreement shall, to the extent applicable to Licensee, apply, except that any such license to Licensee of the rights granted to INFI under Section 2.1 of the INK Agreement to Research, Develop, Manufacture or Commercialize the IPI-145 Compound or the IPI-145 Products shall not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63" w:name="page164"/>
    <w:bookmarkEnd w:id="163"/>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terminate upon termination of the INK Agreement but instead shall remain in full force and effect if Licensee is not then in material breach of this Agreement and Licensee provides to INK within thirty (30) days after termination of the INK Agreement a written agreement to be bound as the licensee under the terms and conditions of the INK Agreement as to the field and territory in which Licensee has been granted rights under this Agreement.</w:t>
      </w:r>
    </w:p>
    <w:p>
      <w:pPr>
        <w:spacing w:after="0" w:line="157" w:lineRule="exact"/>
        <w:rPr>
          <w:sz w:val="20"/>
          <w:szCs w:val="20"/>
          <w:color w:val="auto"/>
        </w:rPr>
      </w:pPr>
    </w:p>
    <w:p>
      <w:pPr>
        <w:jc w:val="both"/>
        <w:ind w:firstLine="1938"/>
        <w:spacing w:after="0" w:line="233" w:lineRule="auto"/>
        <w:rPr>
          <w:sz w:val="20"/>
          <w:szCs w:val="20"/>
          <w:color w:val="auto"/>
        </w:rPr>
      </w:pPr>
      <w:r>
        <w:rPr>
          <w:rFonts w:ascii="Arial" w:cs="Arial" w:eastAsia="Arial" w:hAnsi="Arial"/>
          <w:sz w:val="22"/>
          <w:szCs w:val="22"/>
          <w:color w:val="auto"/>
        </w:rPr>
        <w:t>(b) If the INK Agreement is terminated by INK solely as a direct result of Licensee’s or any Affiliate’s or Sublicensee’s breach of this Agreement and INFI has not received notice from INK that INFI is otherwise in material breach of the INK Agreement as of the time of such termination, then Licensee and its Affiliates shall not directly or indirectly acquire or license rights from INK or any of its Affiliates permitting Licensee or any of its Affiliates to Research, perform medicinal chemistry on, Develop, Manufacture or Commercialize any Compound that is a Target Inhibitor or any Product containing such a Compound, in each case to the extent that such Compound or Product is licensed to INFI under the INK Agreement as of the date of the termination of the INK Agreement.</w:t>
      </w:r>
    </w:p>
    <w:p>
      <w:pPr>
        <w:spacing w:after="0" w:line="159"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2.5</w:t>
            </w:r>
          </w:p>
        </w:tc>
        <w:tc>
          <w:tcPr>
            <w:tcW w:w="260" w:type="dxa"/>
            <w:vAlign w:val="bottom"/>
          </w:tcPr>
          <w:p>
            <w:pPr>
              <w:spacing w:after="0"/>
              <w:rPr>
                <w:sz w:val="21"/>
                <w:szCs w:val="21"/>
                <w:color w:val="auto"/>
              </w:rPr>
            </w:pPr>
          </w:p>
        </w:tc>
        <w:tc>
          <w:tcPr>
            <w:tcW w:w="8700" w:type="dxa"/>
            <w:vAlign w:val="bottom"/>
            <w:gridSpan w:val="3"/>
          </w:tcPr>
          <w:p>
            <w:pPr>
              <w:spacing w:after="0"/>
              <w:rPr>
                <w:sz w:val="20"/>
                <w:szCs w:val="20"/>
                <w:color w:val="auto"/>
              </w:rPr>
            </w:pPr>
            <w:r>
              <w:rPr>
                <w:rFonts w:ascii="Arial" w:cs="Arial" w:eastAsia="Arial" w:hAnsi="Arial"/>
                <w:sz w:val="22"/>
                <w:szCs w:val="22"/>
                <w:color w:val="auto"/>
              </w:rPr>
              <w:t>Trademark License.</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475"/>
        </w:trPr>
        <w:tc>
          <w:tcPr>
            <w:tcW w:w="460" w:type="dxa"/>
            <w:vAlign w:val="bottom"/>
          </w:tcPr>
          <w:p>
            <w:pPr>
              <w:spacing w:after="0"/>
              <w:rPr>
                <w:sz w:val="24"/>
                <w:szCs w:val="24"/>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22"/>
                <w:szCs w:val="22"/>
                <w:color w:val="auto"/>
              </w:rPr>
              <w:t>2.5.1</w:t>
            </w:r>
          </w:p>
        </w:tc>
        <w:tc>
          <w:tcPr>
            <w:tcW w:w="7860" w:type="dxa"/>
            <w:vAlign w:val="bottom"/>
            <w:gridSpan w:val="2"/>
          </w:tcPr>
          <w:p>
            <w:pPr>
              <w:ind w:left="500"/>
              <w:spacing w:after="0"/>
              <w:rPr>
                <w:sz w:val="20"/>
                <w:szCs w:val="20"/>
                <w:color w:val="auto"/>
              </w:rPr>
            </w:pPr>
            <w:r>
              <w:rPr>
                <w:rFonts w:ascii="Arial" w:cs="Arial" w:eastAsia="Arial" w:hAnsi="Arial"/>
                <w:sz w:val="22"/>
                <w:szCs w:val="22"/>
                <w:color w:val="auto"/>
                <w:w w:val="90"/>
              </w:rPr>
              <w:t>Subject to the terms and conditions of this Agreement, INFI hereby grants Licensee</w:t>
            </w:r>
          </w:p>
        </w:tc>
      </w:tr>
    </w:tbl>
    <w:p>
      <w:pPr>
        <w:jc w:val="both"/>
        <w:spacing w:after="0" w:line="234" w:lineRule="auto"/>
        <w:rPr>
          <w:sz w:val="20"/>
          <w:szCs w:val="20"/>
          <w:color w:val="auto"/>
        </w:rPr>
      </w:pPr>
      <w:r>
        <w:rPr>
          <w:rFonts w:ascii="Arial" w:cs="Arial" w:eastAsia="Arial" w:hAnsi="Arial"/>
          <w:sz w:val="22"/>
          <w:szCs w:val="22"/>
          <w:color w:val="auto"/>
        </w:rPr>
        <w:t xml:space="preserve">an exclusive (even as to INFI), worldwide, royalty-free right and license to use and sublicense to its Affiliates and Sublicensees INFI’s trademarks set forth on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(each a “</w:t>
      </w:r>
      <w:r>
        <w:rPr>
          <w:rFonts w:ascii="Arial" w:cs="Arial" w:eastAsia="Arial" w:hAnsi="Arial"/>
          <w:sz w:val="22"/>
          <w:szCs w:val="22"/>
          <w:u w:val="single" w:color="auto"/>
          <w:color w:val="auto"/>
        </w:rPr>
        <w:t>Product Mark</w:t>
      </w:r>
      <w:r>
        <w:rPr>
          <w:rFonts w:ascii="Arial" w:cs="Arial" w:eastAsia="Arial" w:hAnsi="Arial"/>
          <w:sz w:val="22"/>
          <w:szCs w:val="22"/>
          <w:color w:val="auto"/>
        </w:rPr>
        <w:t>”), solely during the Term, solely for the purpose of Commercializing IPI-145 Products.</w:t>
      </w:r>
    </w:p>
    <w:p>
      <w:pPr>
        <w:spacing w:after="0" w:line="184"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20"/>
          <w:szCs w:val="20"/>
          <w:color w:val="auto"/>
        </w:rPr>
        <w:t>2.5.2 Licensee shall ensure that the quality of the IPI-145 Product, and the Manufacture and Commercialization thereof, marketed under the Product Marks shall be consistent with the quality of any IPI-145 Product Manufactured by or on behalf of INFI prior to the Effective Date and with the standards of quality customary in the pharmaceuticals industry. Licensee shall, and shall cause its Affiliates and the Sublicensees to, at Licensee’s expense, submit a sample of each proposed use of a Product Mark to INFI for approval, which approval shall not be unreasonably withheld, conditioned or delayed. If INFI reasonably objects to a proposed usage of a Product Mark, it shall give written notice of such objection to Licensee within [* * *] days of receipt of such sample, specifying the way in which such usage of the Product Mark fails to meet the quality standards, or quality control, style or usage guidelines for such Product or Product Mark. If Licensee, any of its Affiliates or any Sublicensee wishes to use the Product Mark in the manner included in such sample, it must remedy the failure and submit further samples to INFI for approval.</w:t>
      </w:r>
    </w:p>
    <w:p>
      <w:pPr>
        <w:spacing w:after="0" w:line="171" w:lineRule="exact"/>
        <w:rPr>
          <w:sz w:val="20"/>
          <w:szCs w:val="20"/>
          <w:color w:val="auto"/>
        </w:rPr>
      </w:pPr>
    </w:p>
    <w:p>
      <w:pPr>
        <w:jc w:val="both"/>
        <w:ind w:firstLine="1292"/>
        <w:spacing w:after="0" w:line="234" w:lineRule="auto"/>
        <w:rPr>
          <w:sz w:val="20"/>
          <w:szCs w:val="20"/>
          <w:color w:val="auto"/>
        </w:rPr>
      </w:pPr>
      <w:r>
        <w:rPr>
          <w:rFonts w:ascii="Arial" w:cs="Arial" w:eastAsia="Arial" w:hAnsi="Arial"/>
          <w:sz w:val="22"/>
          <w:szCs w:val="22"/>
          <w:color w:val="auto"/>
        </w:rPr>
        <w:t>2.5.3 Licensee shall be responsible for all of INFI’s reasonable and documented Out-of-Pocket Expenses and Internal Personnel Expenses incurred on or after November 1, 2016 associated with registering, prosecuting, maintaining and enforcing the Product Mark and shall reimburse INFI within [* * *] days of Licensee’s receipt of an invoice therefor. Licensee shall have the first right to control the registration, prosecution, maintenance and enforcement of the Product Mark, in INFI’s name. INFI shall, at Licensee’s request, reasonably assist Licensee with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64" w:name="page165"/>
    <w:bookmarkEnd w:id="164"/>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respect thereto, and Licensee shall reimburse INFI for its reasonable and documented Out-of-Pocket Expenses and Internal Personnel Expenses related thereto.</w:t>
      </w:r>
    </w:p>
    <w:p>
      <w:pPr>
        <w:spacing w:after="0" w:line="175" w:lineRule="exact"/>
        <w:rPr>
          <w:sz w:val="20"/>
          <w:szCs w:val="20"/>
          <w:color w:val="auto"/>
        </w:rPr>
      </w:pPr>
    </w:p>
    <w:p>
      <w:pPr>
        <w:jc w:val="both"/>
        <w:ind w:firstLine="1292"/>
        <w:spacing w:after="0" w:line="249" w:lineRule="auto"/>
        <w:rPr>
          <w:sz w:val="20"/>
          <w:szCs w:val="20"/>
          <w:color w:val="auto"/>
        </w:rPr>
      </w:pPr>
      <w:r>
        <w:rPr>
          <w:rFonts w:ascii="Arial" w:cs="Arial" w:eastAsia="Arial" w:hAnsi="Arial"/>
          <w:sz w:val="22"/>
          <w:szCs w:val="22"/>
          <w:color w:val="auto"/>
        </w:rPr>
        <w:t>2.5.4 If Licensee does not wish to register, prosecute, maintain or enforce a Product Mark in a country, Licensee shall notify INFI thereof.</w:t>
      </w:r>
    </w:p>
    <w:p>
      <w:pPr>
        <w:spacing w:after="0" w:line="175" w:lineRule="exact"/>
        <w:rPr>
          <w:sz w:val="20"/>
          <w:szCs w:val="20"/>
          <w:color w:val="auto"/>
        </w:rPr>
      </w:pPr>
    </w:p>
    <w:p>
      <w:pPr>
        <w:jc w:val="both"/>
        <w:ind w:firstLine="1292"/>
        <w:spacing w:after="0" w:line="235" w:lineRule="auto"/>
        <w:rPr>
          <w:sz w:val="20"/>
          <w:szCs w:val="20"/>
          <w:color w:val="auto"/>
        </w:rPr>
      </w:pPr>
      <w:r>
        <w:rPr>
          <w:rFonts w:ascii="Arial" w:cs="Arial" w:eastAsia="Arial" w:hAnsi="Arial"/>
          <w:sz w:val="22"/>
          <w:szCs w:val="22"/>
          <w:color w:val="auto"/>
        </w:rPr>
        <w:t>2.5.5 If INFI determines in good faith that Licensee has not registered, prosecuted, maintained or enforced a Product Mark in a country in a timely manner, and in any event if INFI reasonably believes it is in danger of losing any rights in such Product Mark, then INFI shall have the right to register, prosecute, maintain or enforce such Product Mark in such country, at INFI’s expense, and Licensee shall reasonably assist INFI with respect thereto.</w:t>
      </w:r>
    </w:p>
    <w:p>
      <w:pPr>
        <w:spacing w:after="0" w:line="188" w:lineRule="exact"/>
        <w:rPr>
          <w:sz w:val="20"/>
          <w:szCs w:val="20"/>
          <w:color w:val="auto"/>
        </w:rPr>
      </w:pPr>
    </w:p>
    <w:p>
      <w:pPr>
        <w:jc w:val="both"/>
        <w:ind w:firstLine="1292"/>
        <w:spacing w:after="0" w:line="275" w:lineRule="auto"/>
        <w:rPr>
          <w:sz w:val="20"/>
          <w:szCs w:val="20"/>
          <w:color w:val="auto"/>
        </w:rPr>
      </w:pPr>
      <w:r>
        <w:rPr>
          <w:rFonts w:ascii="Arial" w:cs="Arial" w:eastAsia="Arial" w:hAnsi="Arial"/>
          <w:sz w:val="20"/>
          <w:szCs w:val="20"/>
          <w:color w:val="auto"/>
        </w:rPr>
        <w:t>2.5.6 As between the Parties and except as set forth in Section 2.5.7, and subject to the licenses set forth in this Section 2.5, INFI will own the Product Marks. Subject to Section 2.5.7, Licensee, its Affiliates and Sublicensees will not contest, oppose or challenge INFI’s ownership of any Product Mark.</w:t>
      </w:r>
    </w:p>
    <w:p>
      <w:pPr>
        <w:spacing w:after="0" w:line="152"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20"/>
          <w:szCs w:val="20"/>
          <w:color w:val="auto"/>
        </w:rPr>
        <w:t>2.5.7 At any time following Licensee’s filing of an NDA in the United States or an MAA in any other country in the Territory with respect to an IPI-145 Product, Licensee may request that INFI transfer ownership of the Product Mark and any goodwill associated therewith (but not any of the Duvelisib IP or any assets of INFI or any of its Affiliates, other than the Product Mark and the Internet domain names described hereafter) and any Internet domain names incorporating any Product Mark, or any variation or part of any Product Mark. Promptly following such request, INFI shall assign ownership of the Product Mark and any goodwill associated therewith (but not any of the Duvelisib IP or any assets of INFI or any of its Affiliates, other than the Product Mark and such Internet domain names) and any Internet domain names incorporating any Product to Licensee or its designee, and Licensee shall reimburse INFI for its reasonable and documented Out-of-Pocket Expenses and Internal Personnel Expenses related thereto.</w:t>
      </w:r>
    </w:p>
    <w:p>
      <w:pPr>
        <w:spacing w:after="0" w:line="17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Rights Retained by the Parties</w:t>
      </w:r>
      <w:r>
        <w:rPr>
          <w:rFonts w:ascii="Arial" w:cs="Arial" w:eastAsia="Arial" w:hAnsi="Arial"/>
          <w:sz w:val="19"/>
          <w:szCs w:val="19"/>
          <w:color w:val="auto"/>
        </w:rPr>
        <w:t>.</w:t>
      </w:r>
    </w:p>
    <w:p>
      <w:pPr>
        <w:spacing w:after="0" w:line="205"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20"/>
          <w:szCs w:val="20"/>
          <w:color w:val="auto"/>
        </w:rPr>
        <w:t>2.6.1 Any rights of INFI not expressly granted to Licensee pursuant to this Agreement shall be retained by INFI. Any rights of Licensee not expressly granted to INFI pursuant to this Agreement shall be retained by Licensee. Licensee agrees not to practice any Duvelisib IP except pursuant to the licenses expressly granted to Licensee in this Agreement (it being agreed that no such license grants any right to Research, perform medicinal chemistry on, Develop, have Developed, Manufacture, have Manufactured, use, sell, offer to sell, otherwise Commercialize or import any Compound, or any Product containing or comprising any Compound, other than the IPI-145 Compound, IPI-145 Product or a Combination Product to the extent set forth herein).</w:t>
      </w:r>
    </w:p>
    <w:p>
      <w:pPr>
        <w:spacing w:after="0" w:line="167"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2.6.2 INFI shall not directly or indirectly, Research, perform medicinal chemistry on, Develop, Manufacture or Commercialize the IPI-145 Compound or any IPI-145 Product for the treatment, prevention, palliation or diagnosis of any Indication in humans or animals in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65" w:name="page166"/>
    <w:bookmarkEnd w:id="165"/>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Territory, nor collaborate with, license, sell to or enable or otherwise authorize, permit or grant any right to any Third Party to Research, perform medicinal chemistry on, Develop, Manufacture or Commercialize the IPI-145 Compound or any IPI-145 Product for the treatment, prevention, palliation or diagnosis of any Indication in humans or animals in the Territory.</w:t>
      </w:r>
    </w:p>
    <w:p>
      <w:pPr>
        <w:spacing w:after="0" w:line="18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Section 365(n) of the U.S. Bankruptcy Code</w:t>
      </w:r>
      <w:r>
        <w:rPr>
          <w:rFonts w:ascii="Arial" w:cs="Arial" w:eastAsia="Arial" w:hAnsi="Arial"/>
          <w:sz w:val="19"/>
          <w:szCs w:val="19"/>
          <w:color w:val="auto"/>
        </w:rPr>
        <w:t>.</w:t>
      </w:r>
    </w:p>
    <w:p>
      <w:pPr>
        <w:spacing w:after="0" w:line="205" w:lineRule="exact"/>
        <w:rPr>
          <w:sz w:val="20"/>
          <w:szCs w:val="20"/>
          <w:color w:val="auto"/>
        </w:rPr>
      </w:pPr>
    </w:p>
    <w:p>
      <w:pPr>
        <w:jc w:val="both"/>
        <w:ind w:firstLine="1292"/>
        <w:spacing w:after="0" w:line="281" w:lineRule="auto"/>
        <w:rPr>
          <w:sz w:val="20"/>
          <w:szCs w:val="20"/>
          <w:color w:val="auto"/>
        </w:rPr>
      </w:pPr>
      <w:r>
        <w:rPr>
          <w:rFonts w:ascii="Arial" w:cs="Arial" w:eastAsia="Arial" w:hAnsi="Arial"/>
          <w:sz w:val="19"/>
          <w:szCs w:val="19"/>
          <w:color w:val="auto"/>
        </w:rPr>
        <w:t>2.7.1 All rights and licenses now or hereafter granted by a Party to the other Party under or pursuant to any section of this Agreement constitute rights to “intellectual property” (as defined in the U.S. Bankruptcy Code). The Parties hereto acknowledge and agree that the payments provided for in the Agreement by Licensee to INFI hereunder, other than royalty payments pursuant to Section 6.1.1, do not constitute royalties within the meaning of Section 365(n) of the U.S. Bankruptcy Code or relate to licenses of intellectual property hereunder.</w:t>
      </w:r>
    </w:p>
    <w:p>
      <w:pPr>
        <w:spacing w:after="0" w:line="148" w:lineRule="exact"/>
        <w:rPr>
          <w:sz w:val="20"/>
          <w:szCs w:val="20"/>
          <w:color w:val="auto"/>
        </w:rPr>
      </w:pPr>
    </w:p>
    <w:p>
      <w:pPr>
        <w:jc w:val="both"/>
        <w:ind w:firstLine="1292"/>
        <w:spacing w:after="0" w:line="259" w:lineRule="auto"/>
        <w:rPr>
          <w:sz w:val="20"/>
          <w:szCs w:val="20"/>
          <w:color w:val="auto"/>
        </w:rPr>
      </w:pPr>
      <w:r>
        <w:rPr>
          <w:rFonts w:ascii="Arial" w:cs="Arial" w:eastAsia="Arial" w:hAnsi="Arial"/>
          <w:sz w:val="20"/>
          <w:szCs w:val="20"/>
          <w:color w:val="auto"/>
        </w:rPr>
        <w:t>2.7.2 If (a) a case under the U.S. Bankruptcy Code is commenced by or against INFI, (b) this Agreement is rejected as provided in the U.S. Bankruptcy Code and (c) Licensee elects to retain its rights hereunder as provided in Section 365(n) of the U.S. Bankruptcy Code, then INFI (in any capacity, including debtor-in-possession) and its successors and assigns (including any trustee) shall provide to Licensee all intellectual property licensed hereunder, and agrees to grant and hereby grants to Licensee and its Affiliates a right to access and to obtain possession of and to benefit from and, in the case of any chemical or biological material or other tangible item of which there is a fixed or limited quantity, to obtain a pro rata portion of, such articles and materials which were to have been, but were not, transferred as part of the Transition Plan.</w:t>
      </w:r>
    </w:p>
    <w:p>
      <w:pPr>
        <w:spacing w:after="0" w:line="168" w:lineRule="exact"/>
        <w:rPr>
          <w:sz w:val="20"/>
          <w:szCs w:val="20"/>
          <w:color w:val="auto"/>
        </w:rPr>
      </w:pPr>
    </w:p>
    <w:p>
      <w:pPr>
        <w:jc w:val="both"/>
        <w:ind w:firstLine="1292"/>
        <w:spacing w:after="0" w:line="261" w:lineRule="auto"/>
        <w:rPr>
          <w:sz w:val="20"/>
          <w:szCs w:val="20"/>
          <w:color w:val="auto"/>
        </w:rPr>
      </w:pPr>
      <w:r>
        <w:rPr>
          <w:rFonts w:ascii="Arial" w:cs="Arial" w:eastAsia="Arial" w:hAnsi="Arial"/>
          <w:sz w:val="20"/>
          <w:szCs w:val="20"/>
          <w:color w:val="auto"/>
        </w:rPr>
        <w:t>2.7.3 The Party against which a case under the U.S. Bankruptcy Code is commenced shall not interfere with the exercise by the other Party or its Affiliates of rights and licenses to intellectual property licensed hereunder and embodiments thereof in accordance with this Agreement and agrees to use Diligent Efforts to assist the other Party and its Affiliates to obtain such intellectual property and embodiments thereof in the possession or control of Third Parties as reasonably necessary or desirable for the other Party or its Affiliates or licensee or sublicensees to exercise such rights and licenses in accordance with this Agreement.</w:t>
      </w:r>
    </w:p>
    <w:p>
      <w:pPr>
        <w:spacing w:after="0" w:line="168" w:lineRule="exact"/>
        <w:rPr>
          <w:sz w:val="20"/>
          <w:szCs w:val="20"/>
          <w:color w:val="auto"/>
        </w:rPr>
      </w:pPr>
    </w:p>
    <w:p>
      <w:pPr>
        <w:jc w:val="both"/>
        <w:ind w:firstLine="646"/>
        <w:spacing w:after="0" w:line="234"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Infinity Exclusivity Covenants</w:t>
      </w:r>
      <w:r>
        <w:rPr>
          <w:rFonts w:ascii="Arial" w:cs="Arial" w:eastAsia="Arial" w:hAnsi="Arial"/>
          <w:sz w:val="22"/>
          <w:szCs w:val="22"/>
          <w:color w:val="auto"/>
        </w:rPr>
        <w:t>. During the Term, except pursuant to and in accordance with the terms of this Agreement, neither INFI nor any of its Affiliates shall directly or indirectly conduct clinical trials of the IPI-443 Product as a therapeutic, or Commercialize the IPI-443 Product, in each case in the Field in the Territory, nor collaborate with, license, sell to, or enable or otherwise authorize, permit or grant any right to, any Third Party to Commercialize or conduct such clinical trials of the IPI-443 Product in the Field in the Territory. For the purposes of this Section 2.8 only, Field shall not include (a) immunotherapy treatments that treat T-cells ex-vivo or (b) any other ex-vivo uses.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AND DEVELOPMENT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66" w:name="page167"/>
    <w:bookmarkEnd w:id="166"/>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Diligence</w:t>
      </w:r>
      <w:r>
        <w:rPr>
          <w:rFonts w:ascii="Arial" w:cs="Arial" w:eastAsia="Arial" w:hAnsi="Arial"/>
          <w:sz w:val="22"/>
          <w:szCs w:val="22"/>
          <w:color w:val="auto"/>
        </w:rPr>
        <w:t>. Licensee (itself or through its Affiliates and the Sublicensees) shall use Diligent Efforts to Develop, Manufacture and Commercialize one IPI-145 Product in the Field in the Territory.</w:t>
      </w:r>
    </w:p>
    <w:p>
      <w:pPr>
        <w:spacing w:after="0" w:line="175" w:lineRule="exact"/>
        <w:rPr>
          <w:sz w:val="20"/>
          <w:szCs w:val="20"/>
          <w:color w:val="auto"/>
        </w:rPr>
      </w:pPr>
    </w:p>
    <w:p>
      <w:pPr>
        <w:jc w:val="both"/>
        <w:ind w:firstLine="1292"/>
        <w:spacing w:after="0" w:line="259"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Development Plan</w:t>
      </w:r>
      <w:r>
        <w:rPr>
          <w:rFonts w:ascii="Arial" w:cs="Arial" w:eastAsia="Arial" w:hAnsi="Arial"/>
          <w:sz w:val="20"/>
          <w:szCs w:val="20"/>
          <w:color w:val="auto"/>
        </w:rPr>
        <w:t xml:space="preserve">. The initial plan for Development activities to be conducted by Licensee (itself or through its Affiliates and the Sublicensees) with respect to the IPI-145 Product during the Term is set forth in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Development Plan</w:t>
      </w:r>
      <w:r>
        <w:rPr>
          <w:rFonts w:ascii="Arial" w:cs="Arial" w:eastAsia="Arial" w:hAnsi="Arial"/>
          <w:sz w:val="20"/>
          <w:szCs w:val="20"/>
          <w:color w:val="auto"/>
        </w:rPr>
        <w:t>”). The Development Plan may be updated or amended by Licensee from time to time during the Term; provided that such updated or amended Development Plan shall be sufficient to permit INFI to comply with its obligations under this Agreement and the INK Agreement. Licensee shall provide to INFI any such updated or amended Development Plan concurrently with the delivery of Development reports pursuant to Section 3.3. To the extent that any provision of the Development Plan conflicts with or is inconsistent with the provisions of this Agreement, the provisions of this Agreement shall control.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jc w:val="right"/>
              <w:ind w:right="872"/>
              <w:spacing w:after="0"/>
              <w:rPr>
                <w:sz w:val="20"/>
                <w:szCs w:val="20"/>
                <w:color w:val="auto"/>
              </w:rPr>
            </w:pPr>
            <w:r>
              <w:rPr>
                <w:rFonts w:ascii="Arial" w:cs="Arial" w:eastAsia="Arial" w:hAnsi="Arial"/>
                <w:sz w:val="22"/>
                <w:szCs w:val="22"/>
                <w:color w:val="auto"/>
              </w:rPr>
              <w:t>3.1.2</w:t>
            </w:r>
          </w:p>
        </w:tc>
        <w:tc>
          <w:tcPr>
            <w:tcW w:w="7360" w:type="dxa"/>
            <w:vAlign w:val="bottom"/>
            <w:gridSpan w:val="2"/>
          </w:tcPr>
          <w:p>
            <w:pPr>
              <w:jc w:val="right"/>
              <w:ind w:right="6072"/>
              <w:spacing w:after="0"/>
              <w:rPr>
                <w:sz w:val="20"/>
                <w:szCs w:val="20"/>
                <w:color w:val="auto"/>
              </w:rPr>
            </w:pPr>
            <w:r>
              <w:rPr>
                <w:rFonts w:ascii="Arial" w:cs="Arial" w:eastAsia="Arial" w:hAnsi="Arial"/>
                <w:sz w:val="22"/>
                <w:szCs w:val="22"/>
                <w:color w:val="auto"/>
                <w:w w:val="86"/>
              </w:rPr>
              <w:t>Expenditures.</w:t>
            </w:r>
          </w:p>
        </w:tc>
      </w:tr>
      <w:tr>
        <w:trPr>
          <w:trHeight w:val="457"/>
        </w:trPr>
        <w:tc>
          <w:tcPr>
            <w:tcW w:w="2700" w:type="dxa"/>
            <w:vAlign w:val="bottom"/>
          </w:tcPr>
          <w:p>
            <w:pPr>
              <w:ind w:left="1940"/>
              <w:spacing w:after="0"/>
              <w:rPr>
                <w:sz w:val="20"/>
                <w:szCs w:val="20"/>
                <w:color w:val="auto"/>
              </w:rPr>
            </w:pPr>
            <w:r>
              <w:rPr>
                <w:rFonts w:ascii="Arial" w:cs="Arial" w:eastAsia="Arial" w:hAnsi="Arial"/>
                <w:sz w:val="22"/>
                <w:szCs w:val="22"/>
                <w:color w:val="auto"/>
              </w:rPr>
              <w:t>(a)</w:t>
            </w:r>
          </w:p>
        </w:tc>
        <w:tc>
          <w:tcPr>
            <w:tcW w:w="1120" w:type="dxa"/>
            <w:vAlign w:val="bottom"/>
            <w:tcBorders>
              <w:top w:val="single" w:sz="8" w:color="auto"/>
            </w:tcBorders>
          </w:tcPr>
          <w:p>
            <w:pPr>
              <w:spacing w:after="0"/>
              <w:rPr>
                <w:sz w:val="24"/>
                <w:szCs w:val="24"/>
                <w:color w:val="auto"/>
              </w:rPr>
            </w:pPr>
          </w:p>
        </w:tc>
        <w:tc>
          <w:tcPr>
            <w:tcW w:w="6240" w:type="dxa"/>
            <w:vAlign w:val="bottom"/>
          </w:tcPr>
          <w:p>
            <w:pPr>
              <w:jc w:val="right"/>
              <w:spacing w:after="0"/>
              <w:rPr>
                <w:sz w:val="20"/>
                <w:szCs w:val="20"/>
                <w:color w:val="auto"/>
              </w:rPr>
            </w:pPr>
            <w:r>
              <w:rPr>
                <w:rFonts w:ascii="Arial" w:cs="Arial" w:eastAsia="Arial" w:hAnsi="Arial"/>
                <w:sz w:val="22"/>
                <w:szCs w:val="22"/>
                <w:color w:val="auto"/>
              </w:rPr>
              <w:t>Licensee’s Diligent Efforts to Develop one IPI-145 Product will</w:t>
            </w:r>
          </w:p>
        </w:tc>
      </w:tr>
      <w:tr>
        <w:trPr>
          <w:trHeight w:val="274"/>
        </w:trPr>
        <w:tc>
          <w:tcPr>
            <w:tcW w:w="10060" w:type="dxa"/>
            <w:vAlign w:val="bottom"/>
            <w:gridSpan w:val="3"/>
          </w:tcPr>
          <w:p>
            <w:pPr>
              <w:jc w:val="right"/>
              <w:ind w:right="3732"/>
              <w:spacing w:after="0"/>
              <w:rPr>
                <w:sz w:val="20"/>
                <w:szCs w:val="20"/>
                <w:color w:val="auto"/>
              </w:rPr>
            </w:pPr>
            <w:r>
              <w:rPr>
                <w:rFonts w:ascii="Arial" w:cs="Arial" w:eastAsia="Arial" w:hAnsi="Arial"/>
                <w:sz w:val="22"/>
                <w:szCs w:val="22"/>
                <w:color w:val="auto"/>
                <w:w w:val="90"/>
              </w:rPr>
              <w:t>include demonstration that it, its Affiliates and the Sublicensees, [* * *].</w:t>
            </w:r>
          </w:p>
        </w:tc>
      </w:tr>
      <w:tr>
        <w:trPr>
          <w:trHeight w:val="444"/>
        </w:trPr>
        <w:tc>
          <w:tcPr>
            <w:tcW w:w="2700" w:type="dxa"/>
            <w:vAlign w:val="bottom"/>
          </w:tcPr>
          <w:p>
            <w:pPr>
              <w:ind w:left="1940"/>
              <w:spacing w:after="0"/>
              <w:rPr>
                <w:sz w:val="20"/>
                <w:szCs w:val="20"/>
                <w:color w:val="auto"/>
              </w:rPr>
            </w:pPr>
            <w:r>
              <w:rPr>
                <w:rFonts w:ascii="Arial" w:cs="Arial" w:eastAsia="Arial" w:hAnsi="Arial"/>
                <w:sz w:val="22"/>
                <w:szCs w:val="22"/>
                <w:color w:val="auto"/>
              </w:rPr>
              <w:t>(b)</w:t>
            </w:r>
          </w:p>
        </w:tc>
        <w:tc>
          <w:tcPr>
            <w:tcW w:w="1120" w:type="dxa"/>
            <w:vAlign w:val="bottom"/>
          </w:tcPr>
          <w:p>
            <w:pPr>
              <w:spacing w:after="0"/>
              <w:rPr>
                <w:sz w:val="24"/>
                <w:szCs w:val="24"/>
                <w:color w:val="auto"/>
              </w:rPr>
            </w:pPr>
          </w:p>
        </w:tc>
        <w:tc>
          <w:tcPr>
            <w:tcW w:w="6240" w:type="dxa"/>
            <w:vAlign w:val="bottom"/>
          </w:tcPr>
          <w:p>
            <w:pPr>
              <w:jc w:val="right"/>
              <w:spacing w:after="0"/>
              <w:rPr>
                <w:sz w:val="20"/>
                <w:szCs w:val="20"/>
                <w:color w:val="auto"/>
              </w:rPr>
            </w:pPr>
            <w:r>
              <w:rPr>
                <w:rFonts w:ascii="Arial" w:cs="Arial" w:eastAsia="Arial" w:hAnsi="Arial"/>
                <w:sz w:val="22"/>
                <w:szCs w:val="22"/>
                <w:color w:val="auto"/>
                <w:w w:val="98"/>
              </w:rPr>
              <w:t>Notwithstanding anything to the contrary in this Agreement (other</w:t>
            </w:r>
          </w:p>
        </w:tc>
      </w:tr>
    </w:tbl>
    <w:p>
      <w:pPr>
        <w:jc w:val="both"/>
        <w:spacing w:after="0" w:line="266" w:lineRule="auto"/>
        <w:rPr>
          <w:sz w:val="20"/>
          <w:szCs w:val="20"/>
          <w:color w:val="auto"/>
        </w:rPr>
      </w:pPr>
      <w:r>
        <w:rPr>
          <w:rFonts w:ascii="Arial" w:cs="Arial" w:eastAsia="Arial" w:hAnsi="Arial"/>
          <w:sz w:val="19"/>
          <w:szCs w:val="19"/>
          <w:color w:val="auto"/>
        </w:rPr>
        <w:t xml:space="preserve">than the provisions of Section 3.1.4(b)), Licensee will be responsible for all reasonable and documented Internal Personnel Expenses and Out-of-Pocket Expenses related to the IPI-145 Compound or IPI-145 Product in the Territory incurred by INFI on or after November 1, 2016, including all costs related to the Development, Manufacture or Commercialization of the IPI-145 Compound or IPI-145 Product and all Patent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Licensee shall not have any obligation to reimburse INFI for any such costs incurred by INFI after the Effective Date except for those costs incurred in accordance with this Agreement or as directed by Licensee;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Licensee shall be permitted to holdback [* * *] of all such payments incurred by INFI after the date a Key Item is to have been completed (as set forth in the Transition Plan) and such Key Item has not been completed (other than through any action or inaction of Licensee) (such payments actually withheld by Licensee, the “</w:t>
      </w:r>
      <w:r>
        <w:rPr>
          <w:rFonts w:ascii="Arial" w:cs="Arial" w:eastAsia="Arial" w:hAnsi="Arial"/>
          <w:sz w:val="19"/>
          <w:szCs w:val="19"/>
          <w:u w:val="single" w:color="auto"/>
          <w:color w:val="auto"/>
        </w:rPr>
        <w:t>Holdback Payments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within [* * *] days following the completion of such Key Item that entitled Licensee to holdback the Holdback Payment, Licensee shall pay the amount of such Holdback Payment to INFI. Subject to the foregoing, Licensee shall reimburse INFI for all such expenses within [* * *] days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0" w:type="dxa"/>
            <w:vAlign w:val="bottom"/>
            <w:gridSpan w:val="2"/>
          </w:tcPr>
          <w:p>
            <w:pPr>
              <w:spacing w:after="0"/>
              <w:rPr>
                <w:sz w:val="20"/>
                <w:szCs w:val="20"/>
                <w:color w:val="auto"/>
              </w:rPr>
            </w:pPr>
            <w:r>
              <w:rPr>
                <w:rFonts w:ascii="Arial" w:cs="Arial" w:eastAsia="Arial" w:hAnsi="Arial"/>
                <w:sz w:val="22"/>
                <w:szCs w:val="22"/>
                <w:color w:val="auto"/>
                <w:w w:val="90"/>
              </w:rPr>
              <w:t>Licensee’s receipt of an invoice therefor.</w:t>
            </w: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89"/>
        </w:trPr>
        <w:tc>
          <w:tcPr>
            <w:tcW w:w="3600" w:type="dxa"/>
            <w:vAlign w:val="bottom"/>
            <w:gridSpan w:val="2"/>
          </w:tcPr>
          <w:p>
            <w:pPr>
              <w:ind w:left="1940"/>
              <w:spacing w:after="0"/>
              <w:rPr>
                <w:sz w:val="20"/>
                <w:szCs w:val="20"/>
                <w:color w:val="auto"/>
              </w:rPr>
            </w:pPr>
            <w:r>
              <w:rPr>
                <w:rFonts w:ascii="Arial" w:cs="Arial" w:eastAsia="Arial" w:hAnsi="Arial"/>
                <w:sz w:val="22"/>
                <w:szCs w:val="22"/>
                <w:color w:val="auto"/>
              </w:rPr>
              <w:t>(c)</w:t>
            </w:r>
          </w:p>
        </w:tc>
        <w:tc>
          <w:tcPr>
            <w:tcW w:w="320" w:type="dxa"/>
            <w:vAlign w:val="bottom"/>
          </w:tcPr>
          <w:p>
            <w:pPr>
              <w:spacing w:after="0"/>
              <w:rPr>
                <w:sz w:val="24"/>
                <w:szCs w:val="24"/>
                <w:color w:val="auto"/>
              </w:rPr>
            </w:pPr>
          </w:p>
        </w:tc>
        <w:tc>
          <w:tcPr>
            <w:tcW w:w="6140" w:type="dxa"/>
            <w:vAlign w:val="bottom"/>
            <w:gridSpan w:val="5"/>
          </w:tcPr>
          <w:p>
            <w:pPr>
              <w:jc w:val="right"/>
              <w:ind w:right="1000"/>
              <w:spacing w:after="0"/>
              <w:rPr>
                <w:sz w:val="20"/>
                <w:szCs w:val="20"/>
                <w:color w:val="auto"/>
              </w:rPr>
            </w:pPr>
            <w:r>
              <w:rPr>
                <w:rFonts w:ascii="Arial" w:cs="Arial" w:eastAsia="Arial" w:hAnsi="Arial"/>
                <w:sz w:val="22"/>
                <w:szCs w:val="22"/>
                <w:color w:val="auto"/>
                <w:w w:val="87"/>
              </w:rPr>
              <w:t>Reimbursement for Pre-Effective Date Costs and Expenses.</w:t>
            </w:r>
          </w:p>
        </w:tc>
      </w:tr>
      <w:tr>
        <w:trPr>
          <w:trHeight w:val="20"/>
        </w:trPr>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12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7"/>
        </w:trPr>
        <w:tc>
          <w:tcPr>
            <w:tcW w:w="3600" w:type="dxa"/>
            <w:vAlign w:val="bottom"/>
            <w:gridSpan w:val="2"/>
          </w:tcPr>
          <w:p>
            <w:pPr>
              <w:ind w:left="2580"/>
              <w:spacing w:after="0"/>
              <w:rPr>
                <w:sz w:val="20"/>
                <w:szCs w:val="20"/>
                <w:color w:val="auto"/>
              </w:rPr>
            </w:pPr>
            <w:r>
              <w:rPr>
                <w:rFonts w:ascii="Arial" w:cs="Arial" w:eastAsia="Arial" w:hAnsi="Arial"/>
                <w:sz w:val="21"/>
                <w:szCs w:val="21"/>
                <w:color w:val="auto"/>
              </w:rPr>
              <w:t>(i)</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80" w:type="dxa"/>
            <w:vAlign w:val="bottom"/>
            <w:gridSpan w:val="3"/>
          </w:tcPr>
          <w:p>
            <w:pPr>
              <w:jc w:val="right"/>
              <w:spacing w:after="0"/>
              <w:rPr>
                <w:sz w:val="20"/>
                <w:szCs w:val="20"/>
                <w:color w:val="auto"/>
              </w:rPr>
            </w:pPr>
            <w:r>
              <w:rPr>
                <w:rFonts w:ascii="Arial" w:cs="Arial" w:eastAsia="Arial" w:hAnsi="Arial"/>
                <w:sz w:val="22"/>
                <w:szCs w:val="22"/>
                <w:color w:val="auto"/>
                <w:w w:val="96"/>
              </w:rPr>
              <w:t>The Parties agree and acknowledge that, INFI’s and its</w:t>
            </w:r>
          </w:p>
        </w:tc>
      </w:tr>
      <w:tr>
        <w:trPr>
          <w:trHeight w:val="242"/>
        </w:trPr>
        <w:tc>
          <w:tcPr>
            <w:tcW w:w="7460" w:type="dxa"/>
            <w:vAlign w:val="bottom"/>
            <w:gridSpan w:val="6"/>
          </w:tcPr>
          <w:p>
            <w:pPr>
              <w:spacing w:after="0" w:line="242" w:lineRule="exact"/>
              <w:rPr>
                <w:sz w:val="20"/>
                <w:szCs w:val="20"/>
                <w:color w:val="auto"/>
              </w:rPr>
            </w:pPr>
            <w:r>
              <w:rPr>
                <w:rFonts w:ascii="Arial" w:cs="Arial" w:eastAsia="Arial" w:hAnsi="Arial"/>
                <w:sz w:val="22"/>
                <w:szCs w:val="22"/>
                <w:color w:val="auto"/>
                <w:w w:val="89"/>
              </w:rPr>
              <w:t>Affiliates’ aggregate internal costs and Out-of-Pocket Expenses related to the IPI-145</w:t>
            </w:r>
          </w:p>
        </w:tc>
        <w:tc>
          <w:tcPr>
            <w:tcW w:w="2600" w:type="dxa"/>
            <w:vAlign w:val="bottom"/>
            <w:gridSpan w:val="2"/>
          </w:tcPr>
          <w:p>
            <w:pPr>
              <w:jc w:val="right"/>
              <w:spacing w:after="0" w:line="242" w:lineRule="exact"/>
              <w:rPr>
                <w:sz w:val="20"/>
                <w:szCs w:val="20"/>
                <w:color w:val="auto"/>
              </w:rPr>
            </w:pPr>
            <w:r>
              <w:rPr>
                <w:rFonts w:ascii="Arial" w:cs="Arial" w:eastAsia="Arial" w:hAnsi="Arial"/>
                <w:sz w:val="22"/>
                <w:szCs w:val="22"/>
                <w:color w:val="auto"/>
                <w:w w:val="89"/>
              </w:rPr>
              <w:t>Product between July 1, 2016</w:t>
            </w:r>
          </w:p>
        </w:tc>
      </w:tr>
      <w:tr>
        <w:trPr>
          <w:trHeight w:val="242"/>
        </w:trPr>
        <w:tc>
          <w:tcPr>
            <w:tcW w:w="3600" w:type="dxa"/>
            <w:vAlign w:val="bottom"/>
            <w:gridSpan w:val="2"/>
          </w:tcPr>
          <w:p>
            <w:pPr>
              <w:spacing w:after="0" w:line="242" w:lineRule="exact"/>
              <w:rPr>
                <w:sz w:val="20"/>
                <w:szCs w:val="20"/>
                <w:color w:val="auto"/>
              </w:rPr>
            </w:pPr>
            <w:r>
              <w:rPr>
                <w:rFonts w:ascii="Arial" w:cs="Arial" w:eastAsia="Arial" w:hAnsi="Arial"/>
                <w:sz w:val="22"/>
                <w:szCs w:val="22"/>
                <w:color w:val="auto"/>
                <w:w w:val="97"/>
              </w:rPr>
              <w:t>and October 31, 2016, and INFI’s and</w:t>
            </w:r>
          </w:p>
        </w:tc>
        <w:tc>
          <w:tcPr>
            <w:tcW w:w="1280" w:type="dxa"/>
            <w:vAlign w:val="bottom"/>
            <w:gridSpan w:val="3"/>
          </w:tcPr>
          <w:p>
            <w:pPr>
              <w:jc w:val="right"/>
              <w:spacing w:after="0" w:line="242" w:lineRule="exact"/>
              <w:rPr>
                <w:sz w:val="20"/>
                <w:szCs w:val="20"/>
                <w:color w:val="auto"/>
              </w:rPr>
            </w:pPr>
            <w:r>
              <w:rPr>
                <w:rFonts w:ascii="Arial" w:cs="Arial" w:eastAsia="Arial" w:hAnsi="Arial"/>
                <w:sz w:val="22"/>
                <w:szCs w:val="22"/>
                <w:color w:val="auto"/>
              </w:rPr>
              <w:t>its Affiliates’</w:t>
            </w:r>
          </w:p>
        </w:tc>
        <w:tc>
          <w:tcPr>
            <w:tcW w:w="2580" w:type="dxa"/>
            <w:vAlign w:val="bottom"/>
          </w:tcPr>
          <w:p>
            <w:pPr>
              <w:ind w:left="60"/>
              <w:spacing w:after="0" w:line="242" w:lineRule="exact"/>
              <w:rPr>
                <w:sz w:val="20"/>
                <w:szCs w:val="20"/>
                <w:color w:val="auto"/>
              </w:rPr>
            </w:pPr>
            <w:r>
              <w:rPr>
                <w:rFonts w:ascii="Arial" w:cs="Arial" w:eastAsia="Arial" w:hAnsi="Arial"/>
                <w:sz w:val="22"/>
                <w:szCs w:val="22"/>
                <w:color w:val="auto"/>
                <w:w w:val="96"/>
              </w:rPr>
              <w:t>costs related to the clinical</w:t>
            </w:r>
          </w:p>
        </w:tc>
        <w:tc>
          <w:tcPr>
            <w:tcW w:w="2600" w:type="dxa"/>
            <w:vAlign w:val="bottom"/>
            <w:gridSpan w:val="2"/>
          </w:tcPr>
          <w:p>
            <w:pPr>
              <w:jc w:val="right"/>
              <w:spacing w:after="0" w:line="242" w:lineRule="exact"/>
              <w:rPr>
                <w:sz w:val="20"/>
                <w:szCs w:val="20"/>
                <w:color w:val="auto"/>
              </w:rPr>
            </w:pPr>
            <w:r>
              <w:rPr>
                <w:rFonts w:ascii="Arial" w:cs="Arial" w:eastAsia="Arial" w:hAnsi="Arial"/>
                <w:sz w:val="22"/>
                <w:szCs w:val="22"/>
                <w:color w:val="auto"/>
                <w:w w:val="94"/>
              </w:rPr>
              <w:t>studies described in Section</w:t>
            </w:r>
          </w:p>
        </w:tc>
      </w:tr>
      <w:tr>
        <w:trPr>
          <w:trHeight w:val="223"/>
        </w:trPr>
        <w:tc>
          <w:tcPr>
            <w:tcW w:w="4880" w:type="dxa"/>
            <w:vAlign w:val="bottom"/>
            <w:gridSpan w:val="5"/>
          </w:tcPr>
          <w:p>
            <w:pPr>
              <w:spacing w:after="0" w:line="223" w:lineRule="exact"/>
              <w:rPr>
                <w:sz w:val="20"/>
                <w:szCs w:val="20"/>
                <w:color w:val="auto"/>
              </w:rPr>
            </w:pPr>
            <w:r>
              <w:rPr>
                <w:rFonts w:ascii="Arial" w:cs="Arial" w:eastAsia="Arial" w:hAnsi="Arial"/>
                <w:sz w:val="22"/>
                <w:szCs w:val="22"/>
                <w:color w:val="auto"/>
                <w:w w:val="98"/>
              </w:rPr>
              <w:t>3.1.4(b), are estimated at [* * *] (the “Reimbursable</w:t>
            </w:r>
          </w:p>
        </w:tc>
        <w:tc>
          <w:tcPr>
            <w:tcW w:w="2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88"/>
        </w:trPr>
        <w:tc>
          <w:tcPr>
            <w:tcW w:w="3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2580" w:type="dxa"/>
            <w:vAlign w:val="bottom"/>
          </w:tcPr>
          <w:p>
            <w:pPr>
              <w:ind w:left="40"/>
              <w:spacing w:after="0"/>
              <w:rPr>
                <w:sz w:val="20"/>
                <w:szCs w:val="20"/>
                <w:color w:val="auto"/>
              </w:rPr>
            </w:pPr>
            <w:r>
              <w:rPr>
                <w:rFonts w:ascii="Arial" w:cs="Arial" w:eastAsia="Arial" w:hAnsi="Arial"/>
                <w:sz w:val="22"/>
                <w:szCs w:val="22"/>
                <w:color w:val="auto"/>
              </w:rPr>
              <w:t>21 -</w:t>
            </w: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8"/>
        </w:trPr>
        <w:tc>
          <w:tcPr>
            <w:tcW w:w="3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12" w:right="919" w:bottom="1440" w:gutter="0" w:footer="0" w:header="0"/>
        </w:sectPr>
      </w:pPr>
    </w:p>
    <w:bookmarkStart w:id="167" w:name="page168"/>
    <w:bookmarkEnd w:id="167"/>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Amount</w:t>
      </w:r>
      <w:r>
        <w:rPr>
          <w:rFonts w:ascii="Arial" w:cs="Arial" w:eastAsia="Arial" w:hAnsi="Arial"/>
          <w:sz w:val="19"/>
          <w:szCs w:val="19"/>
          <w:color w:val="auto"/>
        </w:rPr>
        <w:t>”). Subject to the terms and conditions of this Agreement, Licensee shall reimburse such costs by paying to</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INFI the following amounts:</w:t>
      </w:r>
    </w:p>
    <w:p>
      <w:pPr>
        <w:spacing w:after="0" w:line="187" w:lineRule="exact"/>
        <w:rPr>
          <w:sz w:val="20"/>
          <w:szCs w:val="20"/>
          <w:color w:val="auto"/>
        </w:rPr>
      </w:pPr>
    </w:p>
    <w:p>
      <w:pPr>
        <w:jc w:val="both"/>
        <w:ind w:firstLine="3230"/>
        <w:spacing w:after="0" w:line="239" w:lineRule="auto"/>
        <w:rPr>
          <w:sz w:val="20"/>
          <w:szCs w:val="20"/>
          <w:color w:val="auto"/>
        </w:rPr>
      </w:pPr>
      <w:r>
        <w:rPr>
          <w:rFonts w:ascii="Arial" w:cs="Arial" w:eastAsia="Arial" w:hAnsi="Arial"/>
          <w:sz w:val="22"/>
          <w:szCs w:val="22"/>
          <w:color w:val="auto"/>
        </w:rPr>
        <w:t xml:space="preserve">(1) Six Million Dollars ($6,000,000) upon the determination that the DUO clinical trial has met its [* * *], each as defined in the DUO clinical trial protocol, attached as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(such event, the “</w:t>
      </w:r>
      <w:r>
        <w:rPr>
          <w:rFonts w:ascii="Arial" w:cs="Arial" w:eastAsia="Arial" w:hAnsi="Arial"/>
          <w:sz w:val="22"/>
          <w:szCs w:val="22"/>
          <w:u w:val="single" w:color="auto"/>
          <w:color w:val="auto"/>
        </w:rPr>
        <w:t>DUO Reimbursement Event</w:t>
      </w:r>
      <w:r>
        <w:rPr>
          <w:rFonts w:ascii="Arial" w:cs="Arial" w:eastAsia="Arial" w:hAnsi="Arial"/>
          <w:sz w:val="22"/>
          <w:szCs w:val="22"/>
          <w:color w:val="auto"/>
        </w:rPr>
        <w:t>”) and;</w:t>
      </w:r>
    </w:p>
    <w:p>
      <w:pPr>
        <w:spacing w:after="0" w:line="186" w:lineRule="exact"/>
        <w:rPr>
          <w:sz w:val="20"/>
          <w:szCs w:val="20"/>
          <w:color w:val="auto"/>
        </w:rPr>
      </w:pPr>
    </w:p>
    <w:p>
      <w:pPr>
        <w:jc w:val="both"/>
        <w:ind w:firstLine="3230"/>
        <w:spacing w:after="0"/>
        <w:rPr>
          <w:sz w:val="20"/>
          <w:szCs w:val="20"/>
          <w:color w:val="auto"/>
        </w:rPr>
      </w:pPr>
      <w:r>
        <w:rPr>
          <w:rFonts w:ascii="Arial" w:cs="Arial" w:eastAsia="Arial" w:hAnsi="Arial"/>
          <w:sz w:val="22"/>
          <w:szCs w:val="22"/>
          <w:color w:val="auto"/>
        </w:rPr>
        <w:t>(2) Twenty-Two Million Dollars ($22,000,000) upon the approval of an NDA or MAA for an IPI-145 Product (such event, the “</w:t>
      </w:r>
      <w:r>
        <w:rPr>
          <w:rFonts w:ascii="Arial" w:cs="Arial" w:eastAsia="Arial" w:hAnsi="Arial"/>
          <w:sz w:val="22"/>
          <w:szCs w:val="22"/>
          <w:u w:val="single" w:color="auto"/>
          <w:color w:val="auto"/>
        </w:rPr>
        <w:t>Approval</w:t>
      </w:r>
      <w:r>
        <w:rPr>
          <w:rFonts w:ascii="Arial" w:cs="Arial" w:eastAsia="Arial" w:hAnsi="Arial"/>
          <w:sz w:val="22"/>
          <w:szCs w:val="22"/>
          <w:color w:val="auto"/>
        </w:rPr>
        <w:t xml:space="preserve"> </w:t>
      </w:r>
      <w:r>
        <w:rPr>
          <w:rFonts w:ascii="Arial" w:cs="Arial" w:eastAsia="Arial" w:hAnsi="Arial"/>
          <w:sz w:val="22"/>
          <w:szCs w:val="22"/>
          <w:u w:val="single" w:color="auto"/>
          <w:color w:val="auto"/>
        </w:rPr>
        <w:t>Reimbursement Event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To the extent that the payments made to INFI under Sections 3.1.2(c)(1) and 3.1.2(c)(2) are less than the Reimbursable Amount, the remainder of the Reimbursable Amount shall be reimbursed to INFI through the payment of royalties pursuant to Section 6.1.1.</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Licensee shall pay the amounts set forth in Section 3.1.2(c)(i)(1) and Section 3.1.2(c)(i)(2) within [* * *] days after the achievement of the relevant Reimbursement Event;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Licensee shall have no obligation to make the relevant Reimbursement Payment upon the achievement of the applicable Reimbursement Event until INFI shall have completed the items marked as “Key Items” on the Transition Plan that were to have been completed (as set forth in the Transition Plan) prior to the date on which such Reimbursement Event is achieved. Within [* * *] calendar days after Licensee becomes aware that a Reimbursement Event has been achieved, it shall notify INFI thereof in writing (the “</w:t>
      </w:r>
      <w:r>
        <w:rPr>
          <w:rFonts w:ascii="Arial" w:cs="Arial" w:eastAsia="Arial" w:hAnsi="Arial"/>
          <w:sz w:val="20"/>
          <w:szCs w:val="20"/>
          <w:u w:val="single" w:color="auto"/>
          <w:color w:val="auto"/>
        </w:rPr>
        <w:t>Reimbursement Notice</w:t>
      </w:r>
      <w:r>
        <w:rPr>
          <w:rFonts w:ascii="Arial" w:cs="Arial" w:eastAsia="Arial" w:hAnsi="Arial"/>
          <w:sz w:val="20"/>
          <w:szCs w:val="20"/>
          <w:color w:val="auto"/>
        </w:rPr>
        <w:t>”) and shall issue a public announcement of such achievement, which announcement shall have been subject to written approval by INFI, such approval not to be unreasonably withheld, conditioned or delayed. The date of such public announcement is hereinafter referred to as the “</w:t>
      </w:r>
      <w:r>
        <w:rPr>
          <w:rFonts w:ascii="Arial" w:cs="Arial" w:eastAsia="Arial" w:hAnsi="Arial"/>
          <w:sz w:val="20"/>
          <w:szCs w:val="20"/>
          <w:u w:val="single" w:color="auto"/>
          <w:color w:val="auto"/>
        </w:rPr>
        <w:t>Reimbursement Announcement Date</w:t>
      </w:r>
      <w:r>
        <w:rPr>
          <w:rFonts w:ascii="Arial" w:cs="Arial" w:eastAsia="Arial" w:hAnsi="Arial"/>
          <w:sz w:val="20"/>
          <w:szCs w:val="20"/>
          <w:color w:val="auto"/>
        </w:rPr>
        <w:t>.”</w:t>
      </w:r>
    </w:p>
    <w:p>
      <w:pPr>
        <w:spacing w:after="0" w:line="175" w:lineRule="exact"/>
        <w:rPr>
          <w:sz w:val="20"/>
          <w:szCs w:val="20"/>
          <w:color w:val="auto"/>
        </w:rPr>
      </w:pPr>
    </w:p>
    <w:p>
      <w:pPr>
        <w:jc w:val="both"/>
        <w:ind w:firstLine="2584"/>
        <w:spacing w:after="0" w:line="245" w:lineRule="auto"/>
        <w:rPr>
          <w:sz w:val="20"/>
          <w:szCs w:val="20"/>
          <w:color w:val="auto"/>
        </w:rPr>
      </w:pPr>
      <w:r>
        <w:rPr>
          <w:rFonts w:ascii="Arial" w:cs="Arial" w:eastAsia="Arial" w:hAnsi="Arial"/>
          <w:sz w:val="21"/>
          <w:szCs w:val="21"/>
          <w:color w:val="auto"/>
        </w:rPr>
        <w:t xml:space="preserve">(ii) </w:t>
      </w:r>
      <w:r>
        <w:rPr>
          <w:rFonts w:ascii="Arial" w:cs="Arial" w:eastAsia="Arial" w:hAnsi="Arial"/>
          <w:sz w:val="21"/>
          <w:szCs w:val="21"/>
          <w:u w:val="single" w:color="auto"/>
          <w:color w:val="auto"/>
        </w:rPr>
        <w:t>Form of Payment</w:t>
      </w:r>
      <w:r>
        <w:rPr>
          <w:rFonts w:ascii="Arial" w:cs="Arial" w:eastAsia="Arial" w:hAnsi="Arial"/>
          <w:sz w:val="21"/>
          <w:szCs w:val="21"/>
          <w:color w:val="auto"/>
        </w:rPr>
        <w:t>. Within [* * *] days after the achievement of the relevant Reimbursement Event set forth in Section 3.1.2(c)(i)(1) or Section 3.1.2(c)(i)(2), Licensee shall make a Reimbursement Payment (1) in Dollars in immediately available funds, or (2) in lieu of (or as partial consideration with) making the Reimbursement Payment in Dollars, by issuing shares of its common stock, $0.0001 par value per share (“</w:t>
      </w:r>
      <w:r>
        <w:rPr>
          <w:rFonts w:ascii="Arial" w:cs="Arial" w:eastAsia="Arial" w:hAnsi="Arial"/>
          <w:sz w:val="21"/>
          <w:szCs w:val="21"/>
          <w:u w:val="single" w:color="auto"/>
          <w:color w:val="auto"/>
        </w:rPr>
        <w:t>Licensee Common Stock</w:t>
      </w:r>
      <w:r>
        <w:rPr>
          <w:rFonts w:ascii="Arial" w:cs="Arial" w:eastAsia="Arial" w:hAnsi="Arial"/>
          <w:sz w:val="21"/>
          <w:szCs w:val="21"/>
          <w:color w:val="auto"/>
        </w:rPr>
        <w:t>”), such shares constituting “restricted securities” within the meaning of Rule 144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As part of any Reimbursement Notice, Licensee shall inform INFI of its form of payment election, whether in Dollars, shares of Licensee Common Stock or a combination of any of the foregoing.</w:t>
      </w:r>
    </w:p>
    <w:p>
      <w:pPr>
        <w:spacing w:after="0" w:line="181" w:lineRule="exact"/>
        <w:rPr>
          <w:sz w:val="20"/>
          <w:szCs w:val="20"/>
          <w:color w:val="auto"/>
        </w:rPr>
      </w:pPr>
    </w:p>
    <w:p>
      <w:pPr>
        <w:ind w:left="2580"/>
        <w:spacing w:after="0"/>
        <w:tabs>
          <w:tab w:leader="none" w:pos="514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u w:val="single" w:color="auto"/>
          <w:color w:val="auto"/>
        </w:rPr>
        <w:t>Calculating Reimbursement Payments</w:t>
      </w:r>
      <w:r>
        <w:rPr>
          <w:rFonts w:ascii="Arial" w:cs="Arial" w:eastAsia="Arial" w:hAnsi="Arial"/>
          <w:sz w:val="19"/>
          <w:szCs w:val="19"/>
          <w:color w:val="auto"/>
        </w:rPr>
        <w:t>.  For any portion</w:t>
      </w:r>
    </w:p>
    <w:p>
      <w:pPr>
        <w:spacing w:after="0" w:line="4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of any Reimbursement Payment in which Licensee elects to issue shares of Licensee Common Stock, the number of shares of Licensee Common Stock to be so issued will be determined by multiplying (1) 1.025 by (2) the number of shares of Licensee Common Stock equal to (a) the amount of the Reimbursement Payment to be paid in shares of Licensee Common Stock, divided by (b)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68" w:name="page169"/>
    <w:bookmarkEnd w:id="168"/>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average closing price of a share of Licensee Common Stock as quoted on NASDAQ for the twenty (20) day period following the Reimbursement Announcement Date.</w:t>
      </w:r>
    </w:p>
    <w:p>
      <w:pPr>
        <w:spacing w:after="0" w:line="175" w:lineRule="exact"/>
        <w:rPr>
          <w:sz w:val="20"/>
          <w:szCs w:val="20"/>
          <w:color w:val="auto"/>
        </w:rPr>
      </w:pPr>
    </w:p>
    <w:p>
      <w:pPr>
        <w:jc w:val="both"/>
        <w:ind w:firstLine="2584"/>
        <w:spacing w:after="0" w:line="256" w:lineRule="auto"/>
        <w:rPr>
          <w:sz w:val="20"/>
          <w:szCs w:val="20"/>
          <w:color w:val="auto"/>
        </w:rPr>
      </w:pPr>
      <w:r>
        <w:rPr>
          <w:rFonts w:ascii="Arial" w:cs="Arial" w:eastAsia="Arial" w:hAnsi="Arial"/>
          <w:sz w:val="20"/>
          <w:szCs w:val="20"/>
          <w:color w:val="auto"/>
        </w:rPr>
        <w:t xml:space="preserve">(iv) </w:t>
      </w:r>
      <w:r>
        <w:rPr>
          <w:rFonts w:ascii="Arial" w:cs="Arial" w:eastAsia="Arial" w:hAnsi="Arial"/>
          <w:sz w:val="20"/>
          <w:szCs w:val="20"/>
          <w:u w:val="single" w:color="auto"/>
          <w:color w:val="auto"/>
        </w:rPr>
        <w:t>Registration Rights</w:t>
      </w:r>
      <w:r>
        <w:rPr>
          <w:rFonts w:ascii="Arial" w:cs="Arial" w:eastAsia="Arial" w:hAnsi="Arial"/>
          <w:sz w:val="20"/>
          <w:szCs w:val="20"/>
          <w:color w:val="auto"/>
        </w:rPr>
        <w:t>. If Licensee issues shares of Licensee Common Stock to INFI to satisfy all or a portion of a Reimbursement Payment, Licensee shall as promptly as possible, but no later than [* * *] Business Days following the issuance of such shares, file a registration statement on Form S-3 (or such other registration statement then available to Licensee, each, a “</w:t>
      </w:r>
      <w:r>
        <w:rPr>
          <w:rFonts w:ascii="Arial" w:cs="Arial" w:eastAsia="Arial" w:hAnsi="Arial"/>
          <w:sz w:val="20"/>
          <w:szCs w:val="20"/>
          <w:u w:val="single" w:color="auto"/>
          <w:color w:val="auto"/>
        </w:rPr>
        <w:t>Registration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Statement</w:t>
      </w:r>
      <w:r>
        <w:rPr>
          <w:rFonts w:ascii="Arial" w:cs="Arial" w:eastAsia="Arial" w:hAnsi="Arial"/>
          <w:sz w:val="20"/>
          <w:szCs w:val="20"/>
          <w:color w:val="auto"/>
        </w:rPr>
        <w:t>”) with the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registering all such shares of Licensee Common Stock issued as consideration for all or a portion of such Reimbursement Payment. Licensee shall use commercially reasonable efforts to have the applicable Registration Statement and the related prospectuses declared effective by the SEC as soon as possible thereafter and to prepare and file with the SEC such amendments and supplements to the registration as may be necessary to keep such Registration Statement effective until the first anniversary of the effective date of such Registration Statement. The obligations of the Licensee to maintain an effective Registration Statement under this Section 3.1.2(c)(iv) for any issuance of Licensee Common Stock shall cease on the first anniversary of the effective date of such Registration Statement.</w:t>
      </w:r>
    </w:p>
    <w:p>
      <w:pPr>
        <w:spacing w:after="0" w:line="179" w:lineRule="exact"/>
        <w:rPr>
          <w:sz w:val="20"/>
          <w:szCs w:val="20"/>
          <w:color w:val="auto"/>
        </w:rPr>
      </w:pPr>
    </w:p>
    <w:p>
      <w:pPr>
        <w:jc w:val="both"/>
        <w:ind w:firstLine="2584"/>
        <w:spacing w:after="0" w:line="251" w:lineRule="auto"/>
        <w:rPr>
          <w:sz w:val="20"/>
          <w:szCs w:val="20"/>
          <w:color w:val="auto"/>
        </w:rPr>
      </w:pPr>
      <w:r>
        <w:rPr>
          <w:rFonts w:ascii="Arial" w:cs="Arial" w:eastAsia="Arial" w:hAnsi="Arial"/>
          <w:sz w:val="21"/>
          <w:szCs w:val="21"/>
          <w:color w:val="auto"/>
        </w:rPr>
        <w:t xml:space="preserve">(v) </w:t>
      </w:r>
      <w:r>
        <w:rPr>
          <w:rFonts w:ascii="Arial" w:cs="Arial" w:eastAsia="Arial" w:hAnsi="Arial"/>
          <w:sz w:val="21"/>
          <w:szCs w:val="21"/>
          <w:u w:val="single" w:color="auto"/>
          <w:color w:val="auto"/>
        </w:rPr>
        <w:t>Resale Limitations</w:t>
      </w:r>
      <w:r>
        <w:rPr>
          <w:rFonts w:ascii="Arial" w:cs="Arial" w:eastAsia="Arial" w:hAnsi="Arial"/>
          <w:sz w:val="21"/>
          <w:szCs w:val="21"/>
          <w:color w:val="auto"/>
        </w:rPr>
        <w:t>. In any resales within the first three months after the effective date of the applicable Registration Statement, regardless of whether conducted pursuant to the Registration Statement, INFI shall effect such sales only through [* * *] or another broker to be mutually agreed upon between INFI and Licensee.</w:t>
      </w:r>
    </w:p>
    <w:p>
      <w:pPr>
        <w:spacing w:after="0" w:line="174" w:lineRule="exact"/>
        <w:rPr>
          <w:sz w:val="20"/>
          <w:szCs w:val="20"/>
          <w:color w:val="auto"/>
        </w:rPr>
      </w:pPr>
    </w:p>
    <w:p>
      <w:pPr>
        <w:jc w:val="both"/>
        <w:ind w:firstLine="2584"/>
        <w:spacing w:after="0" w:line="272" w:lineRule="auto"/>
        <w:rPr>
          <w:sz w:val="20"/>
          <w:szCs w:val="20"/>
          <w:color w:val="auto"/>
        </w:rPr>
      </w:pPr>
      <w:r>
        <w:rPr>
          <w:rFonts w:ascii="Arial" w:cs="Arial" w:eastAsia="Arial" w:hAnsi="Arial"/>
          <w:sz w:val="21"/>
          <w:szCs w:val="21"/>
          <w:color w:val="auto"/>
        </w:rPr>
        <w:t xml:space="preserve">(vi) </w:t>
      </w:r>
      <w:r>
        <w:rPr>
          <w:rFonts w:ascii="Arial" w:cs="Arial" w:eastAsia="Arial" w:hAnsi="Arial"/>
          <w:sz w:val="21"/>
          <w:szCs w:val="21"/>
          <w:u w:val="single" w:color="auto"/>
          <w:color w:val="auto"/>
        </w:rPr>
        <w:t>Legends</w:t>
      </w:r>
      <w:r>
        <w:rPr>
          <w:rFonts w:ascii="Arial" w:cs="Arial" w:eastAsia="Arial" w:hAnsi="Arial"/>
          <w:sz w:val="21"/>
          <w:szCs w:val="21"/>
          <w:color w:val="auto"/>
        </w:rPr>
        <w:t>. All Licensee Common Stock issued as consideration for all or a portion of a Reimbursement Payment shall bear the following legend:</w:t>
      </w:r>
    </w:p>
    <w:p>
      <w:pPr>
        <w:spacing w:after="0" w:line="152" w:lineRule="exact"/>
        <w:rPr>
          <w:sz w:val="20"/>
          <w:szCs w:val="20"/>
          <w:color w:val="auto"/>
        </w:rPr>
      </w:pPr>
    </w:p>
    <w:p>
      <w:pPr>
        <w:jc w:val="both"/>
        <w:ind w:left="640" w:right="640"/>
        <w:spacing w:after="0" w:line="257" w:lineRule="auto"/>
        <w:rPr>
          <w:sz w:val="20"/>
          <w:szCs w:val="20"/>
          <w:color w:val="auto"/>
        </w:rPr>
      </w:pPr>
      <w:r>
        <w:rPr>
          <w:rFonts w:ascii="Arial" w:cs="Arial" w:eastAsia="Arial" w:hAnsi="Arial"/>
          <w:sz w:val="20"/>
          <w:szCs w:val="20"/>
          <w:color w:val="auto"/>
        </w:rPr>
        <w:t>THESE SECURITIES HAVE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w:t>
      </w:r>
    </w:p>
    <w:p>
      <w:pPr>
        <w:spacing w:after="0" w:line="200" w:lineRule="exact"/>
        <w:rPr>
          <w:sz w:val="20"/>
          <w:szCs w:val="20"/>
          <w:color w:val="auto"/>
        </w:rPr>
      </w:pPr>
    </w:p>
    <w:p>
      <w:pPr>
        <w:spacing w:after="0" w:line="217" w:lineRule="exact"/>
        <w:rPr>
          <w:sz w:val="20"/>
          <w:szCs w:val="20"/>
          <w:color w:val="auto"/>
        </w:rPr>
      </w:pPr>
    </w:p>
    <w:p>
      <w:pPr>
        <w:ind w:left="2580"/>
        <w:spacing w:after="0"/>
        <w:tabs>
          <w:tab w:leader="none" w:pos="5180" w:val="left"/>
          <w:tab w:leader="none" w:pos="6760" w:val="left"/>
          <w:tab w:leader="none" w:pos="7960" w:val="left"/>
          <w:tab w:leader="none" w:pos="8880" w:val="left"/>
          <w:tab w:leader="none" w:pos="9460" w:val="left"/>
        </w:tabs>
        <w:rPr>
          <w:sz w:val="20"/>
          <w:szCs w:val="20"/>
          <w:color w:val="auto"/>
        </w:rPr>
      </w:pPr>
      <w:r>
        <w:rPr>
          <w:rFonts w:ascii="Arial" w:cs="Arial" w:eastAsia="Arial" w:hAnsi="Arial"/>
          <w:sz w:val="21"/>
          <w:szCs w:val="21"/>
          <w:color w:val="auto"/>
        </w:rPr>
        <w:t>(vii)</w:t>
      </w:r>
      <w:r>
        <w:rPr>
          <w:sz w:val="20"/>
          <w:szCs w:val="20"/>
          <w:color w:val="auto"/>
        </w:rPr>
        <w:tab/>
      </w:r>
      <w:r>
        <w:rPr>
          <w:rFonts w:ascii="Arial" w:cs="Arial" w:eastAsia="Arial" w:hAnsi="Arial"/>
          <w:sz w:val="22"/>
          <w:szCs w:val="22"/>
          <w:u w:val="single" w:color="auto"/>
          <w:color w:val="auto"/>
        </w:rPr>
        <w:t>Authorizations;</w:t>
      </w:r>
      <w:r>
        <w:rPr>
          <w:sz w:val="20"/>
          <w:szCs w:val="20"/>
          <w:color w:val="auto"/>
        </w:rPr>
        <w:tab/>
      </w:r>
      <w:r>
        <w:rPr>
          <w:rFonts w:ascii="Arial" w:cs="Arial" w:eastAsia="Arial" w:hAnsi="Arial"/>
          <w:sz w:val="22"/>
          <w:szCs w:val="22"/>
          <w:u w:val="single" w:color="auto"/>
          <w:color w:val="auto"/>
        </w:rPr>
        <w:t>Approvals;</w:t>
        <w:tab/>
        <w:t>Timing</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The</w:t>
      </w:r>
      <w:r>
        <w:rPr>
          <w:sz w:val="20"/>
          <w:szCs w:val="20"/>
          <w:color w:val="auto"/>
        </w:rPr>
        <w:tab/>
      </w:r>
      <w:r>
        <w:rPr>
          <w:rFonts w:ascii="Arial" w:cs="Arial" w:eastAsia="Arial" w:hAnsi="Arial"/>
          <w:sz w:val="18"/>
          <w:szCs w:val="18"/>
          <w:color w:val="auto"/>
        </w:rPr>
        <w:t>Parties</w:t>
      </w:r>
    </w:p>
    <w:p>
      <w:pPr>
        <w:spacing w:after="0" w:line="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acknowledge and agree that it shall be a condition to the closing of the sale of any issuance of shares of Licensee Common Stock that: (i) all material authorizations, consents, orders or approvals of, or regulations, declarations or filings with, or expirations of applicable waiting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69" w:name="page170"/>
    <w:bookmarkEnd w:id="169"/>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periods imposed by, any Governmental Authority necessary for the consummation of the sale of such shares shall have been obtained or filed or shall have occurred (as applicable), and (ii) INFI shall have received such customary certificates, instruments or other similar closing deliverables as it may reasonably request. Notwithstanding anything herein to the contrary, in no event will Licensee issue any shares of Licensee Common Stock without first obtaining approval from its stockholders to the extent that such approval is then required as a condition to such issuance of such shares pursuant to NASDAQ Listing Rule 5635 or any successor rule. The right of Licensee to pay all or a portion of a Reimbursement Payment in shares of Licensee Common Stock shall immediately terminate if the closing of the sale of such shares shall not have taken place within [* * *] calendar days after the Reimbursement Announcement Date. In the event of such termination, Licensee shall, within a period of [* * *] Business Days thereafter, make such Reimbursement Payment to INFI in Dollars in immediately available funds.</w:t>
      </w:r>
    </w:p>
    <w:p>
      <w:pPr>
        <w:spacing w:after="0" w:line="162" w:lineRule="exact"/>
        <w:rPr>
          <w:sz w:val="20"/>
          <w:szCs w:val="20"/>
          <w:color w:val="auto"/>
        </w:rPr>
      </w:pPr>
    </w:p>
    <w:p>
      <w:pPr>
        <w:jc w:val="both"/>
        <w:ind w:firstLine="1292"/>
        <w:spacing w:after="0" w:line="234"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Subcontractors</w:t>
      </w:r>
      <w:r>
        <w:rPr>
          <w:rFonts w:ascii="Arial" w:cs="Arial" w:eastAsia="Arial" w:hAnsi="Arial"/>
          <w:sz w:val="22"/>
          <w:szCs w:val="22"/>
          <w:color w:val="auto"/>
        </w:rPr>
        <w:t xml:space="preserve">. Licensee may perform its Development, Manufacturing or Commercialization rights or obligations under this Agreement through one or more subcontractors or consultants,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(a) Licensee shall remain responsible for the work allocated to, and payment to, such subcontractors and consultants as it selects to the same extent it would if it had done such work itself; and (b) each such subcontractor or consultant shall undertake in writing obligations of confidentiality and non-use regarding INFI’s Confidential Information that are no less restrictive than those undertaken by Licensee pursuant to ARTICLE 8 hereof.</w:t>
      </w:r>
    </w:p>
    <w:p>
      <w:pPr>
        <w:spacing w:after="0" w:line="155"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3.1.4</w:t>
            </w:r>
          </w:p>
        </w:tc>
        <w:tc>
          <w:tcPr>
            <w:tcW w:w="7360" w:type="dxa"/>
            <w:vAlign w:val="bottom"/>
            <w:gridSpan w:val="2"/>
          </w:tcPr>
          <w:p>
            <w:pPr>
              <w:spacing w:after="0"/>
              <w:rPr>
                <w:sz w:val="20"/>
                <w:szCs w:val="20"/>
                <w:color w:val="auto"/>
              </w:rPr>
            </w:pPr>
            <w:r>
              <w:rPr>
                <w:rFonts w:ascii="Arial" w:cs="Arial" w:eastAsia="Arial" w:hAnsi="Arial"/>
                <w:sz w:val="22"/>
                <w:szCs w:val="22"/>
                <w:color w:val="auto"/>
              </w:rPr>
              <w:t>Continuation of Clinical Trials.</w:t>
            </w:r>
          </w:p>
        </w:tc>
      </w:tr>
      <w:tr>
        <w:trPr>
          <w:trHeight w:val="20"/>
        </w:trPr>
        <w:tc>
          <w:tcPr>
            <w:tcW w:w="14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75"/>
        </w:trPr>
        <w:tc>
          <w:tcPr>
            <w:tcW w:w="1400" w:type="dxa"/>
            <w:vAlign w:val="bottom"/>
          </w:tcPr>
          <w:p>
            <w:pPr>
              <w:jc w:val="right"/>
              <w:ind w:right="412"/>
              <w:spacing w:after="0"/>
              <w:rPr>
                <w:sz w:val="20"/>
                <w:szCs w:val="20"/>
                <w:color w:val="auto"/>
              </w:rPr>
            </w:pPr>
            <w:r>
              <w:rPr>
                <w:rFonts w:ascii="Arial" w:cs="Arial" w:eastAsia="Arial" w:hAnsi="Arial"/>
                <w:sz w:val="22"/>
                <w:szCs w:val="22"/>
                <w:color w:val="auto"/>
              </w:rPr>
              <w:t>(a)</w:t>
            </w:r>
          </w:p>
        </w:tc>
        <w:tc>
          <w:tcPr>
            <w:tcW w:w="7360" w:type="dxa"/>
            <w:vAlign w:val="bottom"/>
            <w:gridSpan w:val="2"/>
          </w:tcPr>
          <w:p>
            <w:pPr>
              <w:ind w:left="1220"/>
              <w:spacing w:after="0"/>
              <w:rPr>
                <w:sz w:val="20"/>
                <w:szCs w:val="20"/>
                <w:color w:val="auto"/>
              </w:rPr>
            </w:pPr>
            <w:r>
              <w:rPr>
                <w:rFonts w:ascii="Arial" w:cs="Arial" w:eastAsia="Arial" w:hAnsi="Arial"/>
                <w:sz w:val="22"/>
                <w:szCs w:val="22"/>
                <w:color w:val="auto"/>
                <w:w w:val="97"/>
              </w:rPr>
              <w:t>Licensee shall assume all costs associated with the [* * *] clinical</w:t>
            </w:r>
          </w:p>
        </w:tc>
      </w:tr>
    </w:tbl>
    <w:p>
      <w:pPr>
        <w:jc w:val="both"/>
        <w:spacing w:after="0" w:line="236" w:lineRule="auto"/>
        <w:rPr>
          <w:sz w:val="20"/>
          <w:szCs w:val="20"/>
          <w:color w:val="auto"/>
        </w:rPr>
      </w:pPr>
      <w:r>
        <w:rPr>
          <w:rFonts w:ascii="Arial" w:cs="Arial" w:eastAsia="Arial" w:hAnsi="Arial"/>
          <w:sz w:val="22"/>
          <w:szCs w:val="22"/>
          <w:color w:val="auto"/>
        </w:rPr>
        <w:t>trials as of [* * *] (unless Licensee provides INFI with written notice prior to [* * *] that the [* * *] clinical trial will be wound down, in which case it shall be wound down under Section 3.1.4(b)).</w:t>
      </w:r>
    </w:p>
    <w:p>
      <w:pPr>
        <w:spacing w:after="0" w:line="184" w:lineRule="exact"/>
        <w:rPr>
          <w:sz w:val="20"/>
          <w:szCs w:val="20"/>
          <w:color w:val="auto"/>
        </w:rPr>
      </w:pPr>
    </w:p>
    <w:p>
      <w:pPr>
        <w:jc w:val="both"/>
        <w:ind w:firstLine="1938"/>
        <w:spacing w:after="0" w:line="257" w:lineRule="auto"/>
        <w:rPr>
          <w:sz w:val="20"/>
          <w:szCs w:val="20"/>
          <w:color w:val="auto"/>
        </w:rPr>
      </w:pPr>
      <w:r>
        <w:rPr>
          <w:rFonts w:ascii="Arial" w:cs="Arial" w:eastAsia="Arial" w:hAnsi="Arial"/>
          <w:sz w:val="20"/>
          <w:szCs w:val="20"/>
          <w:color w:val="auto"/>
        </w:rPr>
        <w:t xml:space="preserve">(b) INFI shall be responsible for winding down the [* * *] clinical trials (and the [* * *] clinical trial if Licensee elects to wind down the [* * *] clinical trial pursuant to Section 3.1.4(a)) until December 31, 2016, including the costs thereof, and shall use Diligent Efforts to wind down such clinical trials in accordance with the Transition Plan. After [* * *], Licensee shall become responsible for all activities and costs to wind down such clinical trials;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INFI shall reimburse Licensee for Licensee’s reasonable and documented Internal Personnel Expenses and Out-of-Pocket Expenses for winding down such clinical trials (such reimbursements to be made within [* * *] days of INFI’s receipt of invoice therefor from Licensee). In any event, INFI’s aggregate expenditures under this Section 3.1.4(b), including INFI’s reasonable and documented Internal Personnel Expenses and Out-of-Pocket Expenses and INFI’s reimbursement of Licensee’s reasonable and documented Internal Personnel Expenses and Out-of-Pocket Expenses, shall be capped at Four Million Five Hundred Thousand Dollars ($4,500,000).</w:t>
      </w:r>
    </w:p>
    <w:p>
      <w:pPr>
        <w:spacing w:after="0" w:line="171" w:lineRule="exact"/>
        <w:rPr>
          <w:sz w:val="20"/>
          <w:szCs w:val="20"/>
          <w:color w:val="auto"/>
        </w:rPr>
      </w:pPr>
    </w:p>
    <w:p>
      <w:pPr>
        <w:jc w:val="both"/>
        <w:ind w:firstLine="1938"/>
        <w:spacing w:after="0" w:line="239" w:lineRule="auto"/>
        <w:rPr>
          <w:sz w:val="20"/>
          <w:szCs w:val="20"/>
          <w:color w:val="auto"/>
        </w:rPr>
      </w:pPr>
      <w:r>
        <w:rPr>
          <w:rFonts w:ascii="Arial" w:cs="Arial" w:eastAsia="Arial" w:hAnsi="Arial"/>
          <w:sz w:val="22"/>
          <w:szCs w:val="22"/>
          <w:color w:val="auto"/>
        </w:rPr>
        <w:t xml:space="preserve">(c) Following Licensee’s assumption of responsibility for the DUO clinical trial, Licensee shall continue the DUO clinical trial in accordance with the DUO clinical trial protocol attached as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until it is complete;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in the event that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0" w:name="page171"/>
    <w:bookmarkEnd w:id="170"/>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Licensee, a Regulatory Authority, an institutional review board or independent safety board determines that the DUO clinical trial would pose an unacceptable safety risk for subjects or patients participating in it, then Licensee shall not be obligated to continue the DUO clinical trial and Licensee shall provide INFI with an explanation of the safety issue concerns, including those raised by such Regulatory Authority, institutional review board or independent safety board and, if requested by INFI, reasonable documentation thereof.</w:t>
      </w:r>
    </w:p>
    <w:p>
      <w:pPr>
        <w:spacing w:after="0" w:line="16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0"/>
          <w:szCs w:val="20"/>
          <w:u w:val="single" w:color="auto"/>
          <w:color w:val="auto"/>
        </w:rPr>
        <w:t>Transfer of INFI Know-How</w:t>
      </w:r>
      <w:r>
        <w:rPr>
          <w:rFonts w:ascii="Arial" w:cs="Arial" w:eastAsia="Arial" w:hAnsi="Arial"/>
          <w:sz w:val="20"/>
          <w:szCs w:val="20"/>
          <w:color w:val="auto"/>
        </w:rPr>
        <w:t>.</w:t>
      </w:r>
    </w:p>
    <w:p>
      <w:pPr>
        <w:spacing w:after="0" w:line="205" w:lineRule="exact"/>
        <w:rPr>
          <w:sz w:val="20"/>
          <w:szCs w:val="20"/>
          <w:color w:val="auto"/>
        </w:rPr>
      </w:pPr>
    </w:p>
    <w:p>
      <w:pPr>
        <w:jc w:val="both"/>
        <w:ind w:firstLine="1292"/>
        <w:spacing w:after="0" w:line="256" w:lineRule="auto"/>
        <w:rPr>
          <w:sz w:val="20"/>
          <w:szCs w:val="20"/>
          <w:color w:val="auto"/>
        </w:rPr>
      </w:pPr>
      <w:r>
        <w:rPr>
          <w:rFonts w:ascii="Arial" w:cs="Arial" w:eastAsia="Arial" w:hAnsi="Arial"/>
          <w:sz w:val="20"/>
          <w:szCs w:val="20"/>
          <w:color w:val="auto"/>
        </w:rPr>
        <w:t xml:space="preserve">3.2.1 Each Party shall perform its respective obligations under the transition plan attached hereto as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Transition Plan</w:t>
      </w:r>
      <w:r>
        <w:rPr>
          <w:rFonts w:ascii="Arial" w:cs="Arial" w:eastAsia="Arial" w:hAnsi="Arial"/>
          <w:sz w:val="20"/>
          <w:szCs w:val="20"/>
          <w:color w:val="auto"/>
        </w:rPr>
        <w:t xml:space="preserve">”). Except for those obligations specified in the Transition Plan or in this Agreement to endure past the end of the Transition Period, by the end of the Transition Period, (a) each Party shall have performed all of its obligations under the Transition Plan, (b) INFI shall have disclosed and transferred to Licensee the process used by INFI as of the Effective Date for the Manufacture of IPI-145 Product and such other Manufacturing specifications set forth in </w:t>
      </w:r>
      <w:r>
        <w:rPr>
          <w:rFonts w:ascii="Arial" w:cs="Arial" w:eastAsia="Arial" w:hAnsi="Arial"/>
          <w:sz w:val="20"/>
          <w:szCs w:val="20"/>
          <w:u w:val="single" w:color="auto"/>
          <w:color w:val="auto"/>
        </w:rPr>
        <w:t>Exhibit F-2</w:t>
      </w:r>
      <w:r>
        <w:rPr>
          <w:rFonts w:ascii="Arial" w:cs="Arial" w:eastAsia="Arial" w:hAnsi="Arial"/>
          <w:sz w:val="20"/>
          <w:szCs w:val="20"/>
          <w:color w:val="auto"/>
        </w:rPr>
        <w:t xml:space="preserve">, (c) INFI shall have provided Licensee with copies of such other relevant material and information included in the Duvelisib Know-How with respect to the IPI-145 Product as set forth in the Transition Plan, and (d) INFI shall have transferred control and ownership to Licensee of the materials and inventory of the IPI-145 Compound and IPI-145 Product identified in the Transition Plan in such amounts as set forth in </w:t>
      </w:r>
      <w:r>
        <w:rPr>
          <w:rFonts w:ascii="Arial" w:cs="Arial" w:eastAsia="Arial" w:hAnsi="Arial"/>
          <w:sz w:val="20"/>
          <w:szCs w:val="20"/>
          <w:u w:val="single" w:color="auto"/>
          <w:color w:val="auto"/>
        </w:rPr>
        <w:t>Exhibit F-3</w:t>
      </w:r>
      <w:r>
        <w:rPr>
          <w:rFonts w:ascii="Arial" w:cs="Arial" w:eastAsia="Arial" w:hAnsi="Arial"/>
          <w:sz w:val="20"/>
          <w:szCs w:val="20"/>
          <w:color w:val="auto"/>
        </w:rPr>
        <w:t>. “</w:t>
      </w:r>
      <w:r>
        <w:rPr>
          <w:rFonts w:ascii="Arial" w:cs="Arial" w:eastAsia="Arial" w:hAnsi="Arial"/>
          <w:sz w:val="20"/>
          <w:szCs w:val="20"/>
          <w:u w:val="single" w:color="auto"/>
          <w:color w:val="auto"/>
        </w:rPr>
        <w:t>Transition Period</w:t>
      </w:r>
      <w:r>
        <w:rPr>
          <w:rFonts w:ascii="Arial" w:cs="Arial" w:eastAsia="Arial" w:hAnsi="Arial"/>
          <w:sz w:val="20"/>
          <w:szCs w:val="20"/>
          <w:color w:val="auto"/>
        </w:rPr>
        <w:t>” means the period beginning on the Effective Date and ending on [* * *]. Prior to the end of the Transition Period, INFI shall provide to Licensee a copy all of all Clinical Site Agreements.</w:t>
      </w:r>
    </w:p>
    <w:p>
      <w:pPr>
        <w:spacing w:after="0" w:line="149"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3.2.2</w:t>
            </w:r>
          </w:p>
        </w:tc>
        <w:tc>
          <w:tcPr>
            <w:tcW w:w="7360" w:type="dxa"/>
            <w:vAlign w:val="bottom"/>
            <w:gridSpan w:val="2"/>
          </w:tcPr>
          <w:p>
            <w:pPr>
              <w:spacing w:after="0"/>
              <w:rPr>
                <w:sz w:val="20"/>
                <w:szCs w:val="20"/>
                <w:color w:val="auto"/>
              </w:rPr>
            </w:pPr>
            <w:r>
              <w:rPr>
                <w:rFonts w:ascii="Arial" w:cs="Arial" w:eastAsia="Arial" w:hAnsi="Arial"/>
                <w:sz w:val="22"/>
                <w:szCs w:val="22"/>
                <w:color w:val="auto"/>
              </w:rPr>
              <w:t>INFI Product Related Contracts.</w:t>
            </w:r>
          </w:p>
        </w:tc>
      </w:tr>
      <w:tr>
        <w:trPr>
          <w:trHeight w:val="20"/>
        </w:trPr>
        <w:tc>
          <w:tcPr>
            <w:tcW w:w="140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75"/>
        </w:trPr>
        <w:tc>
          <w:tcPr>
            <w:tcW w:w="1400" w:type="dxa"/>
            <w:vAlign w:val="bottom"/>
          </w:tcPr>
          <w:p>
            <w:pPr>
              <w:jc w:val="right"/>
              <w:ind w:right="412"/>
              <w:spacing w:after="0"/>
              <w:rPr>
                <w:sz w:val="20"/>
                <w:szCs w:val="20"/>
                <w:color w:val="auto"/>
              </w:rPr>
            </w:pPr>
            <w:r>
              <w:rPr>
                <w:rFonts w:ascii="Arial" w:cs="Arial" w:eastAsia="Arial" w:hAnsi="Arial"/>
                <w:sz w:val="22"/>
                <w:szCs w:val="22"/>
                <w:color w:val="auto"/>
              </w:rPr>
              <w:t>(a)</w:t>
            </w:r>
          </w:p>
        </w:tc>
        <w:tc>
          <w:tcPr>
            <w:tcW w:w="7360" w:type="dxa"/>
            <w:vAlign w:val="bottom"/>
            <w:gridSpan w:val="2"/>
          </w:tcPr>
          <w:p>
            <w:pPr>
              <w:ind w:left="1220"/>
              <w:spacing w:after="0"/>
              <w:rPr>
                <w:sz w:val="20"/>
                <w:szCs w:val="20"/>
                <w:color w:val="auto"/>
              </w:rPr>
            </w:pPr>
            <w:r>
              <w:rPr>
                <w:rFonts w:ascii="Arial" w:cs="Arial" w:eastAsia="Arial" w:hAnsi="Arial"/>
                <w:sz w:val="22"/>
                <w:szCs w:val="22"/>
                <w:color w:val="auto"/>
                <w:w w:val="94"/>
              </w:rPr>
              <w:t>Within thirty (30) days after the Effective Date, (A) to the extent not</w:t>
            </w:r>
          </w:p>
        </w:tc>
      </w:tr>
    </w:tbl>
    <w:p>
      <w:pPr>
        <w:jc w:val="both"/>
        <w:spacing w:after="0" w:line="254" w:lineRule="auto"/>
        <w:rPr>
          <w:sz w:val="20"/>
          <w:szCs w:val="20"/>
          <w:color w:val="auto"/>
        </w:rPr>
      </w:pPr>
      <w:r>
        <w:rPr>
          <w:rFonts w:ascii="Arial" w:cs="Arial" w:eastAsia="Arial" w:hAnsi="Arial"/>
          <w:sz w:val="20"/>
          <w:szCs w:val="20"/>
          <w:color w:val="auto"/>
        </w:rPr>
        <w:t xml:space="preserve">previously provided to Licensee, INFI will provide Licensee with electronic copies of each INFI Product Related Agreement and (B) the Parties will, in good faith, mutually determine in writing which INFI Product Related Contracts will be assigned to Licensee and which will be wound down or terminated. INFI shall use Diligent Efforts to assign to Licensee, in accordance with the schedule determined in accordance with Section 3.2.2(c), the rights and obligations under the applicable INFI Product Related Contracts (through a novation, </w:t>
      </w:r>
      <w:r>
        <w:rPr>
          <w:rFonts w:ascii="Arial" w:cs="Arial" w:eastAsia="Arial" w:hAnsi="Arial"/>
          <w:sz w:val="20"/>
          <w:szCs w:val="20"/>
          <w:u w:val="single" w:color="auto"/>
          <w:color w:val="auto"/>
        </w:rPr>
        <w:t>except that</w:t>
      </w:r>
      <w:r>
        <w:rPr>
          <w:rFonts w:ascii="Arial" w:cs="Arial" w:eastAsia="Arial" w:hAnsi="Arial"/>
          <w:sz w:val="20"/>
          <w:szCs w:val="20"/>
          <w:color w:val="auto"/>
        </w:rPr>
        <w:t xml:space="preserve"> if a novation cannot be secured for an INFI Product Related Contract, INFI shall use Diligent Efforts to assign such INFI Product Related Contract to Licensee and Licensee shall indemnify, defend and hold harmless the INFI Indemnitees from and against any and all Losses arising from such INFI Product Related Contract after the Effective Date except to the extent such Losses are caused by INFI’s or its Affiliate’s failure to comply with the terms of such INFI Product Related Contract, breach of any terms or conditions of this Agreement, or failure to follow Licensee’s reasonable instructions with respect to INFI’s and its Affiliates’ activities in connection therewith), and Licensee shall accept such rights and obligations and accept all liability with respect to INFI’s obligations under such INFI Product Related Contracts other than those payment obligations (i) incurred by INFI prior to November 1, 2016, or (ii) that do not relate to the IPI-145 Compound or IPI-145 Product;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INFI shall have no obligation to incur any costs or payment obligations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1" w:name="page172"/>
    <w:bookmarkEnd w:id="171"/>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order to effect such assignment, unless Licensee agrees to any bear all such costs and payment obligations.</w:t>
      </w:r>
    </w:p>
    <w:p>
      <w:pPr>
        <w:spacing w:after="0" w:line="228" w:lineRule="exact"/>
        <w:rPr>
          <w:sz w:val="20"/>
          <w:szCs w:val="20"/>
          <w:color w:val="auto"/>
        </w:rPr>
      </w:pPr>
    </w:p>
    <w:p>
      <w:pPr>
        <w:jc w:val="both"/>
        <w:ind w:firstLine="1938"/>
        <w:spacing w:after="0" w:line="256" w:lineRule="auto"/>
        <w:rPr>
          <w:sz w:val="20"/>
          <w:szCs w:val="20"/>
          <w:color w:val="auto"/>
        </w:rPr>
      </w:pPr>
      <w:r>
        <w:rPr>
          <w:rFonts w:ascii="Arial" w:cs="Arial" w:eastAsia="Arial" w:hAnsi="Arial"/>
          <w:sz w:val="20"/>
          <w:szCs w:val="20"/>
          <w:color w:val="auto"/>
        </w:rPr>
        <w:t xml:space="preserve">(b) With respect to each applicable INFI Product Related Contract (i.e., an INFI Product Related Contract that Licensee and INFI determined should be assigned to Licensee), until the earlier of the date on which such INFI Product Related Contract (i) is so assigned to Licensee, (ii) expires or (iii) is terminated, INFI shall use Diligent Efforts to provide to Licensee the benefits of such INFI Product Related Contract to the extent that such benefits relate to the IPI-145 Compound or IPI-145 Product and enforce, at the request and expense of and for the account and benefit of Licensee, any rights of INFI arising thereunder against any counterparty to the INFI Product Related Contracts, including the right to seek any available remedies or to elect to terminate such INFI Product Related Contracts in accordance with the terms thereof upon the direction of Licensee. In connection with the foregoing, Licensee shall assume responsibility for payments incurred after the Effective Date under each such INFI Product Related Contract and Licensee shall perform the obligations of INFI under each such INFI Product Related Contract, in each case, to the extent related to the IPI-145 Compound or IPI-145 Product;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Licensee shall reimburse INFI for any amounts pre-paid by INFI under any INFI Product Related Contract as of the Effective Date, provided that such prepayments relate to the IPI-145 Compound or the IPI-145 Product.</w:t>
      </w:r>
    </w:p>
    <w:p>
      <w:pPr>
        <w:spacing w:after="0" w:line="172" w:lineRule="exact"/>
        <w:rPr>
          <w:sz w:val="20"/>
          <w:szCs w:val="20"/>
          <w:color w:val="auto"/>
        </w:rPr>
      </w:pPr>
    </w:p>
    <w:p>
      <w:pPr>
        <w:jc w:val="both"/>
        <w:ind w:firstLine="1938"/>
        <w:spacing w:after="0" w:line="268" w:lineRule="auto"/>
        <w:rPr>
          <w:sz w:val="20"/>
          <w:szCs w:val="20"/>
          <w:color w:val="auto"/>
        </w:rPr>
      </w:pPr>
      <w:r>
        <w:rPr>
          <w:rFonts w:ascii="Arial" w:cs="Arial" w:eastAsia="Arial" w:hAnsi="Arial"/>
          <w:sz w:val="20"/>
          <w:szCs w:val="20"/>
          <w:color w:val="auto"/>
        </w:rPr>
        <w:t>(c) With respect to each applicable INFI Product Related Contract, INFI will use Diligent Efforts to cooperate with Licensee on determining the preferred effective dates of assignment for key INFI Product Related Contracts and the accounting groups of each Party will cooperate with Licensee in the assessment of proper accounting treatment of the applicable INFI Product Related Contracts.</w:t>
      </w:r>
    </w:p>
    <w:p>
      <w:pPr>
        <w:spacing w:after="0" w:line="157"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20"/>
          <w:szCs w:val="20"/>
          <w:color w:val="auto"/>
        </w:rPr>
        <w:t>3.2.3 During the Transition Period, INFI shall make its relevant and available scientific and technical personnel reasonably available to Licensee to answer questions or provide instruction as reasonably requested by Licensee concerning the Duvelisib Know-How delivered pursuant to this Section 3.2 in order to facilitate the transfer of such Duvelisib Know-How to Licensee. Notwithstanding the foregoing, INFI shall have no obligation to (i) maintain any personnel or (ii) following the disclosure or transfer, as applicable, of information and materials as described in Section 3.2.1, maintain any records, files or other materials, related to the IPI-145 Product or any of the information or materials disclosed or transferred hereunder.</w:t>
      </w:r>
    </w:p>
    <w:p>
      <w:pPr>
        <w:spacing w:after="0" w:line="167" w:lineRule="exact"/>
        <w:rPr>
          <w:sz w:val="20"/>
          <w:szCs w:val="20"/>
          <w:color w:val="auto"/>
        </w:rPr>
      </w:pPr>
    </w:p>
    <w:p>
      <w:pPr>
        <w:jc w:val="both"/>
        <w:ind w:firstLine="1292"/>
        <w:spacing w:after="0" w:line="275" w:lineRule="auto"/>
        <w:rPr>
          <w:sz w:val="20"/>
          <w:szCs w:val="20"/>
          <w:color w:val="auto"/>
        </w:rPr>
      </w:pPr>
      <w:r>
        <w:rPr>
          <w:rFonts w:ascii="Arial" w:cs="Arial" w:eastAsia="Arial" w:hAnsi="Arial"/>
          <w:sz w:val="20"/>
          <w:szCs w:val="20"/>
          <w:color w:val="auto"/>
        </w:rPr>
        <w:t>3.2.4 Licensee shall reimburse INFI for any reasonable and documented Internal Personnel Expenses and Out-of-Pocket Expenses incurred by INFI pursuant to Sections 3.2.1, 3.2.2, and 3.2.3 within [* * *] days following receipt by Licensee of an invoice providing reasonable documentation of such expenses.</w:t>
      </w:r>
    </w:p>
    <w:p>
      <w:pPr>
        <w:spacing w:after="0" w:line="152"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Reports</w:t>
      </w:r>
      <w:r>
        <w:rPr>
          <w:rFonts w:ascii="Arial" w:cs="Arial" w:eastAsia="Arial" w:hAnsi="Arial"/>
          <w:sz w:val="22"/>
          <w:szCs w:val="22"/>
          <w:color w:val="auto"/>
        </w:rPr>
        <w:t>. Licensee shall submit semi-annual written progress reports by December 20 and June 20 of each year, summarizing Licensee’s (and its Affiliates’ and the Sublicensees’) activities related to the development of the IPI-145 Product in the Field, including Development activities and an overview of future Development activities reasonably contemplated, including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2" w:name="page173"/>
    <w:bookmarkEnd w:id="172"/>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status of obtaining Marketing Authorization for each of the United States, Europe and Japan, and planning for Commercialization in such territories (including a projection of all such activities for the next thirty days). Such reports shall be submitted, with respect to activities for the United States, until first Commercial Sale of the IPI-145 Product in the United States, and with respect to activities for countries or regions outside the United States, until first Commercial Sale of the IPI-145 Product in any country outside the United States.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 MATTERS</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Licensee Regulatory Responsibility</w:t>
      </w:r>
      <w:r>
        <w:rPr>
          <w:rFonts w:ascii="Arial" w:cs="Arial" w:eastAsia="Arial" w:hAnsi="Arial"/>
          <w:sz w:val="19"/>
          <w:szCs w:val="19"/>
          <w:color w:val="auto"/>
        </w:rPr>
        <w:t>.</w:t>
      </w:r>
    </w:p>
    <w:p>
      <w:pPr>
        <w:spacing w:after="0" w:line="20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u w:val="single" w:color="auto"/>
          <w:color w:val="auto"/>
        </w:rPr>
        <w:t>INDs</w:t>
      </w:r>
      <w:r>
        <w:rPr>
          <w:rFonts w:ascii="Arial" w:cs="Arial" w:eastAsia="Arial" w:hAnsi="Arial"/>
          <w:sz w:val="19"/>
          <w:szCs w:val="19"/>
          <w:color w:val="auto"/>
        </w:rPr>
        <w:t>. Subject to this Section 4.1.1, INFI shall own and be responsible for preparing,</w:t>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filing and maintaining all INDs for the IPI-145 Compound and IPI-145 Product in the Field in the Territory as of the Effective Date and Licensee shall reimburse INFI’s reasonable and documented Internal Personnel Expenses and Out-of-Pocket Expenses related thereto. Promptly after the Effective Date and in any event no later than the end of the Transition Period, INFI and Licensee, as applicable, shall make the necessary filings with the Regulatory Authorities in the Territory necessary to transfer the INDs for the IPI-145 Compound and IPI-145 Product to Licensee, and following the approval of such transfer by the applicable Regulatory Authorities (if applicable) or other effectuated transfer, Licensee shall own all such INDs and be the IND holder for the IPI-145 Compound and IPI-145 Product in the Territory.</w:t>
      </w:r>
    </w:p>
    <w:p>
      <w:pPr>
        <w:spacing w:after="0" w:line="173" w:lineRule="exact"/>
        <w:rPr>
          <w:sz w:val="20"/>
          <w:szCs w:val="20"/>
          <w:color w:val="auto"/>
        </w:rPr>
      </w:pPr>
    </w:p>
    <w:p>
      <w:pPr>
        <w:jc w:val="both"/>
        <w:ind w:firstLine="1938"/>
        <w:spacing w:after="0" w:line="257" w:lineRule="auto"/>
        <w:rPr>
          <w:sz w:val="20"/>
          <w:szCs w:val="20"/>
          <w:color w:val="auto"/>
        </w:rPr>
      </w:pPr>
      <w:r>
        <w:rPr>
          <w:rFonts w:ascii="Arial" w:cs="Arial" w:eastAsia="Arial" w:hAnsi="Arial"/>
          <w:sz w:val="20"/>
          <w:szCs w:val="20"/>
          <w:color w:val="auto"/>
        </w:rPr>
        <w:t>(a) Until such time as the INDs have been transferred to Licensee, INFI shall act as Licensee’s agent to maintain the INDs and communicate with Regulatory Authorities in the Territory relating to the IPI-145 Compound and IPI-145 Product and Licensee shall reimburse INFI’s reasonable and documented Internal Personnel Expenses and Out-of-Pocket Expenses related thereto. Except with respect to non-substantive administrative correspondence with Regulatory Authorities, (i) INFI shall act on Licensee’s behalf as instructed by Licensee with respect to submissions related to the INDs for the IPI-145 Compound and IPI-145 Product and receiving and submitting correspondence with Regulatory Authorities in the Territory related thereto and (ii) INFI will provide to Licensee copies of all correspondence received from Regulatory Authorities within [* * *] Business Days of receipt or such earlier date as required by applicable Law or the relevant Regulatory Authority or if necessary given the circumstances of the correspondence, and INFI shall not respond to such correspondences or otherwise interact with the Regulatory Authorities except as instructed by Licensee.</w:t>
      </w:r>
    </w:p>
    <w:p>
      <w:pPr>
        <w:spacing w:after="0" w:line="171" w:lineRule="exact"/>
        <w:rPr>
          <w:sz w:val="20"/>
          <w:szCs w:val="20"/>
          <w:color w:val="auto"/>
        </w:rPr>
      </w:pPr>
    </w:p>
    <w:p>
      <w:pPr>
        <w:jc w:val="both"/>
        <w:ind w:firstLine="1938"/>
        <w:spacing w:after="0" w:line="234" w:lineRule="auto"/>
        <w:rPr>
          <w:sz w:val="20"/>
          <w:szCs w:val="20"/>
          <w:color w:val="auto"/>
        </w:rPr>
      </w:pPr>
      <w:r>
        <w:rPr>
          <w:rFonts w:ascii="Arial" w:cs="Arial" w:eastAsia="Arial" w:hAnsi="Arial"/>
          <w:sz w:val="22"/>
          <w:szCs w:val="22"/>
          <w:color w:val="auto"/>
        </w:rPr>
        <w:t>(b) With respect to the INDs for the IPI-145 Compound and IPI-145 Product, Licensee will provide INFI with copies of all submissions in advance of filing so that INFI may submit such submissions on behalf of Licensee. INFI will provide to Licensee copies of any material written communications to or from Regulatory Authorities related to the IPI-145 Compound and the IPI-145 Product within [* * *] Business Days of receipt or delivery of such communication, as the case may be, or such earlier date as required by applicable Law or the relevant Regulatory Authority or if necessary given the circumstances of the correspondence.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3" w:name="page174"/>
    <w:bookmarkEnd w:id="173"/>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addition, except for submissions which are required to meet the “Sponsor” obligations under 21 C.F.R. 312 and analogous regulations in non-U.S. jurisdictions, during such period INFI will be responsible for all communications and other dealings with Regulatory Authorities in the Territory with respect to the IPI-145 Compound and the IPI-145 Product,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INFI will only communicate with the Regulatory Authorities as instructed by Licensee. To the extent permitted by applicable Law, INFI will arrange all meetings with Regulatory Authorities such that representatives of Licensee are able to attend and participate. Licensee shall reimburse INFI’s reasonable and documented Internal Personnel Expenses and Out-of-Pocket Expenses related to the activities set forth in this Section 4.1.1.</w:t>
      </w:r>
    </w:p>
    <w:p>
      <w:pPr>
        <w:spacing w:after="0" w:line="189" w:lineRule="exact"/>
        <w:rPr>
          <w:sz w:val="20"/>
          <w:szCs w:val="20"/>
          <w:color w:val="auto"/>
        </w:rPr>
      </w:pPr>
    </w:p>
    <w:p>
      <w:pPr>
        <w:jc w:val="both"/>
        <w:ind w:firstLine="1292"/>
        <w:spacing w:after="0" w:line="237"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Marketing Authorizations</w:t>
      </w:r>
      <w:r>
        <w:rPr>
          <w:rFonts w:ascii="Arial" w:cs="Arial" w:eastAsia="Arial" w:hAnsi="Arial"/>
          <w:sz w:val="22"/>
          <w:szCs w:val="22"/>
          <w:color w:val="auto"/>
        </w:rPr>
        <w:t>. Licensee shall, at its sole cost, use Diligent Efforts, itself or through its Affiliates and the Sublicensees, to prepare, file, prosecute and maintain all applications for Marketing Authorization for the marketing, use, promotion, import, sale, distribution or commercialization of the IPI-145 Product in the Field in the Territory.</w:t>
      </w:r>
    </w:p>
    <w:p>
      <w:pPr>
        <w:spacing w:after="0" w:line="185" w:lineRule="exact"/>
        <w:rPr>
          <w:sz w:val="20"/>
          <w:szCs w:val="20"/>
          <w:color w:val="auto"/>
        </w:rPr>
      </w:pPr>
    </w:p>
    <w:p>
      <w:pPr>
        <w:jc w:val="both"/>
        <w:ind w:firstLine="1292"/>
        <w:spacing w:after="0" w:line="261" w:lineRule="auto"/>
        <w:rPr>
          <w:sz w:val="20"/>
          <w:szCs w:val="20"/>
          <w:color w:val="auto"/>
        </w:rPr>
      </w:pPr>
      <w:r>
        <w:rPr>
          <w:rFonts w:ascii="Arial" w:cs="Arial" w:eastAsia="Arial" w:hAnsi="Arial"/>
          <w:sz w:val="20"/>
          <w:szCs w:val="20"/>
          <w:color w:val="auto"/>
        </w:rPr>
        <w:t xml:space="preserve">4.1.3 </w:t>
      </w:r>
      <w:r>
        <w:rPr>
          <w:rFonts w:ascii="Arial" w:cs="Arial" w:eastAsia="Arial" w:hAnsi="Arial"/>
          <w:sz w:val="20"/>
          <w:szCs w:val="20"/>
          <w:u w:val="single" w:color="auto"/>
          <w:color w:val="auto"/>
        </w:rPr>
        <w:t>Regulatory Documentation</w:t>
      </w:r>
      <w:r>
        <w:rPr>
          <w:rFonts w:ascii="Arial" w:cs="Arial" w:eastAsia="Arial" w:hAnsi="Arial"/>
          <w:sz w:val="20"/>
          <w:szCs w:val="20"/>
          <w:color w:val="auto"/>
        </w:rPr>
        <w:t>. Except as otherwise set forth in this Section 4.1, Licensee shall own and be responsible for preparing, filing and maintaining all Regulatory Documentation and Regulatory Approvals that are required for the Development, Manufacture or Commercialization of the IPI-145 Compound or IPI-145 Product in the Field in the Territory; and Licensee shall be responsible for all other submissions to, and communications and interactions with, Regulatory Authorities in the Territory with respect to the IPI-145 Compound or IPI-145 Product in the Field.</w:t>
      </w:r>
    </w:p>
    <w:p>
      <w:pPr>
        <w:spacing w:after="0" w:line="168"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Safety Data Reporting</w:t>
      </w:r>
      <w:r>
        <w:rPr>
          <w:rFonts w:ascii="Arial" w:cs="Arial" w:eastAsia="Arial" w:hAnsi="Arial"/>
          <w:sz w:val="19"/>
          <w:szCs w:val="19"/>
          <w:color w:val="auto"/>
        </w:rPr>
        <w:t>. As set forth in the Transition Plan, until INFI has transferred all INDs to Licensee, INFI shall be responsible for reporting all adverse drug reactions/experiences with respect to the IPI-145 Product in the Field to the appropriate Regulatory Authorities in the Territory in accordance with all applicable Laws. INFI shall ensure that its Affiliates comply with such reporting obligations in the Territory. Following the transfer of all INDs to Licensee, Licensee shall be responsible for reporting all adverse drug reactions/experiences with respect to the IPI-145 Product in the Field to the appropriate Regulatory Authorities in the Territory in accordance with all applicable Laws. Licensee shall ensure that its Affiliates and the Sublicensees comply with such reporting obligations in the Territory. Licensee shall be responsible for each Party’s reasonable and documented Internal Personnel Expenses and Out-of-Pocket Expenses with respect the activities under this Section 4.2.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w:t>
      </w:r>
    </w:p>
    <w:p>
      <w:pPr>
        <w:spacing w:after="0" w:line="187"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Overview</w:t>
      </w:r>
      <w:r>
        <w:rPr>
          <w:rFonts w:ascii="Arial" w:cs="Arial" w:eastAsia="Arial" w:hAnsi="Arial"/>
          <w:sz w:val="22"/>
          <w:szCs w:val="22"/>
          <w:color w:val="auto"/>
        </w:rPr>
        <w:t>. As between the Parties, and subject to the terms and conditions of this Agreement, Licensee shall control, and bear all responsibility, costs and expenses associated with, the Commercialization of the IPI-145 Product in the Field in the Territory.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4" w:name="page175"/>
    <w:bookmarkEnd w:id="174"/>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Commercial Diligence</w:t>
      </w:r>
      <w:r>
        <w:rPr>
          <w:rFonts w:ascii="Arial" w:cs="Arial" w:eastAsia="Arial" w:hAnsi="Arial"/>
          <w:sz w:val="22"/>
          <w:szCs w:val="22"/>
          <w:color w:val="auto"/>
        </w:rPr>
        <w:t>. Licensee shall, at its sole cost, use Diligent Efforts, itself or through its Affiliates and the Sublicensees, to Commercialize the IPI-145 Product that receives Marketing Authorization in the Field in the Territory.</w:t>
      </w:r>
    </w:p>
    <w:p>
      <w:pPr>
        <w:spacing w:after="0" w:line="186"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Standards of Conduct</w:t>
      </w:r>
      <w:r>
        <w:rPr>
          <w:rFonts w:ascii="Arial" w:cs="Arial" w:eastAsia="Arial" w:hAnsi="Arial"/>
          <w:sz w:val="22"/>
          <w:szCs w:val="22"/>
          <w:color w:val="auto"/>
        </w:rPr>
        <w:t>. In Commercializing the IPI-145 Product under this Agreement, Licensee shall, and shall ensure that its Affiliates and the Sublicensees, comply in all respects with the INFI Third Party Agreements and with all applicable Laws and applicable guidelines, including those concerning the advertising, sales and marketing of prescription drug products, the Foreign Corrupt Practices Act of 1977, as amended, and any applicable local anti-bribery Laws.</w:t>
      </w:r>
    </w:p>
    <w:p>
      <w:pPr>
        <w:spacing w:after="0" w:line="188"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Progress Reports</w:t>
      </w:r>
      <w:r>
        <w:rPr>
          <w:rFonts w:ascii="Arial" w:cs="Arial" w:eastAsia="Arial" w:hAnsi="Arial"/>
          <w:sz w:val="20"/>
          <w:szCs w:val="20"/>
          <w:color w:val="auto"/>
        </w:rPr>
        <w:t>. Within [* * *] days after the first Commercial Sale of IPI-145 Product by Licensee or any of its Affiliates or any Sublicensee, and by each January 20</w:t>
      </w:r>
      <w:r>
        <w:rPr>
          <w:rFonts w:ascii="Arial" w:cs="Arial" w:eastAsia="Arial" w:hAnsi="Arial"/>
          <w:sz w:val="10"/>
          <w:szCs w:val="10"/>
          <w:color w:val="auto"/>
        </w:rPr>
        <w:t>th</w:t>
      </w:r>
      <w:r>
        <w:rPr>
          <w:rFonts w:ascii="Arial" w:cs="Arial" w:eastAsia="Arial" w:hAnsi="Arial"/>
          <w:sz w:val="20"/>
          <w:szCs w:val="20"/>
          <w:color w:val="auto"/>
        </w:rPr>
        <w:t xml:space="preserve"> thereafter, Licensee shall provide a forward-looking, non-binding forecast, for the relevant Calendar Year (or, with respect to the first such forecast, the remainder of the current Calendar Year), of anticipated Annual Net Sales (as defined in this Agreement) of the IPI-145 Product;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if the first Commercial Sale of the IPI-145 Product by Licensee or any of its Affiliates or any of the Sublicensees occurs between October 1</w:t>
      </w:r>
      <w:r>
        <w:rPr>
          <w:rFonts w:ascii="Arial" w:cs="Arial" w:eastAsia="Arial" w:hAnsi="Arial"/>
          <w:sz w:val="10"/>
          <w:szCs w:val="10"/>
          <w:color w:val="auto"/>
        </w:rPr>
        <w:t>st</w:t>
      </w:r>
      <w:r>
        <w:rPr>
          <w:rFonts w:ascii="Arial" w:cs="Arial" w:eastAsia="Arial" w:hAnsi="Arial"/>
          <w:sz w:val="20"/>
          <w:szCs w:val="20"/>
          <w:color w:val="auto"/>
        </w:rPr>
        <w:t xml:space="preserve"> and December 31</w:t>
      </w:r>
      <w:r>
        <w:rPr>
          <w:rFonts w:ascii="Arial" w:cs="Arial" w:eastAsia="Arial" w:hAnsi="Arial"/>
          <w:sz w:val="10"/>
          <w:szCs w:val="10"/>
          <w:color w:val="auto"/>
        </w:rPr>
        <w:t>st</w:t>
      </w:r>
      <w:r>
        <w:rPr>
          <w:rFonts w:ascii="Arial" w:cs="Arial" w:eastAsia="Arial" w:hAnsi="Arial"/>
          <w:sz w:val="20"/>
          <w:szCs w:val="20"/>
          <w:color w:val="auto"/>
        </w:rPr>
        <w:t>, the first such forecast shall cover the remainder of the current Calendar Year (if applicable) and the next Calendar Year, and no forecast shall be due by January 20</w:t>
      </w:r>
      <w:r>
        <w:rPr>
          <w:rFonts w:ascii="Arial" w:cs="Arial" w:eastAsia="Arial" w:hAnsi="Arial"/>
          <w:sz w:val="10"/>
          <w:szCs w:val="10"/>
          <w:color w:val="auto"/>
        </w:rPr>
        <w:t>th</w:t>
      </w:r>
      <w:r>
        <w:rPr>
          <w:rFonts w:ascii="Arial" w:cs="Arial" w:eastAsia="Arial" w:hAnsi="Arial"/>
          <w:sz w:val="20"/>
          <w:szCs w:val="20"/>
          <w:color w:val="auto"/>
        </w:rPr>
        <w:t xml:space="preserve"> of such next Calendar Year. By way of example and without limitation, if the first Commercial Sale of the IPI-145 Product by Licensee, any of its Affiliates or any Sublicensee occurs on November 1, 2017, the first such forecast shall be due by November 20, 2017 and shall cover the period from November 20, 2017 through December 31, 2018 and no forecast shall be due by January 20, 2018.</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860" w:type="dxa"/>
            <w:vAlign w:val="bottom"/>
          </w:tcPr>
          <w:p>
            <w:pPr>
              <w:ind w:left="260"/>
              <w:spacing w:after="0"/>
              <w:rPr>
                <w:sz w:val="20"/>
                <w:szCs w:val="20"/>
                <w:color w:val="auto"/>
              </w:rPr>
            </w:pPr>
            <w:r>
              <w:rPr>
                <w:rFonts w:ascii="Arial" w:cs="Arial" w:eastAsia="Arial" w:hAnsi="Arial"/>
                <w:sz w:val="22"/>
                <w:szCs w:val="22"/>
                <w:b w:val="1"/>
                <w:bCs w:val="1"/>
                <w:color w:val="auto"/>
              </w:rPr>
              <w:t>ARTICLE 6</w:t>
            </w:r>
          </w:p>
        </w:tc>
      </w:tr>
      <w:tr>
        <w:trPr>
          <w:trHeight w:val="280"/>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60" w:type="dxa"/>
            <w:vAlign w:val="bottom"/>
          </w:tcPr>
          <w:p>
            <w:pPr>
              <w:ind w:left="240"/>
              <w:spacing w:after="0"/>
              <w:rPr>
                <w:sz w:val="20"/>
                <w:szCs w:val="20"/>
                <w:color w:val="auto"/>
              </w:rPr>
            </w:pPr>
            <w:r>
              <w:rPr>
                <w:rFonts w:ascii="Arial" w:cs="Arial" w:eastAsia="Arial" w:hAnsi="Arial"/>
                <w:sz w:val="22"/>
                <w:szCs w:val="22"/>
                <w:b w:val="1"/>
                <w:bCs w:val="1"/>
                <w:color w:val="auto"/>
              </w:rPr>
              <w:t>PAYMENTS</w:t>
            </w:r>
          </w:p>
        </w:tc>
      </w:tr>
      <w:tr>
        <w:trPr>
          <w:trHeight w:val="407"/>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6.1</w:t>
            </w:r>
          </w:p>
        </w:tc>
        <w:tc>
          <w:tcPr>
            <w:tcW w:w="26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22"/>
                <w:szCs w:val="22"/>
                <w:color w:val="auto"/>
              </w:rPr>
              <w:t>Payments.</w:t>
            </w:r>
          </w:p>
        </w:tc>
        <w:tc>
          <w:tcPr>
            <w:tcW w:w="150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438"/>
        </w:trPr>
        <w:tc>
          <w:tcPr>
            <w:tcW w:w="460" w:type="dxa"/>
            <w:vAlign w:val="bottom"/>
          </w:tcPr>
          <w:p>
            <w:pPr>
              <w:spacing w:after="0"/>
              <w:rPr>
                <w:sz w:val="24"/>
                <w:szCs w:val="24"/>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22"/>
                <w:szCs w:val="22"/>
                <w:color w:val="auto"/>
              </w:rPr>
              <w:t>6.1.1</w:t>
            </w:r>
          </w:p>
        </w:tc>
        <w:tc>
          <w:tcPr>
            <w:tcW w:w="5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22"/>
                <w:szCs w:val="22"/>
                <w:color w:val="auto"/>
              </w:rPr>
              <w:t>Royalties to INFI.</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475"/>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580"/>
              <w:spacing w:after="0"/>
              <w:rPr>
                <w:sz w:val="20"/>
                <w:szCs w:val="20"/>
                <w:color w:val="auto"/>
              </w:rPr>
            </w:pPr>
            <w:r>
              <w:rPr>
                <w:rFonts w:ascii="Arial" w:cs="Arial" w:eastAsia="Arial" w:hAnsi="Arial"/>
                <w:sz w:val="22"/>
                <w:szCs w:val="22"/>
                <w:color w:val="auto"/>
              </w:rPr>
              <w:t>(a)</w:t>
            </w:r>
          </w:p>
        </w:tc>
        <w:tc>
          <w:tcPr>
            <w:tcW w:w="7360" w:type="dxa"/>
            <w:vAlign w:val="bottom"/>
            <w:gridSpan w:val="2"/>
          </w:tcPr>
          <w:p>
            <w:pPr>
              <w:ind w:left="1220"/>
              <w:spacing w:after="0"/>
              <w:rPr>
                <w:sz w:val="20"/>
                <w:szCs w:val="20"/>
                <w:color w:val="auto"/>
              </w:rPr>
            </w:pPr>
            <w:r>
              <w:rPr>
                <w:rFonts w:ascii="Arial" w:cs="Arial" w:eastAsia="Arial" w:hAnsi="Arial"/>
                <w:sz w:val="22"/>
                <w:szCs w:val="22"/>
                <w:color w:val="auto"/>
                <w:w w:val="96"/>
              </w:rPr>
              <w:t>Licensee will pay royalties to INFI on Annual Net Sales of IPI-145</w:t>
            </w:r>
          </w:p>
        </w:tc>
      </w:tr>
    </w:tbl>
    <w:p>
      <w:pPr>
        <w:jc w:val="both"/>
        <w:spacing w:after="0" w:line="279" w:lineRule="auto"/>
        <w:rPr>
          <w:sz w:val="20"/>
          <w:szCs w:val="20"/>
          <w:color w:val="auto"/>
        </w:rPr>
      </w:pPr>
      <w:r>
        <w:rPr>
          <w:rFonts w:ascii="Arial" w:cs="Arial" w:eastAsia="Arial" w:hAnsi="Arial"/>
          <w:sz w:val="20"/>
          <w:szCs w:val="20"/>
          <w:color w:val="auto"/>
        </w:rPr>
        <w:t>Product at the applicable rates set forth below, subject to the provisions of this Section 6.1 and Section 6.2. For the avoidance of doubt, royalties shall be payable only once with respect to the same unit of IPI-145 Product.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ind w:left="100"/>
              <w:spacing w:after="0"/>
              <w:rPr>
                <w:sz w:val="20"/>
                <w:szCs w:val="20"/>
                <w:color w:val="auto"/>
              </w:rPr>
            </w:pPr>
            <w:r>
              <w:rPr>
                <w:rFonts w:ascii="Arial" w:cs="Arial" w:eastAsia="Arial" w:hAnsi="Arial"/>
                <w:sz w:val="22"/>
                <w:szCs w:val="22"/>
                <w:b w:val="1"/>
                <w:bCs w:val="1"/>
                <w:i w:val="1"/>
                <w:iCs w:val="1"/>
                <w:color w:val="auto"/>
              </w:rPr>
              <w:t>Annual Net Sales of IPI-145 Product</w:t>
            </w:r>
          </w:p>
        </w:tc>
        <w:tc>
          <w:tcPr>
            <w:tcW w:w="2920" w:type="dxa"/>
            <w:vAlign w:val="bottom"/>
          </w:tcPr>
          <w:p>
            <w:pPr>
              <w:ind w:left="800"/>
              <w:spacing w:after="0"/>
              <w:rPr>
                <w:sz w:val="20"/>
                <w:szCs w:val="20"/>
                <w:color w:val="auto"/>
              </w:rPr>
            </w:pPr>
            <w:r>
              <w:rPr>
                <w:rFonts w:ascii="Arial" w:cs="Arial" w:eastAsia="Arial" w:hAnsi="Arial"/>
                <w:sz w:val="22"/>
                <w:szCs w:val="22"/>
                <w:b w:val="1"/>
                <w:bCs w:val="1"/>
                <w:i w:val="1"/>
                <w:iCs w:val="1"/>
                <w:color w:val="auto"/>
              </w:rPr>
              <w:t>Royalty</w:t>
            </w:r>
          </w:p>
        </w:tc>
      </w:tr>
      <w:tr>
        <w:trPr>
          <w:trHeight w:val="274"/>
        </w:trPr>
        <w:tc>
          <w:tcPr>
            <w:tcW w:w="7140" w:type="dxa"/>
            <w:vAlign w:val="bottom"/>
          </w:tcPr>
          <w:p>
            <w:pPr>
              <w:spacing w:after="0"/>
              <w:rPr>
                <w:sz w:val="23"/>
                <w:szCs w:val="23"/>
                <w:color w:val="auto"/>
              </w:rPr>
            </w:pPr>
          </w:p>
        </w:tc>
        <w:tc>
          <w:tcPr>
            <w:tcW w:w="2920" w:type="dxa"/>
            <w:vAlign w:val="bottom"/>
          </w:tcPr>
          <w:p>
            <w:pPr>
              <w:ind w:left="800"/>
              <w:spacing w:after="0"/>
              <w:rPr>
                <w:sz w:val="20"/>
                <w:szCs w:val="20"/>
                <w:color w:val="auto"/>
              </w:rPr>
            </w:pPr>
            <w:r>
              <w:rPr>
                <w:rFonts w:ascii="Arial" w:cs="Arial" w:eastAsia="Arial" w:hAnsi="Arial"/>
                <w:sz w:val="22"/>
                <w:szCs w:val="22"/>
                <w:b w:val="1"/>
                <w:bCs w:val="1"/>
                <w:i w:val="1"/>
                <w:iCs w:val="1"/>
                <w:color w:val="auto"/>
              </w:rPr>
              <w:t>Rate</w:t>
            </w:r>
          </w:p>
        </w:tc>
      </w:tr>
      <w:tr>
        <w:trPr>
          <w:trHeight w:val="458"/>
        </w:trPr>
        <w:tc>
          <w:tcPr>
            <w:tcW w:w="7140" w:type="dxa"/>
            <w:vAlign w:val="bottom"/>
          </w:tcPr>
          <w:p>
            <w:pPr>
              <w:ind w:left="100"/>
              <w:spacing w:after="0"/>
              <w:rPr>
                <w:sz w:val="20"/>
                <w:szCs w:val="20"/>
                <w:color w:val="auto"/>
              </w:rPr>
            </w:pPr>
            <w:r>
              <w:rPr>
                <w:rFonts w:ascii="Arial" w:cs="Arial" w:eastAsia="Arial" w:hAnsi="Arial"/>
                <w:sz w:val="22"/>
                <w:szCs w:val="22"/>
                <w:color w:val="auto"/>
              </w:rPr>
              <w:t>The portion less than US$[* * *]</w:t>
            </w:r>
          </w:p>
        </w:tc>
        <w:tc>
          <w:tcPr>
            <w:tcW w:w="2920" w:type="dxa"/>
            <w:vAlign w:val="bottom"/>
          </w:tcPr>
          <w:p>
            <w:pPr>
              <w:ind w:left="800"/>
              <w:spacing w:after="0"/>
              <w:rPr>
                <w:sz w:val="20"/>
                <w:szCs w:val="20"/>
                <w:color w:val="auto"/>
              </w:rPr>
            </w:pPr>
            <w:r>
              <w:rPr>
                <w:rFonts w:ascii="Arial" w:cs="Arial" w:eastAsia="Arial" w:hAnsi="Arial"/>
                <w:sz w:val="22"/>
                <w:szCs w:val="22"/>
                <w:color w:val="auto"/>
              </w:rPr>
              <w:t>[* * *]%</w:t>
            </w:r>
          </w:p>
        </w:tc>
      </w:tr>
      <w:tr>
        <w:trPr>
          <w:trHeight w:val="458"/>
        </w:trPr>
        <w:tc>
          <w:tcPr>
            <w:tcW w:w="7140" w:type="dxa"/>
            <w:vAlign w:val="bottom"/>
          </w:tcPr>
          <w:p>
            <w:pPr>
              <w:ind w:left="100"/>
              <w:spacing w:after="0"/>
              <w:rPr>
                <w:sz w:val="20"/>
                <w:szCs w:val="20"/>
                <w:color w:val="auto"/>
              </w:rPr>
            </w:pPr>
            <w:r>
              <w:rPr>
                <w:rFonts w:ascii="Arial" w:cs="Arial" w:eastAsia="Arial" w:hAnsi="Arial"/>
                <w:sz w:val="22"/>
                <w:szCs w:val="22"/>
                <w:color w:val="auto"/>
              </w:rPr>
              <w:t>The portion greater than or equal to US$[* * *] and less than US$[* * *]</w:t>
            </w:r>
          </w:p>
        </w:tc>
        <w:tc>
          <w:tcPr>
            <w:tcW w:w="2920" w:type="dxa"/>
            <w:vAlign w:val="bottom"/>
          </w:tcPr>
          <w:p>
            <w:pPr>
              <w:ind w:left="800"/>
              <w:spacing w:after="0"/>
              <w:rPr>
                <w:sz w:val="20"/>
                <w:szCs w:val="20"/>
                <w:color w:val="auto"/>
              </w:rPr>
            </w:pPr>
            <w:r>
              <w:rPr>
                <w:rFonts w:ascii="Arial" w:cs="Arial" w:eastAsia="Arial" w:hAnsi="Arial"/>
                <w:sz w:val="22"/>
                <w:szCs w:val="22"/>
                <w:color w:val="auto"/>
              </w:rPr>
              <w:t>[* * *]%</w:t>
            </w:r>
          </w:p>
        </w:tc>
      </w:tr>
      <w:tr>
        <w:trPr>
          <w:trHeight w:val="458"/>
        </w:trPr>
        <w:tc>
          <w:tcPr>
            <w:tcW w:w="7140" w:type="dxa"/>
            <w:vAlign w:val="bottom"/>
          </w:tcPr>
          <w:p>
            <w:pPr>
              <w:ind w:left="100"/>
              <w:spacing w:after="0"/>
              <w:rPr>
                <w:sz w:val="20"/>
                <w:szCs w:val="20"/>
                <w:color w:val="auto"/>
              </w:rPr>
            </w:pPr>
            <w:r>
              <w:rPr>
                <w:rFonts w:ascii="Arial" w:cs="Arial" w:eastAsia="Arial" w:hAnsi="Arial"/>
                <w:sz w:val="22"/>
                <w:szCs w:val="22"/>
                <w:color w:val="auto"/>
              </w:rPr>
              <w:t>The portion greater than or equal to US$[* * *] and less than US$[* * *]</w:t>
            </w:r>
          </w:p>
        </w:tc>
        <w:tc>
          <w:tcPr>
            <w:tcW w:w="2920" w:type="dxa"/>
            <w:vAlign w:val="bottom"/>
          </w:tcPr>
          <w:p>
            <w:pPr>
              <w:ind w:left="800"/>
              <w:spacing w:after="0"/>
              <w:rPr>
                <w:sz w:val="20"/>
                <w:szCs w:val="20"/>
                <w:color w:val="auto"/>
              </w:rPr>
            </w:pPr>
            <w:r>
              <w:rPr>
                <w:rFonts w:ascii="Arial" w:cs="Arial" w:eastAsia="Arial" w:hAnsi="Arial"/>
                <w:sz w:val="22"/>
                <w:szCs w:val="22"/>
                <w:color w:val="auto"/>
              </w:rPr>
              <w:t>[* * *]%</w:t>
            </w:r>
          </w:p>
        </w:tc>
      </w:tr>
      <w:tr>
        <w:trPr>
          <w:trHeight w:val="458"/>
        </w:trPr>
        <w:tc>
          <w:tcPr>
            <w:tcW w:w="7140" w:type="dxa"/>
            <w:vAlign w:val="bottom"/>
          </w:tcPr>
          <w:p>
            <w:pPr>
              <w:ind w:left="100"/>
              <w:spacing w:after="0"/>
              <w:rPr>
                <w:sz w:val="20"/>
                <w:szCs w:val="20"/>
                <w:color w:val="auto"/>
              </w:rPr>
            </w:pPr>
            <w:r>
              <w:rPr>
                <w:rFonts w:ascii="Arial" w:cs="Arial" w:eastAsia="Arial" w:hAnsi="Arial"/>
                <w:sz w:val="22"/>
                <w:szCs w:val="22"/>
                <w:color w:val="auto"/>
              </w:rPr>
              <w:t>The portion greater than or equal to US$[* * *]</w:t>
            </w:r>
          </w:p>
        </w:tc>
        <w:tc>
          <w:tcPr>
            <w:tcW w:w="2920" w:type="dxa"/>
            <w:vAlign w:val="bottom"/>
          </w:tcPr>
          <w:p>
            <w:pPr>
              <w:ind w:left="800"/>
              <w:spacing w:after="0"/>
              <w:rPr>
                <w:sz w:val="20"/>
                <w:szCs w:val="20"/>
                <w:color w:val="auto"/>
              </w:rPr>
            </w:pPr>
            <w:r>
              <w:rPr>
                <w:rFonts w:ascii="Arial" w:cs="Arial" w:eastAsia="Arial" w:hAnsi="Arial"/>
                <w:sz w:val="22"/>
                <w:szCs w:val="22"/>
                <w:color w:val="auto"/>
              </w:rPr>
              <w:t>[* * *]%</w:t>
            </w:r>
          </w:p>
        </w:tc>
      </w:tr>
      <w:tr>
        <w:trPr>
          <w:trHeight w:val="915"/>
        </w:trPr>
        <w:tc>
          <w:tcPr>
            <w:tcW w:w="7140" w:type="dxa"/>
            <w:vAlign w:val="bottom"/>
          </w:tcPr>
          <w:p>
            <w:pPr>
              <w:ind w:left="4740"/>
              <w:spacing w:after="0"/>
              <w:rPr>
                <w:sz w:val="20"/>
                <w:szCs w:val="20"/>
                <w:color w:val="auto"/>
              </w:rPr>
            </w:pPr>
            <w:r>
              <w:rPr>
                <w:rFonts w:ascii="Arial" w:cs="Arial" w:eastAsia="Arial" w:hAnsi="Arial"/>
                <w:sz w:val="22"/>
                <w:szCs w:val="22"/>
                <w:color w:val="auto"/>
              </w:rPr>
              <w:t>- 29 -</w:t>
            </w:r>
          </w:p>
        </w:tc>
        <w:tc>
          <w:tcPr>
            <w:tcW w:w="2920" w:type="dxa"/>
            <w:vAlign w:val="bottom"/>
          </w:tcPr>
          <w:p>
            <w:pPr>
              <w:spacing w:after="0"/>
              <w:rPr>
                <w:sz w:val="24"/>
                <w:szCs w:val="24"/>
                <w:color w:val="auto"/>
              </w:rPr>
            </w:pPr>
          </w:p>
        </w:tc>
      </w:tr>
      <w:tr>
        <w:trPr>
          <w:trHeight w:val="118"/>
        </w:trPr>
        <w:tc>
          <w:tcPr>
            <w:tcW w:w="714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12" w:right="919" w:bottom="1440" w:gutter="0" w:footer="0" w:header="0"/>
        </w:sectPr>
      </w:pPr>
    </w:p>
    <w:bookmarkStart w:id="175" w:name="page176"/>
    <w:bookmarkEnd w:id="175"/>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1938"/>
        <w:spacing w:after="0" w:line="237" w:lineRule="auto"/>
        <w:rPr>
          <w:sz w:val="20"/>
          <w:szCs w:val="20"/>
          <w:color w:val="auto"/>
        </w:rPr>
      </w:pPr>
      <w:r>
        <w:rPr>
          <w:rFonts w:ascii="Arial" w:cs="Arial" w:eastAsia="Arial" w:hAnsi="Arial"/>
          <w:sz w:val="22"/>
          <w:szCs w:val="22"/>
          <w:color w:val="auto"/>
        </w:rPr>
        <w:t>(b) Royalties will be payable to INFI [* * *] on an IPI-145 Product-by-IPI-145 Product and country-by-country basis until the later of (i) expiration of the applicable Royalty Term or (ii) ten (10) years after the first Commercial Sale of such IPI-145 Product in such country (such later date, the “</w:t>
      </w:r>
      <w:r>
        <w:rPr>
          <w:rFonts w:ascii="Arial" w:cs="Arial" w:eastAsia="Arial" w:hAnsi="Arial"/>
          <w:sz w:val="22"/>
          <w:szCs w:val="22"/>
          <w:u w:val="single" w:color="auto"/>
          <w:color w:val="auto"/>
        </w:rPr>
        <w:t>Royalty</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Termination Date</w:t>
      </w:r>
      <w:r>
        <w:rPr>
          <w:rFonts w:ascii="Arial" w:cs="Arial" w:eastAsia="Arial" w:hAnsi="Arial"/>
          <w:sz w:val="22"/>
          <w:szCs w:val="22"/>
          <w:color w:val="auto"/>
        </w:rPr>
        <w:t>”).</w:t>
      </w:r>
    </w:p>
    <w:p>
      <w:pPr>
        <w:spacing w:after="0" w:line="185" w:lineRule="exact"/>
        <w:rPr>
          <w:sz w:val="20"/>
          <w:szCs w:val="20"/>
          <w:color w:val="auto"/>
        </w:rPr>
      </w:pPr>
    </w:p>
    <w:p>
      <w:pPr>
        <w:jc w:val="both"/>
        <w:ind w:firstLine="1938"/>
        <w:spacing w:after="0" w:line="261" w:lineRule="auto"/>
        <w:rPr>
          <w:sz w:val="20"/>
          <w:szCs w:val="20"/>
          <w:color w:val="auto"/>
        </w:rPr>
      </w:pPr>
      <w:r>
        <w:rPr>
          <w:rFonts w:ascii="Arial" w:cs="Arial" w:eastAsia="Arial" w:hAnsi="Arial"/>
          <w:sz w:val="20"/>
          <w:szCs w:val="20"/>
          <w:color w:val="auto"/>
        </w:rPr>
        <w:t>(c) Solely with respect to Net Sales in the United States, following the expiration of the last to expire Valid Claim of any Duvelisib Patent Right claiming or covering the composition, formulation, preparation or method of manufacture or use of the applicable IPI-145 Product (or the IPI-145 Compound therein) in the United States, the applicable royalty under Section 6.1.1(a) with respect to Net Sales of such IPI-145 Product in the United States shall be reduced by fifty percent (50%), with the Net Sales for such IPI-145 Product in the United States allocated pro rata across each of the relevant royalty tiers. [* * *].</w:t>
      </w:r>
    </w:p>
    <w:p>
      <w:pPr>
        <w:spacing w:after="0" w:line="168" w:lineRule="exact"/>
        <w:rPr>
          <w:sz w:val="20"/>
          <w:szCs w:val="20"/>
          <w:color w:val="auto"/>
        </w:rPr>
      </w:pPr>
    </w:p>
    <w:p>
      <w:pPr>
        <w:jc w:val="both"/>
        <w:ind w:firstLine="1938"/>
        <w:spacing w:after="0" w:line="269" w:lineRule="auto"/>
        <w:rPr>
          <w:sz w:val="20"/>
          <w:szCs w:val="20"/>
          <w:color w:val="auto"/>
        </w:rPr>
      </w:pPr>
      <w:r>
        <w:rPr>
          <w:rFonts w:ascii="Arial" w:cs="Arial" w:eastAsia="Arial" w:hAnsi="Arial"/>
          <w:sz w:val="19"/>
          <w:szCs w:val="19"/>
          <w:color w:val="auto"/>
        </w:rPr>
        <w:t>(d) If Licensee (i) reasonably determines in good faith that it is required to obtain a license from a Third Party to any Patent Right that, in the absence of such license, would be infringed by the Commercialization in a particular country of the IPI-145 Product in the form in which the IPI-145 Product exists as of the Effective Date (the “</w:t>
      </w:r>
      <w:r>
        <w:rPr>
          <w:rFonts w:ascii="Arial" w:cs="Arial" w:eastAsia="Arial" w:hAnsi="Arial"/>
          <w:sz w:val="19"/>
          <w:szCs w:val="19"/>
          <w:u w:val="single" w:color="auto"/>
          <w:color w:val="auto"/>
        </w:rPr>
        <w:t>Existing IPI-145 Product”</w:t>
      </w:r>
      <w:r>
        <w:rPr>
          <w:rFonts w:ascii="Arial" w:cs="Arial" w:eastAsia="Arial" w:hAnsi="Arial"/>
          <w:sz w:val="19"/>
          <w:szCs w:val="19"/>
          <w:color w:val="auto"/>
        </w:rPr>
        <w:t>), which Patent Right (A) is not licensed or sublicensed hereunder, (B) claims the composition of matter of the IPI-145 Compound contained in the Existing IPI-145 Product or the method of use of such composition of matter in hematologic malignancies, and (C) is necessary (and not just useful) to Commercialize the Existing IPI-145 Product (the relevant “</w:t>
      </w:r>
      <w:r>
        <w:rPr>
          <w:rFonts w:ascii="Arial" w:cs="Arial" w:eastAsia="Arial" w:hAnsi="Arial"/>
          <w:sz w:val="19"/>
          <w:szCs w:val="19"/>
          <w:u w:val="single" w:color="auto"/>
          <w:color w:val="auto"/>
        </w:rPr>
        <w:t>Infringed Patent Right</w:t>
      </w:r>
      <w:r>
        <w:rPr>
          <w:rFonts w:ascii="Arial" w:cs="Arial" w:eastAsia="Arial" w:hAnsi="Arial"/>
          <w:sz w:val="19"/>
          <w:szCs w:val="19"/>
          <w:color w:val="auto"/>
        </w:rPr>
        <w:t xml:space="preserve">”), or (ii) shall be subject to a final court or other binding order or ruling that such Commercialization of the Existing IPI-145 Product infringed an Infringed Patent Right requiring any payments, including a payment of a royalty to the applicable Third Party Patent Right holder in respect of future sales of the Existing IPI-145 Product in a country in the Territory, then the amount of Licensee’s royalty payments to INFI under Section 6.1.1(a) shall be reduced by fifty percent (50%) of the amount paid by Licensee to such Third Party with respect to such Infringed Patent Right in each applicable Calendar Quarter that is reasonably and appropriately allocable to the Existing IPI-145 Product in such country in each Calendar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in no event will a deduction or deductions under this Section 6.1.1(d) reduce any royalty payment made by Licensee in respect of Net Sales (or Combination Product Net Sales) of the Existing IPI-145 Product in such country in such Calendar Quarter by more than fifty percent (50%) of the royalties otherwise payable by Licensee to INFI under Section 6.1.1(a) with respect to IPI-145 Product.</w:t>
      </w:r>
    </w:p>
    <w:p>
      <w:pPr>
        <w:spacing w:after="0" w:line="170" w:lineRule="exact"/>
        <w:rPr>
          <w:sz w:val="20"/>
          <w:szCs w:val="20"/>
          <w:color w:val="auto"/>
        </w:rPr>
      </w:pPr>
    </w:p>
    <w:p>
      <w:pPr>
        <w:jc w:val="both"/>
        <w:ind w:firstLine="1938"/>
        <w:spacing w:after="0" w:line="235" w:lineRule="auto"/>
        <w:rPr>
          <w:sz w:val="20"/>
          <w:szCs w:val="20"/>
          <w:color w:val="auto"/>
        </w:rPr>
      </w:pPr>
      <w:r>
        <w:rPr>
          <w:rFonts w:ascii="Arial" w:cs="Arial" w:eastAsia="Arial" w:hAnsi="Arial"/>
          <w:sz w:val="22"/>
          <w:szCs w:val="22"/>
          <w:color w:val="auto"/>
        </w:rPr>
        <w:t>(e) Notwithstanding any provision of this Agreement to the contrary, in no event will the deductions or adjustments under Sections 6.1.1(c) or 6.1.1(d) cause the royalties due to INFI in any applicable Calendar Quarter with respect to any IPI-145 Product in such country to be less than fifty percent (50%) of the royalties otherwise payable by Licensee to INFI under Section 6.1.1(a) (without taking into account Sections 6.1.1(c) or 6.1.1(d)) with respect to IPI-145 Product.</w:t>
      </w:r>
    </w:p>
    <w:p>
      <w:pPr>
        <w:spacing w:after="0" w:line="188"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Paid Up License Following Royalty Termination Date</w:t>
      </w:r>
      <w:r>
        <w:rPr>
          <w:rFonts w:ascii="Arial" w:cs="Arial" w:eastAsia="Arial" w:hAnsi="Arial"/>
          <w:sz w:val="22"/>
          <w:szCs w:val="22"/>
          <w:color w:val="auto"/>
        </w:rPr>
        <w:t>. Except with respect to the payments owed to INFI pursuant to Section 6.1.3, following the Royalty Termination Date on an IPI-145 Product-by-IPI-145 Product and country-by-country basis, Licensee’s licenses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6" w:name="page177"/>
    <w:bookmarkEnd w:id="176"/>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respect to such IPI-145 Product shall continue in effect, but become fully paid-up and royalty-free and shall become perpetual and irrevocable upon expiration of this Agreement or termination by Licensee for INFI’s breach;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following the last Royalty Termination Date with respect to all IPI-145 Products, on a country-by-country basis, Licensee’s licenses with respect to all IPI-145 Compounds and IPI-145 Products shall continue in effect, but become fully paid-up, royalty-free, and shall become perpetual and irrevocable upon expiration of this Agreement or termination by Licensee for INFI’s breach.</w:t>
      </w:r>
    </w:p>
    <w:p>
      <w:pPr>
        <w:spacing w:after="0" w:line="139"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6.1.3</w:t>
            </w:r>
          </w:p>
        </w:tc>
        <w:tc>
          <w:tcPr>
            <w:tcW w:w="7360" w:type="dxa"/>
            <w:vAlign w:val="bottom"/>
            <w:gridSpan w:val="4"/>
          </w:tcPr>
          <w:p>
            <w:pPr>
              <w:spacing w:after="0"/>
              <w:rPr>
                <w:sz w:val="20"/>
                <w:szCs w:val="20"/>
                <w:color w:val="auto"/>
              </w:rPr>
            </w:pPr>
            <w:r>
              <w:rPr>
                <w:rFonts w:ascii="Arial" w:cs="Arial" w:eastAsia="Arial" w:hAnsi="Arial"/>
                <w:sz w:val="22"/>
                <w:szCs w:val="22"/>
                <w:color w:val="auto"/>
              </w:rPr>
              <w:t>Payments to Third Party Grantors.</w:t>
            </w:r>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38"/>
        </w:trPr>
        <w:tc>
          <w:tcPr>
            <w:tcW w:w="1400" w:type="dxa"/>
            <w:vAlign w:val="bottom"/>
          </w:tcPr>
          <w:p>
            <w:pPr>
              <w:jc w:val="right"/>
              <w:ind w:right="412"/>
              <w:spacing w:after="0"/>
              <w:rPr>
                <w:sz w:val="20"/>
                <w:szCs w:val="20"/>
                <w:color w:val="auto"/>
              </w:rPr>
            </w:pPr>
            <w:r>
              <w:rPr>
                <w:rFonts w:ascii="Arial" w:cs="Arial" w:eastAsia="Arial" w:hAnsi="Arial"/>
                <w:sz w:val="22"/>
                <w:szCs w:val="22"/>
                <w:color w:val="auto"/>
              </w:rPr>
              <w:t>(a)</w:t>
            </w:r>
          </w:p>
        </w:tc>
        <w:tc>
          <w:tcPr>
            <w:tcW w:w="1220" w:type="dxa"/>
            <w:vAlign w:val="bottom"/>
          </w:tcPr>
          <w:p>
            <w:pPr>
              <w:spacing w:after="0"/>
              <w:rPr>
                <w:sz w:val="24"/>
                <w:szCs w:val="24"/>
                <w:color w:val="auto"/>
              </w:rPr>
            </w:pPr>
          </w:p>
        </w:tc>
        <w:tc>
          <w:tcPr>
            <w:tcW w:w="6140" w:type="dxa"/>
            <w:vAlign w:val="bottom"/>
            <w:gridSpan w:val="3"/>
          </w:tcPr>
          <w:p>
            <w:pPr>
              <w:spacing w:after="0"/>
              <w:rPr>
                <w:sz w:val="20"/>
                <w:szCs w:val="20"/>
                <w:color w:val="auto"/>
              </w:rPr>
            </w:pPr>
            <w:r>
              <w:rPr>
                <w:rFonts w:ascii="Arial" w:cs="Arial" w:eastAsia="Arial" w:hAnsi="Arial"/>
                <w:sz w:val="22"/>
                <w:szCs w:val="22"/>
                <w:color w:val="auto"/>
                <w:w w:val="93"/>
              </w:rPr>
              <w:t>Payments to INK. INFI shall be responsible for making all payments</w:t>
            </w:r>
          </w:p>
        </w:tc>
      </w:tr>
      <w:tr>
        <w:trPr>
          <w:trHeight w:val="20"/>
        </w:trPr>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owed to INK on INFI’s Qualifying Transaction Revenue (as defined in the INK Agreement) in accordance with the terms of the INK Agreement. Licensee shall have no obligation to make any such payments to INK and the royalties and other amounts paid under this Agreement to INFI shall not be increased to cover such amounts owed to INK by INFI under the INK Agreement. INFI hereby covenants to make all payments owed to INK on INFI’s Qualifying Transaction Revenue.</w:t>
      </w:r>
    </w:p>
    <w:p>
      <w:pPr>
        <w:spacing w:after="0" w:line="158" w:lineRule="exact"/>
        <w:rPr>
          <w:sz w:val="20"/>
          <w:szCs w:val="20"/>
          <w:color w:val="auto"/>
        </w:rPr>
      </w:pPr>
    </w:p>
    <w:tbl>
      <w:tblPr>
        <w:tblLayout w:type="fixed"/>
        <w:tblInd w:w="1940" w:type="dxa"/>
        <w:tblCellMar>
          <w:top w:w="0" w:type="dxa"/>
          <w:left w:w="0" w:type="dxa"/>
          <w:bottom w:w="0" w:type="dxa"/>
          <w:right w:w="0" w:type="dxa"/>
        </w:tblCellMar>
      </w:tblPr>
      <w:tr>
        <w:trPr>
          <w:trHeight w:val="253"/>
        </w:trPr>
        <w:tc>
          <w:tcPr>
            <w:tcW w:w="2040" w:type="dxa"/>
            <w:vAlign w:val="bottom"/>
          </w:tcPr>
          <w:p>
            <w:pPr>
              <w:spacing w:after="0"/>
              <w:rPr>
                <w:sz w:val="20"/>
                <w:szCs w:val="20"/>
                <w:color w:val="auto"/>
              </w:rPr>
            </w:pPr>
            <w:r>
              <w:rPr>
                <w:rFonts w:ascii="Arial" w:cs="Arial" w:eastAsia="Arial" w:hAnsi="Arial"/>
                <w:sz w:val="22"/>
                <w:szCs w:val="22"/>
                <w:color w:val="auto"/>
              </w:rPr>
              <w:t>(b)</w:t>
            </w:r>
          </w:p>
        </w:tc>
        <w:tc>
          <w:tcPr>
            <w:tcW w:w="6080" w:type="dxa"/>
            <w:vAlign w:val="bottom"/>
            <w:gridSpan w:val="2"/>
          </w:tcPr>
          <w:p>
            <w:pPr>
              <w:spacing w:after="0"/>
              <w:rPr>
                <w:sz w:val="20"/>
                <w:szCs w:val="20"/>
                <w:color w:val="auto"/>
              </w:rPr>
            </w:pPr>
            <w:r>
              <w:rPr>
                <w:rFonts w:ascii="Arial" w:cs="Arial" w:eastAsia="Arial" w:hAnsi="Arial"/>
                <w:sz w:val="22"/>
                <w:szCs w:val="22"/>
                <w:color w:val="auto"/>
              </w:rPr>
              <w:t>Payments to Mundipharma and Purdue.</w:t>
            </w:r>
          </w:p>
        </w:tc>
      </w:tr>
      <w:tr>
        <w:trPr>
          <w:trHeight w:val="20"/>
        </w:trPr>
        <w:tc>
          <w:tcPr>
            <w:tcW w:w="20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75"/>
        </w:trPr>
        <w:tc>
          <w:tcPr>
            <w:tcW w:w="2040" w:type="dxa"/>
            <w:vAlign w:val="bottom"/>
          </w:tcPr>
          <w:p>
            <w:pPr>
              <w:ind w:left="640"/>
              <w:spacing w:after="0"/>
              <w:rPr>
                <w:sz w:val="20"/>
                <w:szCs w:val="20"/>
                <w:color w:val="auto"/>
              </w:rPr>
            </w:pPr>
            <w:r>
              <w:rPr>
                <w:rFonts w:ascii="Arial" w:cs="Arial" w:eastAsia="Arial" w:hAnsi="Arial"/>
                <w:sz w:val="21"/>
                <w:szCs w:val="21"/>
                <w:color w:val="auto"/>
              </w:rPr>
              <w:t>(i)</w:t>
            </w:r>
          </w:p>
        </w:tc>
        <w:tc>
          <w:tcPr>
            <w:tcW w:w="6080" w:type="dxa"/>
            <w:vAlign w:val="bottom"/>
            <w:gridSpan w:val="2"/>
          </w:tcPr>
          <w:p>
            <w:pPr>
              <w:ind w:left="1180"/>
              <w:spacing w:after="0"/>
              <w:rPr>
                <w:sz w:val="20"/>
                <w:szCs w:val="20"/>
                <w:color w:val="auto"/>
              </w:rPr>
            </w:pPr>
            <w:r>
              <w:rPr>
                <w:rFonts w:ascii="Arial" w:cs="Arial" w:eastAsia="Arial" w:hAnsi="Arial"/>
                <w:sz w:val="22"/>
                <w:szCs w:val="22"/>
                <w:color w:val="auto"/>
              </w:rPr>
              <w:t>In addition to the royalty owed to INFI pursuant to</w:t>
            </w:r>
          </w:p>
        </w:tc>
      </w:tr>
    </w:tbl>
    <w:p>
      <w:pPr>
        <w:jc w:val="both"/>
        <w:spacing w:after="0" w:line="268" w:lineRule="auto"/>
        <w:rPr>
          <w:sz w:val="20"/>
          <w:szCs w:val="20"/>
          <w:color w:val="auto"/>
        </w:rPr>
      </w:pPr>
      <w:r>
        <w:rPr>
          <w:rFonts w:ascii="Arial" w:cs="Arial" w:eastAsia="Arial" w:hAnsi="Arial"/>
          <w:sz w:val="19"/>
          <w:szCs w:val="19"/>
          <w:color w:val="auto"/>
        </w:rPr>
        <w:t>Section 6.1.1, Licensee shall pay to INFI (for payment to MICL) an amount equal to 3.756% of Net Sales (the “</w:t>
      </w:r>
      <w:r>
        <w:rPr>
          <w:rFonts w:ascii="Arial" w:cs="Arial" w:eastAsia="Arial" w:hAnsi="Arial"/>
          <w:sz w:val="19"/>
          <w:szCs w:val="19"/>
          <w:u w:val="single" w:color="auto"/>
          <w:color w:val="auto"/>
        </w:rPr>
        <w:t>MICL Royalty Payment</w:t>
      </w:r>
      <w:r>
        <w:rPr>
          <w:rFonts w:ascii="Arial" w:cs="Arial" w:eastAsia="Arial" w:hAnsi="Arial"/>
          <w:sz w:val="19"/>
          <w:szCs w:val="19"/>
          <w:color w:val="auto"/>
        </w:rPr>
        <w:t>”) of IPI-145 Product. For purposes of this Section 6.1.3(b)(i) only, Net Sales of Combination Products will be calculated in accordance with Section 1.59(I) and will not be reduced by the multiplication factor reflected in Section 1.59(II). INFI shall provide Licensee with prompt notice if the Securities Purchase Agreement (as defined in the MICL Agreements) is terminated pursuant to Section 8.1 thereof, and in such case, the MICL Royalty Payment shall be reduced to 2.817% of Net Sales. Licensee shall only be obligated to make the MICL Royalty Payment on Net Sales of IPI-145 Product until such time as MICL has received an aggregate amount equal to $244,547,850 (the “</w:t>
      </w:r>
      <w:r>
        <w:rPr>
          <w:rFonts w:ascii="Arial" w:cs="Arial" w:eastAsia="Arial" w:hAnsi="Arial"/>
          <w:sz w:val="19"/>
          <w:szCs w:val="19"/>
          <w:u w:val="single" w:color="auto"/>
          <w:color w:val="auto"/>
        </w:rPr>
        <w:t>MICL Repayment Amount</w:t>
      </w:r>
      <w:r>
        <w:rPr>
          <w:rFonts w:ascii="Arial" w:cs="Arial" w:eastAsia="Arial" w:hAnsi="Arial"/>
          <w:sz w:val="19"/>
          <w:szCs w:val="19"/>
          <w:color w:val="auto"/>
        </w:rPr>
        <w:t>”) from the combination of MICL Royalty Payments made by Licensee with respect to IPI-145 Product and other royalties paid by INFI or its Affiliates or licensees or sublicensees with respect to any other Products subject to the royalty payments under the MICL Agreement with MICL. On an annual basis, INFI shall inform Licensee of the remaining balance of the MICL Repayment Amount. INFI shall provide Licensee with prompt notice when such MICL Repayment Amount has been paid in full, in which case, (a) Licensee shall no longer be required to make the MICL Royalty Payment to INFI and (b) Licensee will be required to make the MICL Trailing Royalty Payment to INFI pursuant to Section 6.1.3(c). In the event the rate of the MICL Royalty Payment has changed from the initial rate, as set forth in this Section 6.1.3(b)(i), and, as a result, Licensee has overpaid to INFI the MICL Royalty Payment with respect thereto, such overpaid amount shall be credited toward Licensee’s MICL Royalty Payments or MICL Trailing Royalty Payment until fully credited.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jc w:val="right"/>
              <w:ind w:right="1934"/>
              <w:spacing w:after="0"/>
              <w:rPr>
                <w:sz w:val="20"/>
                <w:szCs w:val="20"/>
                <w:color w:val="auto"/>
              </w:rPr>
            </w:pPr>
            <w:r>
              <w:rPr>
                <w:rFonts w:ascii="Arial" w:cs="Arial" w:eastAsia="Arial" w:hAnsi="Arial"/>
                <w:sz w:val="21"/>
                <w:szCs w:val="21"/>
                <w:color w:val="auto"/>
              </w:rPr>
              <w:t>(ii)</w:t>
            </w:r>
          </w:p>
        </w:tc>
        <w:tc>
          <w:tcPr>
            <w:tcW w:w="5180" w:type="dxa"/>
            <w:vAlign w:val="bottom"/>
          </w:tcPr>
          <w:p>
            <w:pPr>
              <w:jc w:val="right"/>
              <w:spacing w:after="0"/>
              <w:rPr>
                <w:sz w:val="20"/>
                <w:szCs w:val="20"/>
                <w:color w:val="auto"/>
              </w:rPr>
            </w:pPr>
            <w:r>
              <w:rPr>
                <w:rFonts w:ascii="Arial" w:cs="Arial" w:eastAsia="Arial" w:hAnsi="Arial"/>
                <w:sz w:val="22"/>
                <w:szCs w:val="22"/>
                <w:color w:val="auto"/>
              </w:rPr>
              <w:t>In addition to the royalty owed to INFI pursuant to</w:t>
            </w:r>
          </w:p>
        </w:tc>
      </w:tr>
      <w:tr>
        <w:trPr>
          <w:trHeight w:val="274"/>
        </w:trPr>
        <w:tc>
          <w:tcPr>
            <w:tcW w:w="10060" w:type="dxa"/>
            <w:vAlign w:val="bottom"/>
            <w:gridSpan w:val="2"/>
          </w:tcPr>
          <w:p>
            <w:pPr>
              <w:jc w:val="right"/>
              <w:ind w:right="772"/>
              <w:spacing w:after="0"/>
              <w:rPr>
                <w:sz w:val="20"/>
                <w:szCs w:val="20"/>
                <w:color w:val="auto"/>
              </w:rPr>
            </w:pPr>
            <w:r>
              <w:rPr>
                <w:rFonts w:ascii="Arial" w:cs="Arial" w:eastAsia="Arial" w:hAnsi="Arial"/>
                <w:sz w:val="22"/>
                <w:szCs w:val="22"/>
                <w:color w:val="auto"/>
                <w:w w:val="88"/>
              </w:rPr>
              <w:t>Section 6.1.1, Licensee shall pay to INFI (for payment to Purdue) an amount equal to 0.244% of Net Sales</w:t>
            </w:r>
          </w:p>
        </w:tc>
      </w:tr>
      <w:tr>
        <w:trPr>
          <w:trHeight w:val="458"/>
        </w:trPr>
        <w:tc>
          <w:tcPr>
            <w:tcW w:w="4880" w:type="dxa"/>
            <w:vAlign w:val="bottom"/>
          </w:tcPr>
          <w:p>
            <w:pPr>
              <w:jc w:val="right"/>
              <w:spacing w:after="0"/>
              <w:rPr>
                <w:sz w:val="20"/>
                <w:szCs w:val="20"/>
                <w:color w:val="auto"/>
              </w:rPr>
            </w:pPr>
            <w:r>
              <w:rPr>
                <w:rFonts w:ascii="Arial" w:cs="Arial" w:eastAsia="Arial" w:hAnsi="Arial"/>
                <w:sz w:val="22"/>
                <w:szCs w:val="22"/>
                <w:color w:val="auto"/>
              </w:rPr>
              <w:t>-</w:t>
            </w:r>
          </w:p>
        </w:tc>
        <w:tc>
          <w:tcPr>
            <w:tcW w:w="5180" w:type="dxa"/>
            <w:vAlign w:val="bottom"/>
          </w:tcPr>
          <w:p>
            <w:pPr>
              <w:jc w:val="right"/>
              <w:ind w:right="4632"/>
              <w:spacing w:after="0"/>
              <w:rPr>
                <w:sz w:val="20"/>
                <w:szCs w:val="20"/>
                <w:color w:val="auto"/>
              </w:rPr>
            </w:pPr>
            <w:r>
              <w:rPr>
                <w:rFonts w:ascii="Arial" w:cs="Arial" w:eastAsia="Arial" w:hAnsi="Arial"/>
                <w:sz w:val="22"/>
                <w:szCs w:val="22"/>
                <w:color w:val="auto"/>
              </w:rPr>
              <w:t>31 -</w:t>
            </w:r>
          </w:p>
        </w:tc>
      </w:tr>
      <w:tr>
        <w:trPr>
          <w:trHeight w:val="118"/>
        </w:trPr>
        <w:tc>
          <w:tcPr>
            <w:tcW w:w="488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12" w:right="919" w:bottom="1440" w:gutter="0" w:footer="0" w:header="0"/>
        </w:sectPr>
      </w:pPr>
    </w:p>
    <w:bookmarkStart w:id="177" w:name="page178"/>
    <w:bookmarkEnd w:id="177"/>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Purdue Royalty Payment</w:t>
      </w:r>
      <w:r>
        <w:rPr>
          <w:rFonts w:ascii="Arial" w:cs="Arial" w:eastAsia="Arial" w:hAnsi="Arial"/>
          <w:sz w:val="20"/>
          <w:szCs w:val="20"/>
          <w:color w:val="auto"/>
        </w:rPr>
        <w:t>”) of an IPI-145 Product. For purposes of this Section 6.1.3(b)(ii) only, Net Sales of Combination Products will be calculated in accordance with Section 1.59(I) and will not be reduced by the multiplication factor reflected in Section 1.59(II). INFI shall provide Licensee with prompt notice if the Securities Purchase Agreement (as defined in the MICL Agreements) is terminated pursuant to Section 8.1 thereof, and in such case, the Purdue Royalty Payment shall be reduced to 0.183% of Net Sales. Licensee shall only be obligated to make the Purdue Royalty Payment on Net Sales of IPI-145 Product until such time as Purdue has received an aggregate amount equal to $15,908,706 (the “</w:t>
      </w:r>
      <w:r>
        <w:rPr>
          <w:rFonts w:ascii="Arial" w:cs="Arial" w:eastAsia="Arial" w:hAnsi="Arial"/>
          <w:sz w:val="20"/>
          <w:szCs w:val="20"/>
          <w:u w:val="single" w:color="auto"/>
          <w:color w:val="auto"/>
        </w:rPr>
        <w:t>Purdue Repayment Amount</w:t>
      </w:r>
      <w:r>
        <w:rPr>
          <w:rFonts w:ascii="Arial" w:cs="Arial" w:eastAsia="Arial" w:hAnsi="Arial"/>
          <w:sz w:val="20"/>
          <w:szCs w:val="20"/>
          <w:color w:val="auto"/>
        </w:rPr>
        <w:t>”) from the combination of Purdue Royalty Payments made by Licensee with respect to IPI-145 Product and other royalties paid by INFI or its Affiliates or licensees or sublicensees with respect to any other Products subject to the royalty payments under the MICL Agreement with Purdue. On an annual basis, INFI shall inform Licensee of the remaining balance of the Purdue Repayment Amount. INFI shall provide Licensee with prompt notice when such Purdue Repayment Amount has been paid in full, in which case, Licensee shall no longer be required to make the Purdue Royalty Payment to INFI. In the event the rate of the Purdue Royalty Payment has changed from the initial rate, as set forth in this Section 6.1.3(b)(ii), and, as a result, Licensee has overpaid to INFI the Purdue Royalty Payment with respect thereto, such overpaid amount shall be credited toward Licensee’s Purdue Royalty Payments or, if the Purdue Repayment Amount has been paid in full, any other payment owed by Licensee to INFI.</w:t>
      </w:r>
    </w:p>
    <w:p>
      <w:pPr>
        <w:spacing w:after="0" w:line="182" w:lineRule="exact"/>
        <w:rPr>
          <w:sz w:val="20"/>
          <w:szCs w:val="20"/>
          <w:color w:val="auto"/>
        </w:rPr>
      </w:pPr>
    </w:p>
    <w:p>
      <w:pPr>
        <w:jc w:val="both"/>
        <w:ind w:firstLine="2584"/>
        <w:spacing w:after="0" w:line="256" w:lineRule="auto"/>
        <w:rPr>
          <w:sz w:val="20"/>
          <w:szCs w:val="20"/>
          <w:color w:val="auto"/>
        </w:rPr>
      </w:pPr>
      <w:r>
        <w:rPr>
          <w:rFonts w:ascii="Arial" w:cs="Arial" w:eastAsia="Arial" w:hAnsi="Arial"/>
          <w:sz w:val="21"/>
          <w:szCs w:val="21"/>
          <w:color w:val="auto"/>
        </w:rPr>
        <w:t>(iii) On an IPI-145 Product-by-IPI-145 Product and country-by-country basis, if the sole basis for the continuance of a Royalty Term is the existence of Regulatory Exclusivity, the MICL Royalty Payment and the Purdue Royalty Payment shall be reduced by fifty percent (50%).</w:t>
      </w:r>
    </w:p>
    <w:p>
      <w:pPr>
        <w:spacing w:after="0" w:line="169" w:lineRule="exact"/>
        <w:rPr>
          <w:sz w:val="20"/>
          <w:szCs w:val="20"/>
          <w:color w:val="auto"/>
        </w:rPr>
      </w:pPr>
    </w:p>
    <w:p>
      <w:pPr>
        <w:jc w:val="both"/>
        <w:ind w:firstLine="2584"/>
        <w:spacing w:after="0" w:line="256" w:lineRule="auto"/>
        <w:rPr>
          <w:sz w:val="20"/>
          <w:szCs w:val="20"/>
          <w:color w:val="auto"/>
        </w:rPr>
      </w:pPr>
      <w:r>
        <w:rPr>
          <w:rFonts w:ascii="Arial" w:cs="Arial" w:eastAsia="Arial" w:hAnsi="Arial"/>
          <w:sz w:val="21"/>
          <w:szCs w:val="21"/>
          <w:color w:val="auto"/>
        </w:rPr>
        <w:t>(iv) INFI shall promptly pay the full amount of all MICL Royalty Payments and Purdue Royalty Payments received from Licensee to MICL, subject only to the last sentence of Section 6.1.3(b)(i) and the last sentence of Section 6.1.3(b)(ii).</w:t>
      </w:r>
    </w:p>
    <w:p>
      <w:pPr>
        <w:spacing w:after="0" w:line="169" w:lineRule="exact"/>
        <w:rPr>
          <w:sz w:val="20"/>
          <w:szCs w:val="20"/>
          <w:color w:val="auto"/>
        </w:rPr>
      </w:pPr>
    </w:p>
    <w:p>
      <w:pPr>
        <w:jc w:val="both"/>
        <w:ind w:firstLine="1938"/>
        <w:spacing w:after="0" w:line="233"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Mundipharma Trailing Royalty</w:t>
      </w:r>
      <w:r>
        <w:rPr>
          <w:rFonts w:ascii="Arial" w:cs="Arial" w:eastAsia="Arial" w:hAnsi="Arial"/>
          <w:sz w:val="22"/>
          <w:szCs w:val="22"/>
          <w:color w:val="auto"/>
        </w:rPr>
        <w:t>. Once the MICL Repayment Amount has been paid in full, Licensee shall no longer be required the pay the MICL Royalty Payment. Instead, Licensee will be required to pay MICL an amount equal to one percent (1%) of Net Sales of IPI-145 Product in the United States (the “</w:t>
      </w:r>
      <w:r>
        <w:rPr>
          <w:rFonts w:ascii="Arial" w:cs="Arial" w:eastAsia="Arial" w:hAnsi="Arial"/>
          <w:sz w:val="22"/>
          <w:szCs w:val="22"/>
          <w:u w:val="single" w:color="auto"/>
          <w:color w:val="auto"/>
        </w:rPr>
        <w:t>MICL Trailing Royalty Payment</w:t>
      </w:r>
      <w:r>
        <w:rPr>
          <w:rFonts w:ascii="Arial" w:cs="Arial" w:eastAsia="Arial" w:hAnsi="Arial"/>
          <w:sz w:val="22"/>
          <w:szCs w:val="22"/>
          <w:color w:val="auto"/>
        </w:rPr>
        <w:t>”). For purposes of this Section 6.1.3(c) only, Net Sales of Combination Products will be calculated in accordance with Section 1.59(I) and will not be reduced by the multiplication factor reflected in Section 1.59(II). The MICL Trailing Royalty Payment shall be paid on an IPI-145 Product-by-IPI-145 Product basis until the expiration of the applicable Royalty Term in the United States. Thereafter, no further amounts shall be payable by Licensee to INFI for payment to MICL with respect to the MICL Agreements.</w:t>
      </w:r>
    </w:p>
    <w:p>
      <w:pPr>
        <w:spacing w:after="0" w:line="185" w:lineRule="exact"/>
        <w:rPr>
          <w:sz w:val="20"/>
          <w:szCs w:val="20"/>
          <w:color w:val="auto"/>
        </w:rPr>
      </w:pPr>
    </w:p>
    <w:p>
      <w:pPr>
        <w:jc w:val="both"/>
        <w:ind w:firstLine="2584"/>
        <w:spacing w:after="0" w:line="256" w:lineRule="auto"/>
        <w:rPr>
          <w:sz w:val="20"/>
          <w:szCs w:val="20"/>
          <w:color w:val="auto"/>
        </w:rPr>
      </w:pPr>
      <w:r>
        <w:rPr>
          <w:rFonts w:ascii="Arial" w:cs="Arial" w:eastAsia="Arial" w:hAnsi="Arial"/>
          <w:sz w:val="21"/>
          <w:szCs w:val="21"/>
          <w:color w:val="auto"/>
        </w:rPr>
        <w:t>(i) On an IPI-145 Product-by-IPI-145 Product basis, if the sole basis for the continuation of a Royalty Term in the United States is the existence of Regulatory Exclusivity, then the MICL Trailing Royalty Payment shall be reduced by fifty percent (50%).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8" w:name="page179"/>
    <w:bookmarkEnd w:id="178"/>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2584"/>
        <w:spacing w:after="0" w:line="257" w:lineRule="auto"/>
        <w:rPr>
          <w:sz w:val="20"/>
          <w:szCs w:val="20"/>
          <w:color w:val="auto"/>
        </w:rPr>
      </w:pPr>
      <w:r>
        <w:rPr>
          <w:rFonts w:ascii="Arial" w:cs="Arial" w:eastAsia="Arial" w:hAnsi="Arial"/>
          <w:sz w:val="20"/>
          <w:szCs w:val="20"/>
          <w:color w:val="auto"/>
        </w:rPr>
        <w:t>(ii) If Licensee (i) reasonably determines in good faith it, in order to avoid infringement of any patent not licensed hereunder, it is reasonably necessary to obtain a license from a Third Party in order to Manufacture or Commercialize an IPI-145 Product in a country in the Territory and to pay a royalty or other consideration under such license (including in connection with the settlement of a patent infringement claim), or (ii) shall be subject to a final court or other binding order or ruling requiring any payments, including a payment of a royalty to a Third Party patent holder in respect of future sales of any IPI-145 Product in a country in the Territory, then the amount of the MICL Trailing Royalty Payment shall be reduced by fifty percent (50%) of the amount paid by Licensee to such Third Party that is reasonably and appropriately allocable to, as applicable, such IPI-145 Product; provided, however, that in no event will a deduction or deductions under this Section 6.1.3(c) reduce the MICL Trailing Royalty Payment by more than fifty percent (50%).</w:t>
      </w:r>
    </w:p>
    <w:p>
      <w:pPr>
        <w:spacing w:after="0" w:line="175"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 xml:space="preserve">6.1.4 </w:t>
      </w:r>
      <w:r>
        <w:rPr>
          <w:rFonts w:ascii="Arial" w:cs="Arial" w:eastAsia="Arial" w:hAnsi="Arial"/>
          <w:sz w:val="22"/>
          <w:szCs w:val="22"/>
          <w:u w:val="single" w:color="auto"/>
          <w:color w:val="auto"/>
        </w:rPr>
        <w:t>Payment Terms</w:t>
      </w:r>
      <w:r>
        <w:rPr>
          <w:rFonts w:ascii="Arial" w:cs="Arial" w:eastAsia="Arial" w:hAnsi="Arial"/>
          <w:sz w:val="22"/>
          <w:szCs w:val="22"/>
          <w:color w:val="auto"/>
        </w:rPr>
        <w:t>. Except as otherwise set forth in this Agreement, all payments by or on behalf of Licensee under this Agreement shall be non-creditable (except pursuant to Section 6.5, the last sentence of Section 6.1.3(b)(i), or the last sentence of Section 6.1.3(b)(ii))) and non-refundable.</w:t>
      </w:r>
    </w:p>
    <w:p>
      <w:pPr>
        <w:spacing w:after="0" w:line="157"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6.2</w:t>
            </w:r>
          </w:p>
        </w:tc>
        <w:tc>
          <w:tcPr>
            <w:tcW w:w="260" w:type="dxa"/>
            <w:vAlign w:val="bottom"/>
          </w:tcPr>
          <w:p>
            <w:pPr>
              <w:spacing w:after="0"/>
              <w:rPr>
                <w:sz w:val="21"/>
                <w:szCs w:val="21"/>
                <w:color w:val="auto"/>
              </w:rPr>
            </w:pPr>
          </w:p>
        </w:tc>
        <w:tc>
          <w:tcPr>
            <w:tcW w:w="8700" w:type="dxa"/>
            <w:vAlign w:val="bottom"/>
            <w:gridSpan w:val="3"/>
          </w:tcPr>
          <w:p>
            <w:pPr>
              <w:spacing w:after="0"/>
              <w:rPr>
                <w:sz w:val="20"/>
                <w:szCs w:val="20"/>
                <w:color w:val="auto"/>
              </w:rPr>
            </w:pPr>
            <w:r>
              <w:rPr>
                <w:rFonts w:ascii="Arial" w:cs="Arial" w:eastAsia="Arial" w:hAnsi="Arial"/>
                <w:sz w:val="22"/>
                <w:szCs w:val="22"/>
                <w:color w:val="auto"/>
              </w:rPr>
              <w:t>Methods of Payment.</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475"/>
        </w:trPr>
        <w:tc>
          <w:tcPr>
            <w:tcW w:w="460" w:type="dxa"/>
            <w:vAlign w:val="bottom"/>
          </w:tcPr>
          <w:p>
            <w:pPr>
              <w:spacing w:after="0"/>
              <w:rPr>
                <w:sz w:val="24"/>
                <w:szCs w:val="24"/>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22"/>
                <w:szCs w:val="22"/>
                <w:color w:val="auto"/>
              </w:rPr>
              <w:t>6.2.1</w:t>
            </w:r>
          </w:p>
        </w:tc>
        <w:tc>
          <w:tcPr>
            <w:tcW w:w="7860" w:type="dxa"/>
            <w:vAlign w:val="bottom"/>
            <w:gridSpan w:val="2"/>
          </w:tcPr>
          <w:p>
            <w:pPr>
              <w:ind w:left="500"/>
              <w:spacing w:after="0"/>
              <w:rPr>
                <w:sz w:val="20"/>
                <w:szCs w:val="20"/>
                <w:color w:val="auto"/>
              </w:rPr>
            </w:pPr>
            <w:r>
              <w:rPr>
                <w:rFonts w:ascii="Arial" w:cs="Arial" w:eastAsia="Arial" w:hAnsi="Arial"/>
                <w:sz w:val="22"/>
                <w:szCs w:val="22"/>
                <w:color w:val="auto"/>
                <w:w w:val="89"/>
              </w:rPr>
              <w:t>All payments due under this Agreement shall be paid in Dollars, except as expressly</w:t>
            </w:r>
          </w:p>
        </w:tc>
      </w:tr>
    </w:tbl>
    <w:p>
      <w:pPr>
        <w:jc w:val="both"/>
        <w:spacing w:after="0" w:line="254" w:lineRule="auto"/>
        <w:rPr>
          <w:sz w:val="20"/>
          <w:szCs w:val="20"/>
          <w:color w:val="auto"/>
        </w:rPr>
      </w:pPr>
      <w:r>
        <w:rPr>
          <w:rFonts w:ascii="Arial" w:cs="Arial" w:eastAsia="Arial" w:hAnsi="Arial"/>
          <w:sz w:val="20"/>
          <w:szCs w:val="20"/>
          <w:color w:val="auto"/>
        </w:rPr>
        <w:t xml:space="preserve">set forth in Section 3.1.2(c)(ii). All payments to INFI under this Agreement shall be paid by electronic wire transfer of immediately available funds to a bank account in the United States designated in writing by INFI. All payments to INFI pursuant to Section 6.1.1 for a [* * *] shall be due [* * *] days after the end of each [* * *]. With respect to all payments to INFI pursuant to Sections 6.1.3(b) or 6.1.3(c), Licensee shall deliver such payments to INFI within [* * *] days after the end of each [* * *] during the applicable Royalty Term, reasonably detailed written accountings of Net Sales of IPI-145 Products that are subject to payments due to MICL or Purdue, as applicable for such [* * *]. Such accountings shall be Confidential Information of Licensee and subject to the confidentiality provisions set forth in the MICL Agreements. Such [* * *] reports shall indicate (i) gross sales and Net Sales (including reasonable detail for deductions from gross sales to Net Sales) on a country-by-country and IPI-145 Product-by-IPI-145 Product basis, and (ii) the calculation of the MICL Royalty, the Purdue Royalty, the MICL Trailing Royalty Payment from such gross sales and Net Sales;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such reports shall include (i) the actual information specified in this Section 6.2.1 for all [* * *] other than the [* * *] and (ii) a good faith estimate of the information specified in this Section 6.2.1 for the [* * *], which estimates shall be promptly reconciled with the actual information for such month in the next [* * *]. On the date on which Licensee is required to have delivered such accounting to INFI, Licensee shall also deliver the payments due for such [* * *];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payments will be based on (a) the actual information specified in this Section 6.2.1 for all weeks in such [* * *] other than the last month of such [* * *] and (b) a good faith estimate of the information specified in this Section 6.2.1 for the last month of such [* * *], which estimates shall be promptly reconciled with the actual information for such month in the next [* * *].</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9" w:name="page180"/>
    <w:bookmarkEnd w:id="179"/>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1292"/>
        <w:spacing w:after="0" w:line="264" w:lineRule="auto"/>
        <w:rPr>
          <w:sz w:val="20"/>
          <w:szCs w:val="20"/>
          <w:color w:val="auto"/>
        </w:rPr>
      </w:pPr>
      <w:r>
        <w:rPr>
          <w:rFonts w:ascii="Arial" w:cs="Arial" w:eastAsia="Arial" w:hAnsi="Arial"/>
          <w:sz w:val="20"/>
          <w:szCs w:val="20"/>
          <w:color w:val="auto"/>
        </w:rPr>
        <w:t>6.2.2 For the purposes of calculating any sums due under this Agreement, Licensee shall convert any amount expressed in a foreign currency into US Dollar equivalents, calculated using the applicable currency conversion rate as published in [* * *], (a) for sales, on the last Business Day of the applicable Calendar Quarter for the Calendar Quarter in which the relevant sales were made or (b) for calculations of all other payments payable under this Agreement, on the day the payment obligation accrued.</w:t>
      </w:r>
    </w:p>
    <w:p>
      <w:pPr>
        <w:spacing w:after="0" w:line="162" w:lineRule="exact"/>
        <w:rPr>
          <w:sz w:val="20"/>
          <w:szCs w:val="20"/>
          <w:color w:val="auto"/>
        </w:rPr>
      </w:pPr>
    </w:p>
    <w:p>
      <w:pPr>
        <w:jc w:val="both"/>
        <w:ind w:firstLine="646"/>
        <w:spacing w:after="0" w:line="261"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Late Payments</w:t>
      </w:r>
      <w:r>
        <w:rPr>
          <w:rFonts w:ascii="Arial" w:cs="Arial" w:eastAsia="Arial" w:hAnsi="Arial"/>
          <w:sz w:val="20"/>
          <w:szCs w:val="20"/>
          <w:color w:val="auto"/>
        </w:rPr>
        <w:t>. Without limiting any other rights or remedies available to INFI hereunder, interest shall be payable by Licensee on any amounts payable to INFI, Purdue or MICL under this Agreement which are not paid by the due date for payment. All interest shall accrue and be calculated on a daily basis (both before and after any judgment) at a rate per annum equal to [* * *] percentage points above the then current “prime rate” in effect published in [* * *] (but in no event in excess of the maximum rate permissible under applicable Law), for the period from the due date for payment until the date of actual payment.</w:t>
      </w:r>
    </w:p>
    <w:p>
      <w:pPr>
        <w:spacing w:after="0" w:line="16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5" w:lineRule="exact"/>
        <w:rPr>
          <w:sz w:val="20"/>
          <w:szCs w:val="20"/>
          <w:color w:val="auto"/>
        </w:rPr>
      </w:pPr>
    </w:p>
    <w:p>
      <w:pPr>
        <w:jc w:val="both"/>
        <w:ind w:firstLine="1292"/>
        <w:spacing w:after="0" w:line="259" w:lineRule="auto"/>
        <w:rPr>
          <w:sz w:val="20"/>
          <w:szCs w:val="20"/>
          <w:color w:val="auto"/>
        </w:rPr>
      </w:pPr>
      <w:r>
        <w:rPr>
          <w:rFonts w:ascii="Arial" w:cs="Arial" w:eastAsia="Arial" w:hAnsi="Arial"/>
          <w:sz w:val="20"/>
          <w:szCs w:val="20"/>
          <w:color w:val="auto"/>
        </w:rPr>
        <w:t>6.4.1 All payments due and payable under this Agreement will be made without any deduction or withholding for or on account of any tax except to the extent otherwise required by applicable Laws. If Licensee is so required to withhold, Licensee will (a) promptly notify INFI of such requirement; (b) deduct from each payment to which such requirement relates and pay to the relevant Governmental Authority the full amount required to be withheld promptly upon the earlier of (i) determining that such withholding is required or (ii) receiving notice that such amount has been assessed against INFI or any Third Party Grantor; and (c) promptly forward to INFI an official receipt (or certified copy) or other documentation reasonably acceptable to INFI evidencing such payment to such authorities.</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274"/>
        </w:trPr>
        <w:tc>
          <w:tcPr>
            <w:tcW w:w="460" w:type="dxa"/>
            <w:vAlign w:val="bottom"/>
          </w:tcPr>
          <w:p>
            <w:pPr>
              <w:spacing w:after="0"/>
              <w:rPr>
                <w:sz w:val="23"/>
                <w:szCs w:val="23"/>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22"/>
                <w:szCs w:val="22"/>
                <w:color w:val="auto"/>
              </w:rPr>
              <w:t>6.4.2</w:t>
            </w:r>
          </w:p>
        </w:tc>
        <w:tc>
          <w:tcPr>
            <w:tcW w:w="2060" w:type="dxa"/>
            <w:vAlign w:val="bottom"/>
          </w:tcPr>
          <w:p>
            <w:pPr>
              <w:ind w:left="500"/>
              <w:spacing w:after="0"/>
              <w:rPr>
                <w:sz w:val="20"/>
                <w:szCs w:val="20"/>
                <w:color w:val="auto"/>
              </w:rPr>
            </w:pPr>
            <w:r>
              <w:rPr>
                <w:rFonts w:ascii="Arial" w:cs="Arial" w:eastAsia="Arial" w:hAnsi="Arial"/>
                <w:sz w:val="22"/>
                <w:szCs w:val="22"/>
                <w:color w:val="auto"/>
              </w:rPr>
              <w:t>[* * *]</w:t>
            </w:r>
          </w:p>
        </w:tc>
        <w:tc>
          <w:tcPr>
            <w:tcW w:w="5800" w:type="dxa"/>
            <w:vAlign w:val="bottom"/>
          </w:tcPr>
          <w:p>
            <w:pPr>
              <w:spacing w:after="0"/>
              <w:rPr>
                <w:sz w:val="23"/>
                <w:szCs w:val="23"/>
                <w:color w:val="auto"/>
              </w:rPr>
            </w:pPr>
          </w:p>
        </w:tc>
      </w:tr>
      <w:tr>
        <w:trPr>
          <w:trHeight w:val="407"/>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6.5</w:t>
            </w:r>
          </w:p>
        </w:tc>
        <w:tc>
          <w:tcPr>
            <w:tcW w:w="260" w:type="dxa"/>
            <w:vAlign w:val="bottom"/>
          </w:tcPr>
          <w:p>
            <w:pPr>
              <w:spacing w:after="0"/>
              <w:rPr>
                <w:sz w:val="24"/>
                <w:szCs w:val="24"/>
                <w:color w:val="auto"/>
              </w:rPr>
            </w:pPr>
          </w:p>
        </w:tc>
        <w:tc>
          <w:tcPr>
            <w:tcW w:w="8700" w:type="dxa"/>
            <w:vAlign w:val="bottom"/>
            <w:gridSpan w:val="3"/>
          </w:tcPr>
          <w:p>
            <w:pPr>
              <w:spacing w:after="0"/>
              <w:rPr>
                <w:sz w:val="20"/>
                <w:szCs w:val="20"/>
                <w:color w:val="auto"/>
              </w:rPr>
            </w:pPr>
            <w:r>
              <w:rPr>
                <w:rFonts w:ascii="Arial" w:cs="Arial" w:eastAsia="Arial" w:hAnsi="Arial"/>
                <w:sz w:val="22"/>
                <w:szCs w:val="22"/>
                <w:color w:val="auto"/>
              </w:rPr>
              <w:t>Books and Records; Audit Rights.</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75"/>
        </w:trPr>
        <w:tc>
          <w:tcPr>
            <w:tcW w:w="460" w:type="dxa"/>
            <w:vAlign w:val="bottom"/>
          </w:tcPr>
          <w:p>
            <w:pPr>
              <w:spacing w:after="0"/>
              <w:rPr>
                <w:sz w:val="24"/>
                <w:szCs w:val="24"/>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22"/>
                <w:szCs w:val="22"/>
                <w:color w:val="auto"/>
              </w:rPr>
              <w:t>6.5.1</w:t>
            </w:r>
          </w:p>
        </w:tc>
        <w:tc>
          <w:tcPr>
            <w:tcW w:w="7860" w:type="dxa"/>
            <w:vAlign w:val="bottom"/>
            <w:gridSpan w:val="2"/>
          </w:tcPr>
          <w:p>
            <w:pPr>
              <w:ind w:left="500"/>
              <w:spacing w:after="0"/>
              <w:rPr>
                <w:sz w:val="20"/>
                <w:szCs w:val="20"/>
                <w:color w:val="auto"/>
              </w:rPr>
            </w:pPr>
            <w:r>
              <w:rPr>
                <w:rFonts w:ascii="Arial" w:cs="Arial" w:eastAsia="Arial" w:hAnsi="Arial"/>
                <w:sz w:val="22"/>
                <w:szCs w:val="22"/>
                <w:color w:val="auto"/>
                <w:w w:val="93"/>
              </w:rPr>
              <w:t>Licensee shall keep, and shall require its Affiliates and the Sublicensees to keep,</w:t>
            </w:r>
          </w:p>
        </w:tc>
      </w:tr>
    </w:tbl>
    <w:p>
      <w:pPr>
        <w:jc w:val="both"/>
        <w:spacing w:after="0" w:line="255" w:lineRule="auto"/>
        <w:rPr>
          <w:sz w:val="20"/>
          <w:szCs w:val="20"/>
          <w:color w:val="auto"/>
        </w:rPr>
      </w:pPr>
      <w:r>
        <w:rPr>
          <w:rFonts w:ascii="Arial" w:cs="Arial" w:eastAsia="Arial" w:hAnsi="Arial"/>
          <w:sz w:val="20"/>
          <w:szCs w:val="20"/>
          <w:color w:val="auto"/>
        </w:rPr>
        <w:t>complete and accurate records of the latest [* * *] years relating to gross sales, Annual Net Sales, and all revenue and expense data relating to the calculations of any payment due under this Agreement. For the sole purpose of verifying amounts payable to INFI, MICL or Purdue under Article 6, INFI shall have the right, [* * *], at INFI’s expense (except as set forth below), to retain an independent certified public accountant selected by INFI and reasonably acceptable to Licensee, to review such records in the location(s) where such records are maintained by Licensee, its Affiliates and the Sublicensees upon reasonable notice and during regular business hours. Such representatives shall execute a suitable confidentiality agreement reasonably acceptable to Licensee prior to conducting such audit. Such representatives shall disclose to each of INFI and Licensee only their conclusions regarding the accuracy of payments hereunder and of records related thereto. The right to audit any records underlying any royalty report shall extend for [* * *] from the end of the Calendar Year in which the royalty report was delivered. Licensee shall,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0" w:name="page181"/>
    <w:bookmarkEnd w:id="180"/>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within [* * *] days after the Parties’ receipt of the audit report, pay INFI the amount of any underpayment revealed by such audit together with interest calculated in the manner provided in Section 6.3. If the underpayment is equal to or greater than [* * *] of the amount that was otherwise due, Licensee shall reimburse INFI’s reasonable Out-of-Pocket Expenses of such review. If the audit demonstrates that Licensee has made an overpayment to INFI, Licensee shall be entitled to credit such amount against future payments due to INFI.</w:t>
      </w:r>
    </w:p>
    <w:p>
      <w:pPr>
        <w:spacing w:after="0" w:line="162" w:lineRule="exact"/>
        <w:rPr>
          <w:sz w:val="20"/>
          <w:szCs w:val="20"/>
          <w:color w:val="auto"/>
        </w:rPr>
      </w:pPr>
    </w:p>
    <w:p>
      <w:pPr>
        <w:jc w:val="both"/>
        <w:ind w:firstLine="1292"/>
        <w:spacing w:after="0" w:line="237" w:lineRule="auto"/>
        <w:rPr>
          <w:sz w:val="20"/>
          <w:szCs w:val="20"/>
          <w:color w:val="auto"/>
        </w:rPr>
      </w:pPr>
      <w:r>
        <w:rPr>
          <w:rFonts w:ascii="Arial" w:cs="Arial" w:eastAsia="Arial" w:hAnsi="Arial"/>
          <w:sz w:val="22"/>
          <w:szCs w:val="22"/>
          <w:color w:val="auto"/>
        </w:rPr>
        <w:t>6.5.2 Upon the expiration of the [* * *] years following the end of any Calendar Year, the calculation of amounts payable under Article 6 with respect to such Calendar Year shall be binding and conclusive upon the Parties, and the Parties shall be released from any liability or accountability with respect to payments for such Calendar Year.</w:t>
      </w:r>
    </w:p>
    <w:p>
      <w:pPr>
        <w:spacing w:after="0" w:line="185" w:lineRule="exact"/>
        <w:rPr>
          <w:sz w:val="20"/>
          <w:szCs w:val="20"/>
          <w:color w:val="auto"/>
        </w:rPr>
      </w:pPr>
    </w:p>
    <w:p>
      <w:pPr>
        <w:jc w:val="both"/>
        <w:ind w:firstLine="1292"/>
        <w:spacing w:after="0" w:line="235" w:lineRule="auto"/>
        <w:rPr>
          <w:sz w:val="20"/>
          <w:szCs w:val="20"/>
          <w:color w:val="auto"/>
        </w:rPr>
      </w:pPr>
      <w:r>
        <w:rPr>
          <w:rFonts w:ascii="Arial" w:cs="Arial" w:eastAsia="Arial" w:hAnsi="Arial"/>
          <w:sz w:val="22"/>
          <w:szCs w:val="22"/>
          <w:color w:val="auto"/>
        </w:rPr>
        <w:t>6.5.3 The Third Party Grantors shall have the same rights of audit and inspection with respect to Licensee and its Affiliates and Sublicensees as granted by INFI to such Third Party Grantor pursuant to the applicable INFI Third Party Agreement, provided, however, that any audit conducted by a Third Party Grantor shall constitute an audit conducted by INFI for purposes of this Section 6.5 and any such audit shall be limited to the scope set forth in this Section 6.5.</w:t>
      </w:r>
    </w:p>
    <w:p>
      <w:pPr>
        <w:spacing w:after="0" w:line="188"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Financial Statements Required by Rule 3-05 of Regulation S-X</w:t>
      </w:r>
      <w:r>
        <w:rPr>
          <w:rFonts w:ascii="Arial" w:cs="Arial" w:eastAsia="Arial" w:hAnsi="Arial"/>
          <w:sz w:val="20"/>
          <w:szCs w:val="20"/>
          <w:color w:val="auto"/>
        </w:rPr>
        <w:t>. If Licensee determines in good faith that it would be required to file with the SEC pursuant to Rule 3-05 of Regulation S-X audited annual financial statements of the business related to the IPI-145 Product (the “</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and/or unaudited quarterly financial statements of the business related to the IPI-145 Product (the “</w:t>
      </w:r>
      <w:r>
        <w:rPr>
          <w:rFonts w:ascii="Arial" w:cs="Arial" w:eastAsia="Arial" w:hAnsi="Arial"/>
          <w:sz w:val="20"/>
          <w:szCs w:val="20"/>
          <w:u w:val="single" w:color="auto"/>
          <w:color w:val="auto"/>
        </w:rPr>
        <w:t>Unaudited Financial Statements</w:t>
      </w:r>
      <w:r>
        <w:rPr>
          <w:rFonts w:ascii="Arial" w:cs="Arial" w:eastAsia="Arial" w:hAnsi="Arial"/>
          <w:sz w:val="20"/>
          <w:szCs w:val="20"/>
          <w:color w:val="auto"/>
        </w:rPr>
        <w:t>”) for the periods specified by Rule 3-05 of Regulation S-X (any Audited Financial Statements together with any Unaudited Financial Statements, the “</w:t>
      </w:r>
      <w:r>
        <w:rPr>
          <w:rFonts w:ascii="Arial" w:cs="Arial" w:eastAsia="Arial" w:hAnsi="Arial"/>
          <w:sz w:val="20"/>
          <w:szCs w:val="20"/>
          <w:u w:val="single" w:color="auto"/>
          <w:color w:val="auto"/>
        </w:rPr>
        <w:t>SEC Financial Statements</w:t>
      </w:r>
      <w:r>
        <w:rPr>
          <w:rFonts w:ascii="Arial" w:cs="Arial" w:eastAsia="Arial" w:hAnsi="Arial"/>
          <w:sz w:val="20"/>
          <w:szCs w:val="20"/>
          <w:color w:val="auto"/>
        </w:rPr>
        <w:t>”), then (X) Licensee will notify INFI of such determination no later than [* * *] days after the Effective Date and (Y) INFI will deliver to Licensee as soon as reasonably practicable, but in any event no later than [* * *] days after the Effective Date, the SEC Financial Statements. The SEC Financial Statements will be (a) prepared in accordance with the books and records of the business related to the IPI-145 Product, (b) prepared in accordance with Regulation S-X and U.S. GAAP and (c) in the case of the Audited Financial Statements, accompanied by an opinion (the “</w:t>
      </w:r>
      <w:r>
        <w:rPr>
          <w:rFonts w:ascii="Arial" w:cs="Arial" w:eastAsia="Arial" w:hAnsi="Arial"/>
          <w:sz w:val="20"/>
          <w:szCs w:val="20"/>
          <w:u w:val="single" w:color="auto"/>
          <w:color w:val="auto"/>
        </w:rPr>
        <w:t>Audit Opinion</w:t>
      </w:r>
      <w:r>
        <w:rPr>
          <w:rFonts w:ascii="Arial" w:cs="Arial" w:eastAsia="Arial" w:hAnsi="Arial"/>
          <w:sz w:val="20"/>
          <w:szCs w:val="20"/>
          <w:color w:val="auto"/>
        </w:rPr>
        <w:t>”) of Ernst &amp; Young (the “</w:t>
      </w:r>
      <w:r>
        <w:rPr>
          <w:rFonts w:ascii="Arial" w:cs="Arial" w:eastAsia="Arial" w:hAnsi="Arial"/>
          <w:sz w:val="20"/>
          <w:szCs w:val="20"/>
          <w:u w:val="single" w:color="auto"/>
          <w:color w:val="auto"/>
        </w:rPr>
        <w:t>Independent Auditor</w:t>
      </w:r>
      <w:r>
        <w:rPr>
          <w:rFonts w:ascii="Arial" w:cs="Arial" w:eastAsia="Arial" w:hAnsi="Arial"/>
          <w:sz w:val="20"/>
          <w:szCs w:val="20"/>
          <w:color w:val="auto"/>
        </w:rPr>
        <w:t>”), which opinion complies with Regulation S-X. INFI will use its commercially reasonable efforts to cause the Independent Auditor to provide to Licensee the consents requested by Licensee no later than [* * *] Business Days prior to the required filing date of the SEC Financial Statements to permit the inclusion of the Audit Opinion with respect to the Audited Financial Statements in Licensee’s reports and registration statements filed with the SEC for periods required under applicable Law. Licensee will reimburse INFI for INFI’s costs incurred by INFI supported by reasonable documentation for INFI’s activities pursuant to this Section 6.6.</w:t>
      </w:r>
    </w:p>
    <w:p>
      <w:pPr>
        <w:spacing w:after="0" w:line="178"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Other INFI Financial Deliverables</w:t>
      </w:r>
      <w:r>
        <w:rPr>
          <w:rFonts w:ascii="Arial" w:cs="Arial" w:eastAsia="Arial" w:hAnsi="Arial"/>
          <w:sz w:val="22"/>
          <w:szCs w:val="22"/>
          <w:color w:val="auto"/>
        </w:rPr>
        <w:t>. INFI will deliver to Licensee (a) within [* * *] after the Effective Date, a statement of assets acquired and liabilities assumed of the business related to the IPI-145 Product as of the Effective Date and (b) as soon as reasonably practicable, but in any event no later than [* * *] Business Days after the Effective Date, a statement of direct revenues and expenses of the business related to the IPI-145 Product (i) for the year 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1" w:name="page182"/>
    <w:bookmarkEnd w:id="181"/>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December 31, 2015 and (ii) for the nine (9) months ended September 30, 2016 that includes information by Calendar Quarter for each of the first three (3) Calendar Quarters of fiscal year 2016. The financial information described in this Section 6.7 will be prepared in accordance with (X) the books and records of the business related to the IPI-145 Product and (Y) U.S.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all such information is unaudited and may be subject to change.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OWNERSHIP OF INTELLECTUAL PROPERTY RIGHTS</w:t>
      </w:r>
    </w:p>
    <w:p>
      <w:pPr>
        <w:spacing w:after="0" w:line="187"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Inventorship</w:t>
      </w:r>
      <w:r>
        <w:rPr>
          <w:rFonts w:ascii="Arial" w:cs="Arial" w:eastAsia="Arial" w:hAnsi="Arial"/>
          <w:sz w:val="22"/>
          <w:szCs w:val="22"/>
          <w:color w:val="auto"/>
        </w:rPr>
        <w:t>. For purposes of determining ownership of inventions pursuant to Section 7.2, inventorship for patentable inventions conceived or reduced to practice during the course of the performance of activities pursuant to this Agreement shall be determined in accordance with United States patent laws for determining inventorship.</w:t>
      </w:r>
    </w:p>
    <w:p>
      <w:pPr>
        <w:spacing w:after="0" w:line="185"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Ownership</w:t>
      </w:r>
      <w:r>
        <w:rPr>
          <w:rFonts w:ascii="Arial" w:cs="Arial" w:eastAsia="Arial" w:hAnsi="Arial"/>
          <w:sz w:val="20"/>
          <w:szCs w:val="20"/>
          <w:color w:val="auto"/>
        </w:rPr>
        <w:t>. Subject to the licenses and rights granted to Licensee under this Agreement, INFI shall own the entire right, title and interest in and to any Know-How first made, authored, discovered, conceived or reduced to practice solely by employees, consultants, contractors or subcontractors of INFI, or acquired solely by INFI, any Patent Rights claiming patentable inventions therein and any other intellectual property rights (other than Patent Rights) covering such Know-How. Licensee shall solely own the entire right, title and interest in and to any Know-How first made, authored, discovered, conceived or reduced to practice solely by employees, consultants, contractors or subcontractors of Licensee or acquired solely by Licensee, any Patent Rights claiming patentable inventions therein and any other intellectual property rights (other than Patent Rights) covering such Know-How. Subject to the licenses and rights granted under this Agreement, all Know-How first made, authored, discovered, conceived or reduced to practice jointly by (i) employees, consultants, contractors or subcontractors of Licensee or any of its Affiliates and (ii) employees, consultants, contractors or subcontractors of INFI or any of its Affiliates, (“</w:t>
      </w:r>
      <w:r>
        <w:rPr>
          <w:rFonts w:ascii="Arial" w:cs="Arial" w:eastAsia="Arial" w:hAnsi="Arial"/>
          <w:sz w:val="20"/>
          <w:szCs w:val="20"/>
          <w:u w:val="single" w:color="auto"/>
          <w:color w:val="auto"/>
        </w:rPr>
        <w:t>Joint Know-How</w:t>
      </w:r>
      <w:r>
        <w:rPr>
          <w:rFonts w:ascii="Arial" w:cs="Arial" w:eastAsia="Arial" w:hAnsi="Arial"/>
          <w:sz w:val="20"/>
          <w:szCs w:val="20"/>
          <w:color w:val="auto"/>
        </w:rPr>
        <w:t>”), Patent Rights claiming patentable inventions therein (“</w:t>
      </w:r>
      <w:r>
        <w:rPr>
          <w:rFonts w:ascii="Arial" w:cs="Arial" w:eastAsia="Arial" w:hAnsi="Arial"/>
          <w:sz w:val="20"/>
          <w:szCs w:val="20"/>
          <w:u w:val="single" w:color="auto"/>
          <w:color w:val="auto"/>
        </w:rPr>
        <w:t>Joint Patent Rights</w:t>
      </w:r>
      <w:r>
        <w:rPr>
          <w:rFonts w:ascii="Arial" w:cs="Arial" w:eastAsia="Arial" w:hAnsi="Arial"/>
          <w:sz w:val="20"/>
          <w:szCs w:val="20"/>
          <w:color w:val="auto"/>
        </w:rPr>
        <w:t>”) and other intellectual property rights (other than Patent Rights) covering such Know-How, shall be jointly owned by the Parties without any duty to account, and each Party shall have the right to grant licenses and otherwise exploit the Joint IP, subject to the licenses granted hereunder. Each Party shall, and shall ensure that its Affiliates and its and its Affiliates’ employees, consultants, contractors, subcontractors and any other agents, execute all documents necessary, and otherwise reasonably cooperate with the other Party, to effectuate this Section 7.2.</w:t>
      </w:r>
    </w:p>
    <w:p>
      <w:pPr>
        <w:spacing w:after="0" w:line="18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Prosecution and Maintenance of Patent Rights</w:t>
      </w:r>
      <w:r>
        <w:rPr>
          <w:rFonts w:ascii="Arial" w:cs="Arial" w:eastAsia="Arial" w:hAnsi="Arial"/>
          <w:sz w:val="19"/>
          <w:szCs w:val="19"/>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jc w:val="right"/>
              <w:spacing w:after="0"/>
              <w:rPr>
                <w:sz w:val="20"/>
                <w:szCs w:val="20"/>
                <w:color w:val="auto"/>
              </w:rPr>
            </w:pPr>
            <w:r>
              <w:rPr>
                <w:rFonts w:ascii="Arial" w:cs="Arial" w:eastAsia="Arial" w:hAnsi="Arial"/>
                <w:sz w:val="22"/>
                <w:szCs w:val="22"/>
                <w:color w:val="auto"/>
              </w:rPr>
              <w:t>7.3.1</w:t>
            </w:r>
          </w:p>
        </w:tc>
        <w:tc>
          <w:tcPr>
            <w:tcW w:w="960" w:type="dxa"/>
            <w:vAlign w:val="bottom"/>
          </w:tcPr>
          <w:p>
            <w:pPr>
              <w:spacing w:after="0"/>
              <w:rPr>
                <w:sz w:val="21"/>
                <w:szCs w:val="21"/>
                <w:color w:val="auto"/>
              </w:rPr>
            </w:pPr>
          </w:p>
        </w:tc>
        <w:tc>
          <w:tcPr>
            <w:tcW w:w="7360" w:type="dxa"/>
            <w:vAlign w:val="bottom"/>
            <w:gridSpan w:val="3"/>
          </w:tcPr>
          <w:p>
            <w:pPr>
              <w:jc w:val="right"/>
              <w:ind w:right="5100"/>
              <w:spacing w:after="0"/>
              <w:rPr>
                <w:sz w:val="20"/>
                <w:szCs w:val="20"/>
                <w:color w:val="auto"/>
              </w:rPr>
            </w:pPr>
            <w:r>
              <w:rPr>
                <w:rFonts w:ascii="Arial" w:cs="Arial" w:eastAsia="Arial" w:hAnsi="Arial"/>
                <w:sz w:val="22"/>
                <w:szCs w:val="22"/>
                <w:color w:val="auto"/>
                <w:w w:val="85"/>
              </w:rPr>
              <w:t>Prosecution Patent Rights.</w:t>
            </w:r>
          </w:p>
        </w:tc>
      </w:tr>
      <w:tr>
        <w:trPr>
          <w:trHeight w:val="20"/>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57"/>
        </w:trPr>
        <w:tc>
          <w:tcPr>
            <w:tcW w:w="1740" w:type="dxa"/>
            <w:vAlign w:val="bottom"/>
          </w:tcPr>
          <w:p>
            <w:pPr>
              <w:spacing w:after="0"/>
              <w:rPr>
                <w:sz w:val="24"/>
                <w:szCs w:val="24"/>
                <w:color w:val="auto"/>
              </w:rPr>
            </w:pPr>
          </w:p>
        </w:tc>
        <w:tc>
          <w:tcPr>
            <w:tcW w:w="960" w:type="dxa"/>
            <w:vAlign w:val="bottom"/>
          </w:tcPr>
          <w:p>
            <w:pPr>
              <w:ind w:left="200"/>
              <w:spacing w:after="0"/>
              <w:rPr>
                <w:sz w:val="20"/>
                <w:szCs w:val="20"/>
                <w:color w:val="auto"/>
              </w:rPr>
            </w:pPr>
            <w:r>
              <w:rPr>
                <w:rFonts w:ascii="Arial" w:cs="Arial" w:eastAsia="Arial" w:hAnsi="Arial"/>
                <w:sz w:val="22"/>
                <w:szCs w:val="22"/>
                <w:color w:val="auto"/>
              </w:rPr>
              <w:t>(a)</w:t>
            </w:r>
          </w:p>
        </w:tc>
        <w:tc>
          <w:tcPr>
            <w:tcW w:w="14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Arial" w:cs="Arial" w:eastAsia="Arial" w:hAnsi="Arial"/>
                <w:sz w:val="22"/>
                <w:szCs w:val="22"/>
                <w:color w:val="auto"/>
              </w:rPr>
              <w:t>Licensee shall have the first right, at its sole expense, to Prosecute and</w:t>
            </w:r>
          </w:p>
        </w:tc>
      </w:tr>
      <w:tr>
        <w:trPr>
          <w:trHeight w:val="260"/>
        </w:trPr>
        <w:tc>
          <w:tcPr>
            <w:tcW w:w="1740" w:type="dxa"/>
            <w:vAlign w:val="bottom"/>
          </w:tcPr>
          <w:p>
            <w:pPr>
              <w:jc w:val="right"/>
              <w:spacing w:after="0"/>
              <w:rPr>
                <w:sz w:val="20"/>
                <w:szCs w:val="20"/>
                <w:color w:val="auto"/>
              </w:rPr>
            </w:pPr>
            <w:r>
              <w:rPr>
                <w:rFonts w:ascii="Arial" w:cs="Arial" w:eastAsia="Arial" w:hAnsi="Arial"/>
                <w:sz w:val="22"/>
                <w:szCs w:val="22"/>
                <w:color w:val="auto"/>
                <w:w w:val="97"/>
              </w:rPr>
              <w:t>Maintain the INFI</w:t>
            </w:r>
          </w:p>
        </w:tc>
        <w:tc>
          <w:tcPr>
            <w:tcW w:w="1100" w:type="dxa"/>
            <w:vAlign w:val="bottom"/>
            <w:gridSpan w:val="2"/>
          </w:tcPr>
          <w:p>
            <w:pPr>
              <w:ind w:left="40"/>
              <w:spacing w:after="0"/>
              <w:rPr>
                <w:sz w:val="20"/>
                <w:szCs w:val="20"/>
                <w:color w:val="auto"/>
              </w:rPr>
            </w:pPr>
            <w:r>
              <w:rPr>
                <w:rFonts w:ascii="Arial" w:cs="Arial" w:eastAsia="Arial" w:hAnsi="Arial"/>
                <w:sz w:val="22"/>
                <w:szCs w:val="22"/>
                <w:color w:val="auto"/>
                <w:w w:val="89"/>
              </w:rPr>
              <w:t>Prosecution</w:t>
            </w:r>
          </w:p>
        </w:tc>
        <w:tc>
          <w:tcPr>
            <w:tcW w:w="7220" w:type="dxa"/>
            <w:vAlign w:val="bottom"/>
            <w:gridSpan w:val="2"/>
          </w:tcPr>
          <w:p>
            <w:pPr>
              <w:jc w:val="right"/>
              <w:spacing w:after="0"/>
              <w:rPr>
                <w:sz w:val="20"/>
                <w:szCs w:val="20"/>
                <w:color w:val="auto"/>
              </w:rPr>
            </w:pPr>
            <w:r>
              <w:rPr>
                <w:rFonts w:ascii="Arial" w:cs="Arial" w:eastAsia="Arial" w:hAnsi="Arial"/>
                <w:sz w:val="22"/>
                <w:szCs w:val="22"/>
                <w:color w:val="auto"/>
                <w:w w:val="96"/>
              </w:rPr>
              <w:t>Patent Rights, the INK Prosecution Patent Rights and the Joint Patent Rights</w:t>
            </w:r>
          </w:p>
        </w:tc>
      </w:tr>
    </w:tbl>
    <w:p>
      <w:pPr>
        <w:jc w:val="both"/>
        <w:spacing w:after="0" w:line="234" w:lineRule="auto"/>
        <w:rPr>
          <w:sz w:val="20"/>
          <w:szCs w:val="20"/>
          <w:color w:val="auto"/>
        </w:rPr>
      </w:pPr>
      <w:r>
        <w:rPr>
          <w:rFonts w:ascii="Arial" w:cs="Arial" w:eastAsia="Arial" w:hAnsi="Arial"/>
          <w:sz w:val="22"/>
          <w:szCs w:val="22"/>
          <w:color w:val="auto"/>
        </w:rPr>
        <w:t>(collectively, the “</w:t>
      </w:r>
      <w:r>
        <w:rPr>
          <w:rFonts w:ascii="Arial" w:cs="Arial" w:eastAsia="Arial" w:hAnsi="Arial"/>
          <w:sz w:val="22"/>
          <w:szCs w:val="22"/>
          <w:u w:val="single" w:color="auto"/>
          <w:color w:val="auto"/>
        </w:rPr>
        <w:t>Prosecution Patent Rights</w:t>
      </w:r>
      <w:r>
        <w:rPr>
          <w:rFonts w:ascii="Arial" w:cs="Arial" w:eastAsia="Arial" w:hAnsi="Arial"/>
          <w:sz w:val="22"/>
          <w:szCs w:val="22"/>
          <w:color w:val="auto"/>
        </w:rPr>
        <w:t>”) using Jones Day, Lando &amp; Anastasi or other legal counsel reasonably acceptable to INFI. Licensee shall (i) provide INFI and, with respect to the INK Prosecution Patent Rights, INK, copies of all prosecution filings related to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2" w:name="page183"/>
    <w:bookmarkEnd w:id="182"/>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9"/>
          <w:szCs w:val="19"/>
          <w:color w:val="auto"/>
        </w:rPr>
        <w:t>Prosecution Patent Rights sent to or received from patent offices in the Territory, unless otherwise directed by INFI,</w:t>
      </w:r>
    </w:p>
    <w:p>
      <w:pPr>
        <w:spacing w:after="0" w:line="42" w:lineRule="exact"/>
        <w:rPr>
          <w:sz w:val="20"/>
          <w:szCs w:val="20"/>
          <w:color w:val="auto"/>
        </w:rPr>
      </w:pPr>
    </w:p>
    <w:p>
      <w:pPr>
        <w:jc w:val="both"/>
        <w:ind w:left="1" w:hanging="1"/>
        <w:spacing w:after="0" w:line="256" w:lineRule="auto"/>
        <w:tabs>
          <w:tab w:leader="none" w:pos="363" w:val="left"/>
        </w:tabs>
        <w:numPr>
          <w:ilvl w:val="0"/>
          <w:numId w:val="81"/>
        </w:numPr>
        <w:rPr>
          <w:rFonts w:ascii="Arial" w:cs="Arial" w:eastAsia="Arial" w:hAnsi="Arial"/>
          <w:sz w:val="20"/>
          <w:szCs w:val="20"/>
          <w:color w:val="auto"/>
        </w:rPr>
      </w:pPr>
      <w:r>
        <w:rPr>
          <w:rFonts w:ascii="Arial" w:cs="Arial" w:eastAsia="Arial" w:hAnsi="Arial"/>
          <w:sz w:val="20"/>
          <w:szCs w:val="20"/>
          <w:color w:val="auto"/>
        </w:rPr>
        <w:t>provide INFI with a draft of each such filing reasonably in advance of submission, (iii) provide INFI an opportunity to provide comments on and make requests of Licensee concerning such filings, (iv) consider in good faith any comments regarding such draft application that INFI may timely provide, (v) keep INFI and, with respect to the INK Prosecution Patent Rights, INK, regularly and reasonably informed of the status of the Prosecution Patent Rights as may be requested from time to time by INK, and (vi) provide INFI and, with respect to the INK Prosecution Patent Rights, INK, such other information related to Prosecution and Maintenance of the Prosecution Patent Rights in the Territory as INFI or, with respect to the INK Prosecution Patent Rights, INK, may from time to time reasonably request to allow INFI and, with respect to the INK Prosecution Patent Rights, INK, to track Prosecution and Maintenance of such Patent Rights.</w:t>
      </w:r>
    </w:p>
    <w:p>
      <w:pPr>
        <w:spacing w:after="0" w:line="170" w:lineRule="exact"/>
        <w:rPr>
          <w:sz w:val="20"/>
          <w:szCs w:val="20"/>
          <w:color w:val="auto"/>
        </w:rPr>
      </w:pPr>
    </w:p>
    <w:p>
      <w:pPr>
        <w:jc w:val="both"/>
        <w:ind w:left="1" w:firstLine="1938"/>
        <w:spacing w:after="0" w:line="239" w:lineRule="auto"/>
        <w:rPr>
          <w:sz w:val="20"/>
          <w:szCs w:val="20"/>
          <w:color w:val="auto"/>
        </w:rPr>
      </w:pPr>
      <w:r>
        <w:rPr>
          <w:rFonts w:ascii="Arial" w:cs="Arial" w:eastAsia="Arial" w:hAnsi="Arial"/>
          <w:sz w:val="22"/>
          <w:szCs w:val="22"/>
          <w:color w:val="auto"/>
        </w:rPr>
        <w:t>(b) Licensee shall bear one hundred percent (100%) of all Patent Expenses during the Term with respect to the Prosecution and Maintenance of the Prosecution Patent Rights in accordance with Section 7.3.1(a).</w:t>
      </w:r>
    </w:p>
    <w:p>
      <w:pPr>
        <w:spacing w:after="0" w:line="186" w:lineRule="exact"/>
        <w:rPr>
          <w:sz w:val="20"/>
          <w:szCs w:val="20"/>
          <w:color w:val="auto"/>
        </w:rPr>
      </w:pPr>
    </w:p>
    <w:p>
      <w:pPr>
        <w:jc w:val="both"/>
        <w:ind w:left="1" w:firstLine="1938"/>
        <w:spacing w:after="0" w:line="262" w:lineRule="auto"/>
        <w:rPr>
          <w:sz w:val="20"/>
          <w:szCs w:val="20"/>
          <w:color w:val="auto"/>
        </w:rPr>
      </w:pPr>
      <w:r>
        <w:rPr>
          <w:rFonts w:ascii="Arial" w:cs="Arial" w:eastAsia="Arial" w:hAnsi="Arial"/>
          <w:sz w:val="20"/>
          <w:szCs w:val="20"/>
          <w:color w:val="auto"/>
        </w:rPr>
        <w:t>(c) If INK objects to Licensee’s Prosecution and Maintenance of any of the INK Prosecution Patent Rights, then, upon Licensee’s request, (i) INFI shall Prosecute and Maintain such Patent</w:t>
      </w:r>
    </w:p>
    <w:p>
      <w:pPr>
        <w:jc w:val="both"/>
        <w:ind w:left="1"/>
        <w:spacing w:after="0" w:line="232" w:lineRule="auto"/>
        <w:rPr>
          <w:sz w:val="20"/>
          <w:szCs w:val="20"/>
          <w:color w:val="auto"/>
        </w:rPr>
      </w:pPr>
      <w:r>
        <w:rPr>
          <w:rFonts w:ascii="Arial" w:cs="Arial" w:eastAsia="Arial" w:hAnsi="Arial"/>
          <w:sz w:val="22"/>
          <w:szCs w:val="22"/>
          <w:color w:val="auto"/>
        </w:rPr>
        <w:t>Right, in accordance with Licensee’s reasonable direction with respect thereto using mutually acceptable counsel which, as of the Effective Date includes Jones Day and Lando &amp; Anastasi; and (ii) INFI shall resolve such dispute with INK in accordance with the INK Agreement. Licensee shall pay, or reimburse INFI, for all reasonable and documented Internal Personnel Expenses and Out-of-Pocket Expenses associated with such Prosecution and Maintenance and such dispute resolution.</w:t>
      </w:r>
    </w:p>
    <w:p>
      <w:pPr>
        <w:spacing w:after="0" w:line="186" w:lineRule="exact"/>
        <w:rPr>
          <w:sz w:val="20"/>
          <w:szCs w:val="20"/>
          <w:color w:val="auto"/>
        </w:rPr>
      </w:pPr>
    </w:p>
    <w:p>
      <w:pPr>
        <w:jc w:val="both"/>
        <w:ind w:left="1" w:firstLine="1938"/>
        <w:spacing w:after="0" w:line="268" w:lineRule="auto"/>
        <w:rPr>
          <w:sz w:val="20"/>
          <w:szCs w:val="20"/>
          <w:color w:val="auto"/>
        </w:rPr>
      </w:pPr>
      <w:r>
        <w:rPr>
          <w:rFonts w:ascii="Arial" w:cs="Arial" w:eastAsia="Arial" w:hAnsi="Arial"/>
          <w:sz w:val="20"/>
          <w:szCs w:val="20"/>
          <w:color w:val="auto"/>
        </w:rPr>
        <w:t>(d) In the event Licensee decides to cease to Prosecute or Maintain any claim of a Prosecution Patent Right in a country of the Territory, decides to not otherwise Prosecute and Maintain any Prosecution Patent Right in a country of the Territory, or does not wish to bear the costs or expenses with respect to the Prosecution or Maintenance of any Prosecution Patent Right in a country of the Territory:</w:t>
      </w:r>
    </w:p>
    <w:p>
      <w:pPr>
        <w:spacing w:after="0" w:line="157" w:lineRule="exact"/>
        <w:rPr>
          <w:sz w:val="20"/>
          <w:szCs w:val="20"/>
          <w:color w:val="auto"/>
        </w:rPr>
      </w:pPr>
    </w:p>
    <w:p>
      <w:pPr>
        <w:jc w:val="both"/>
        <w:ind w:left="1" w:firstLine="2584"/>
        <w:spacing w:after="0" w:line="246" w:lineRule="auto"/>
        <w:rPr>
          <w:sz w:val="20"/>
          <w:szCs w:val="20"/>
          <w:color w:val="auto"/>
        </w:rPr>
      </w:pPr>
      <w:r>
        <w:rPr>
          <w:rFonts w:ascii="Arial" w:cs="Arial" w:eastAsia="Arial" w:hAnsi="Arial"/>
          <w:sz w:val="21"/>
          <w:szCs w:val="21"/>
          <w:color w:val="auto"/>
        </w:rPr>
        <w:t>(i) Licensee shall give INFI prior written notice sufficiently in advance thereof, but not less than [* * *] days before any action would be required to be taken by INFI to avoid a loss of rights in such Prosecution Patent Right, in order to allow INFI (at its discretion) to assume such Prosecution or Maintenance without a loss of rights in such Prosecution Patent Right. If INFI determines not to assume such Prosecution or Maintenance with respect to such INK Prosecution Patent Right, then INFI shall give written notice to INK in sufficient time (but no less than [* * *] days before any applicable statutory bar) to permit INK to Prosecute and Maintain such INK Prosecution Patent Right;</w:t>
      </w:r>
    </w:p>
    <w:p>
      <w:pPr>
        <w:spacing w:after="0" w:line="178" w:lineRule="exact"/>
        <w:rPr>
          <w:sz w:val="20"/>
          <w:szCs w:val="20"/>
          <w:color w:val="auto"/>
        </w:rPr>
      </w:pPr>
    </w:p>
    <w:p>
      <w:pPr>
        <w:jc w:val="both"/>
        <w:ind w:left="1" w:firstLine="2584"/>
        <w:spacing w:after="0" w:line="256" w:lineRule="auto"/>
        <w:rPr>
          <w:sz w:val="20"/>
          <w:szCs w:val="20"/>
          <w:color w:val="auto"/>
        </w:rPr>
      </w:pPr>
      <w:r>
        <w:rPr>
          <w:rFonts w:ascii="Arial" w:cs="Arial" w:eastAsia="Arial" w:hAnsi="Arial"/>
          <w:sz w:val="21"/>
          <w:szCs w:val="21"/>
          <w:color w:val="auto"/>
        </w:rPr>
        <w:t>(ii) INFI or, with respect to the INK Prosecution Patent Rights, INK (to the extent set forth in the INK Agreement), shall thereafter have the sole right to Prosecute and Maintain such Prosecution Patent Right, in INFI’s name or, with respect to the INK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83" w:name="page184"/>
    <w:bookmarkEnd w:id="183"/>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Prosecution Patent Rights, INK’s name, in such country. Licensee shall use reasonable efforts to make available to INFI and, with respect to the INK Prosecution Patent Rights, INK, Licensee’s employees, authorized attorneys, agents or representatives as are reasonably necessary to assist INFI and, with respect to the INK Prosecution Patent Rights, INK, in Prosecuting and Maintaining, such Prosecution Patent Rights. Licensee shall sign, or have signed, all legal documents necessary to Prosecute and Maintain such patent applications or patents in respect of such Patent Rights; and</w:t>
      </w:r>
    </w:p>
    <w:p>
      <w:pPr>
        <w:spacing w:after="0" w:line="189" w:lineRule="exact"/>
        <w:rPr>
          <w:sz w:val="20"/>
          <w:szCs w:val="20"/>
          <w:color w:val="auto"/>
        </w:rPr>
      </w:pPr>
    </w:p>
    <w:p>
      <w:pPr>
        <w:jc w:val="both"/>
        <w:ind w:firstLine="2584"/>
        <w:spacing w:after="0" w:line="251" w:lineRule="auto"/>
        <w:rPr>
          <w:sz w:val="20"/>
          <w:szCs w:val="20"/>
          <w:color w:val="auto"/>
        </w:rPr>
      </w:pPr>
      <w:r>
        <w:rPr>
          <w:rFonts w:ascii="Arial" w:cs="Arial" w:eastAsia="Arial" w:hAnsi="Arial"/>
          <w:sz w:val="21"/>
          <w:szCs w:val="21"/>
          <w:color w:val="auto"/>
        </w:rPr>
        <w:t>(iii) such Patent Right shall no longer be included in the INFI Prosecution Patent Rights or INK Prosecution Patent Rights, as applicable, and all licenses and rights granted to Licensee hereunder with respect to such Patent Right, including the licenses granted under Section 2.1, shall automatically terminate.</w:t>
      </w:r>
    </w:p>
    <w:p>
      <w:pPr>
        <w:spacing w:after="0" w:line="174"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 xml:space="preserve">7.3.2 </w:t>
      </w:r>
      <w:r>
        <w:rPr>
          <w:rFonts w:ascii="Arial" w:cs="Arial" w:eastAsia="Arial" w:hAnsi="Arial"/>
          <w:sz w:val="22"/>
          <w:szCs w:val="22"/>
          <w:u w:val="single" w:color="auto"/>
          <w:color w:val="auto"/>
        </w:rPr>
        <w:t>Non-Prosecution Patent Rights</w:t>
      </w:r>
      <w:r>
        <w:rPr>
          <w:rFonts w:ascii="Arial" w:cs="Arial" w:eastAsia="Arial" w:hAnsi="Arial"/>
          <w:sz w:val="22"/>
          <w:szCs w:val="22"/>
          <w:color w:val="auto"/>
        </w:rPr>
        <w:t>. Licensee shall have no right to Prosecute or Maintain, and Licensee shall not be required to bear any costs associated with the Prosecution and Maintenance of, any of the INFI Other Patent Rights or any of the INK Non-Prosecution Patent Rights.</w:t>
      </w:r>
    </w:p>
    <w:p>
      <w:pPr>
        <w:spacing w:after="0" w:line="186"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Third Party Infringement</w:t>
      </w:r>
      <w:r>
        <w:rPr>
          <w:rFonts w:ascii="Arial" w:cs="Arial" w:eastAsia="Arial" w:hAnsi="Arial"/>
          <w:sz w:val="20"/>
          <w:szCs w:val="20"/>
          <w:color w:val="auto"/>
        </w:rPr>
        <w:t>. Each Party will promptly notify the other Party and, with respect to the INK Prosecution Patent Rights, the notifying Party will promptly notify INK (in accordance with the notice provision in the INK Agreement), in writing of (a) any actual or threatened infringement or misappropriation by a Third Party of any Prosecution Patent Right of which it becomes aware, as a result of such Third Party’s Research, Development, Manufacture, use, sale, offer for sale, other Commercialization or importation of the IPI-145 Compound or any IPI-145 Product in the Territory, including any certification filed by a Third Party pursuant to 21 U.S.C. §355(b)(2)(A)(iv) or 355(j)(2)(A)(vii)(IV) or any notice under comparable U.S. or foreign law (a “</w:t>
      </w:r>
      <w:r>
        <w:rPr>
          <w:rFonts w:ascii="Arial" w:cs="Arial" w:eastAsia="Arial" w:hAnsi="Arial"/>
          <w:sz w:val="20"/>
          <w:szCs w:val="20"/>
          <w:u w:val="single" w:color="auto"/>
          <w:color w:val="auto"/>
        </w:rPr>
        <w:t>Paragraph</w:t>
      </w:r>
      <w:r>
        <w:rPr>
          <w:rFonts w:ascii="Arial" w:cs="Arial" w:eastAsia="Arial" w:hAnsi="Arial"/>
          <w:sz w:val="20"/>
          <w:szCs w:val="20"/>
          <w:color w:val="auto"/>
        </w:rPr>
        <w:t xml:space="preserve"> </w:t>
      </w:r>
      <w:r>
        <w:rPr>
          <w:rFonts w:ascii="Arial" w:cs="Arial" w:eastAsia="Arial" w:hAnsi="Arial"/>
          <w:sz w:val="20"/>
          <w:szCs w:val="20"/>
          <w:u w:val="single" w:color="auto"/>
          <w:color w:val="auto"/>
        </w:rPr>
        <w:t>IV Certification</w:t>
      </w:r>
      <w:r>
        <w:rPr>
          <w:rFonts w:ascii="Arial" w:cs="Arial" w:eastAsia="Arial" w:hAnsi="Arial"/>
          <w:sz w:val="20"/>
          <w:szCs w:val="20"/>
          <w:color w:val="auto"/>
        </w:rPr>
        <w:t>”) which references the foregoing; or (b) an actual or threatened challenge to any Prosecution Patent Right by a Third Party (any such infringement or challenge in clause (a) or (b), a “</w:t>
      </w:r>
      <w:r>
        <w:rPr>
          <w:rFonts w:ascii="Arial" w:cs="Arial" w:eastAsia="Arial" w:hAnsi="Arial"/>
          <w:sz w:val="20"/>
          <w:szCs w:val="20"/>
          <w:u w:val="single" w:color="auto"/>
          <w:color w:val="auto"/>
        </w:rPr>
        <w:t>Third Party Infringement</w:t>
      </w:r>
      <w:r>
        <w:rPr>
          <w:rFonts w:ascii="Arial" w:cs="Arial" w:eastAsia="Arial" w:hAnsi="Arial"/>
          <w:sz w:val="20"/>
          <w:szCs w:val="20"/>
          <w:color w:val="auto"/>
        </w:rPr>
        <w:t>”). The Parties will consult with each other through each Party’s patent attorneys (and, with respect to any INK Prosecution Patent, INK, through its patent attorney, may consult with respect to any INK Prosecution Patent) to determine the response to any such infringement or challenge by a Third Party of any Prosecution Patent Right, including any Paragraph IV Certification which references the foregoing.</w:t>
      </w:r>
    </w:p>
    <w:p>
      <w:pPr>
        <w:spacing w:after="0" w:line="176"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Enforcement Rights</w:t>
      </w:r>
      <w:r>
        <w:rPr>
          <w:rFonts w:ascii="Arial" w:cs="Arial" w:eastAsia="Arial" w:hAnsi="Arial"/>
          <w:sz w:val="19"/>
          <w:szCs w:val="19"/>
          <w:color w:val="auto"/>
        </w:rPr>
        <w:t>.</w:t>
      </w:r>
    </w:p>
    <w:p>
      <w:pPr>
        <w:spacing w:after="0" w:line="205" w:lineRule="exact"/>
        <w:rPr>
          <w:sz w:val="20"/>
          <w:szCs w:val="20"/>
          <w:color w:val="auto"/>
        </w:rPr>
      </w:pPr>
    </w:p>
    <w:p>
      <w:pPr>
        <w:jc w:val="both"/>
        <w:ind w:firstLine="1292"/>
        <w:spacing w:after="0" w:line="259" w:lineRule="auto"/>
        <w:rPr>
          <w:sz w:val="20"/>
          <w:szCs w:val="20"/>
          <w:color w:val="auto"/>
        </w:rPr>
      </w:pPr>
      <w:r>
        <w:rPr>
          <w:rFonts w:ascii="Arial" w:cs="Arial" w:eastAsia="Arial" w:hAnsi="Arial"/>
          <w:sz w:val="20"/>
          <w:szCs w:val="20"/>
          <w:color w:val="auto"/>
        </w:rPr>
        <w:t>7.5.1 With respect to the INFI Prosecution Patent Rights and the INK Prosecution Patent Rights, Licensee shall have the first right, but not the obligation, to initiate a proceeding or take other appropriate action in connection with the Third Party Infringement to the extent that such Third Party Infringement involves the Research, Development, Manufacture, use or Commercialization of the IPI-145 Compound or any IPI-145 Product in the Territory. Notwithstanding the foregoing sentence, Licensee shall not initiate any lawsuit or other enforcement action asserting any such Patent Rights without first consulting with INFI and giving good faith consideration to any reasonable objection from INFI regarding Licensee’s proposed course of action. INFI shall have the right, at INFI’s sole expense, to be represented in any such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4" w:name="page185"/>
    <w:bookmarkEnd w:id="184"/>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left="1"/>
        <w:spacing w:after="0" w:line="259" w:lineRule="auto"/>
        <w:rPr>
          <w:sz w:val="20"/>
          <w:szCs w:val="20"/>
          <w:color w:val="auto"/>
        </w:rPr>
      </w:pPr>
      <w:r>
        <w:rPr>
          <w:rFonts w:ascii="Arial" w:cs="Arial" w:eastAsia="Arial" w:hAnsi="Arial"/>
          <w:sz w:val="20"/>
          <w:szCs w:val="20"/>
          <w:color w:val="auto"/>
        </w:rPr>
        <w:t xml:space="preserve">action by counsel of its own choice;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Licensee shall bear all of INFI’s costs and expenses with respect to any activities undertaken by INFI at Licensee’s request. With respect to any INK Prosecution Patent, INK shall have the right to be represented in any such action by counsel of its own choice, at INK’s sole expense. Licensee shall not, through any court action or proceeding, any settlement arrangement or any proceeding, filing or communication with any patent office, admit the invalidity of, or otherwise impair INFI’s or INK’s rights in, any Duvelisib Patent Right without the prior written consent of INFI and, with respect to the INK Prosecution Patent Rights or INK Non-Prosecution Patent Rights, INK. Any recoveries resulting from such an action brought by Licensee in accordance with this Section 7.5.1 shall be applied as follows:</w:t>
      </w:r>
    </w:p>
    <w:p>
      <w:pPr>
        <w:spacing w:after="0" w:line="168" w:lineRule="exact"/>
        <w:rPr>
          <w:sz w:val="20"/>
          <w:szCs w:val="20"/>
          <w:color w:val="auto"/>
        </w:rPr>
      </w:pPr>
    </w:p>
    <w:p>
      <w:pPr>
        <w:jc w:val="both"/>
        <w:ind w:left="1" w:firstLine="1938"/>
        <w:spacing w:after="0" w:line="239" w:lineRule="auto"/>
        <w:rPr>
          <w:sz w:val="20"/>
          <w:szCs w:val="20"/>
          <w:color w:val="auto"/>
        </w:rPr>
      </w:pPr>
      <w:r>
        <w:rPr>
          <w:rFonts w:ascii="Arial" w:cs="Arial" w:eastAsia="Arial" w:hAnsi="Arial"/>
          <w:sz w:val="22"/>
          <w:szCs w:val="22"/>
          <w:color w:val="auto"/>
        </w:rPr>
        <w:t>(a) First, to reimburse (i) INK’s out-of-pocket expenses and (ii) each Party for all Out-of-Pocket Expenses in connection with such proceeding (on a pro rata basis, based on each Party’s respective litigation costs, to the extent the recovery was less than all such litigation costs);</w:t>
      </w:r>
    </w:p>
    <w:p>
      <w:pPr>
        <w:spacing w:after="0" w:line="186" w:lineRule="exact"/>
        <w:rPr>
          <w:sz w:val="20"/>
          <w:szCs w:val="20"/>
          <w:color w:val="auto"/>
        </w:rPr>
      </w:pPr>
    </w:p>
    <w:p>
      <w:pPr>
        <w:jc w:val="both"/>
        <w:ind w:left="1" w:firstLine="1938"/>
        <w:spacing w:after="0" w:line="235" w:lineRule="auto"/>
        <w:rPr>
          <w:sz w:val="20"/>
          <w:szCs w:val="20"/>
          <w:color w:val="auto"/>
        </w:rPr>
      </w:pPr>
      <w:r>
        <w:rPr>
          <w:rFonts w:ascii="Arial" w:cs="Arial" w:eastAsia="Arial" w:hAnsi="Arial"/>
          <w:sz w:val="22"/>
          <w:szCs w:val="22"/>
          <w:color w:val="auto"/>
        </w:rPr>
        <w:t>(b) Second, any portion of the remainder that is attributable to lost profits with respect to sales of the IPI-145 Product outside the Field shall be subject to a royalty payment to INK in accordance with the INK Agreement equal to the amount that would be due if such amount were Net Sales (as defined in the INK Agreement) under the INK Agreement, and Licensee shall promptly pay such royalty payment to INK; and</w:t>
      </w:r>
    </w:p>
    <w:p>
      <w:pPr>
        <w:spacing w:after="0" w:line="188" w:lineRule="exact"/>
        <w:rPr>
          <w:sz w:val="20"/>
          <w:szCs w:val="20"/>
          <w:color w:val="auto"/>
        </w:rPr>
      </w:pPr>
    </w:p>
    <w:p>
      <w:pPr>
        <w:jc w:val="both"/>
        <w:ind w:left="1" w:firstLine="1938"/>
        <w:spacing w:after="0" w:line="249" w:lineRule="auto"/>
        <w:rPr>
          <w:sz w:val="20"/>
          <w:szCs w:val="20"/>
          <w:color w:val="auto"/>
        </w:rPr>
      </w:pPr>
      <w:r>
        <w:rPr>
          <w:rFonts w:ascii="Arial" w:cs="Arial" w:eastAsia="Arial" w:hAnsi="Arial"/>
          <w:sz w:val="22"/>
          <w:szCs w:val="22"/>
          <w:color w:val="auto"/>
        </w:rPr>
        <w:t>(c) Third, the remainder shall be retained by Licensee, shall be considered Net Sales under this Agreement and shall be subject to the royalty obligations under this Agreement.</w:t>
      </w:r>
    </w:p>
    <w:p>
      <w:pPr>
        <w:spacing w:after="0" w:line="175" w:lineRule="exact"/>
        <w:rPr>
          <w:sz w:val="20"/>
          <w:szCs w:val="20"/>
          <w:color w:val="auto"/>
        </w:rPr>
      </w:pPr>
    </w:p>
    <w:p>
      <w:pPr>
        <w:ind w:left="1301"/>
        <w:spacing w:after="0"/>
        <w:tabs>
          <w:tab w:leader="none" w:pos="2681" w:val="left"/>
        </w:tabs>
        <w:rPr>
          <w:sz w:val="20"/>
          <w:szCs w:val="20"/>
          <w:color w:val="auto"/>
        </w:rPr>
      </w:pPr>
      <w:r>
        <w:rPr>
          <w:rFonts w:ascii="Arial" w:cs="Arial" w:eastAsia="Arial" w:hAnsi="Arial"/>
          <w:sz w:val="22"/>
          <w:szCs w:val="22"/>
          <w:color w:val="auto"/>
        </w:rPr>
        <w:t>7.5.2</w:t>
      </w:r>
      <w:r>
        <w:rPr>
          <w:sz w:val="20"/>
          <w:szCs w:val="20"/>
          <w:color w:val="auto"/>
        </w:rPr>
        <w:tab/>
      </w:r>
      <w:r>
        <w:rPr>
          <w:rFonts w:ascii="Arial" w:cs="Arial" w:eastAsia="Arial" w:hAnsi="Arial"/>
          <w:sz w:val="20"/>
          <w:szCs w:val="20"/>
          <w:color w:val="auto"/>
        </w:rPr>
        <w:t>If Licensee decides not to, or fails to, initiate proceedings or take other appropriate</w:t>
      </w:r>
    </w:p>
    <w:p>
      <w:pPr>
        <w:spacing w:after="0" w:line="7" w:lineRule="exact"/>
        <w:rPr>
          <w:sz w:val="20"/>
          <w:szCs w:val="20"/>
          <w:color w:val="auto"/>
        </w:rPr>
      </w:pPr>
    </w:p>
    <w:p>
      <w:pPr>
        <w:jc w:val="both"/>
        <w:ind w:left="1"/>
        <w:spacing w:after="0" w:line="252" w:lineRule="auto"/>
        <w:rPr>
          <w:sz w:val="20"/>
          <w:szCs w:val="20"/>
          <w:color w:val="auto"/>
        </w:rPr>
      </w:pPr>
      <w:r>
        <w:rPr>
          <w:rFonts w:ascii="Arial" w:cs="Arial" w:eastAsia="Arial" w:hAnsi="Arial"/>
          <w:sz w:val="20"/>
          <w:szCs w:val="20"/>
          <w:color w:val="auto"/>
        </w:rPr>
        <w:t>action pursuant to Section 7.5.1 with respect to a Third Party Infringement of any such Prosecution Patent Right within the shorter of (a) [* * *] days following Licensee’s becoming aware of the alleged infringement (which shall be [* * *] days with respect to the INK Prosecution Patent Rights) or (b) solely with respect to a Paragraph IV Certification, [* * *] days following the earlier of Licensee’s or INFI’s receipt of notice thereof (which shall be [* * *] days with respect to the INK Prosecution Patent Rights), then (y) Licensee shall promptly notify INFI thereof and</w:t>
      </w:r>
    </w:p>
    <w:p>
      <w:pPr>
        <w:spacing w:after="0" w:line="4" w:lineRule="exact"/>
        <w:rPr>
          <w:sz w:val="20"/>
          <w:szCs w:val="20"/>
          <w:color w:val="auto"/>
        </w:rPr>
      </w:pPr>
    </w:p>
    <w:p>
      <w:pPr>
        <w:jc w:val="both"/>
        <w:ind w:left="1" w:hanging="1"/>
        <w:spacing w:after="0" w:line="257" w:lineRule="auto"/>
        <w:tabs>
          <w:tab w:leader="none" w:pos="302" w:val="left"/>
        </w:tabs>
        <w:numPr>
          <w:ilvl w:val="0"/>
          <w:numId w:val="82"/>
        </w:numPr>
        <w:rPr>
          <w:rFonts w:ascii="Arial" w:cs="Arial" w:eastAsia="Arial" w:hAnsi="Arial"/>
          <w:sz w:val="20"/>
          <w:szCs w:val="20"/>
          <w:color w:val="auto"/>
        </w:rPr>
      </w:pPr>
      <w:r>
        <w:rPr>
          <w:rFonts w:ascii="Arial" w:cs="Arial" w:eastAsia="Arial" w:hAnsi="Arial"/>
          <w:sz w:val="20"/>
          <w:szCs w:val="20"/>
          <w:color w:val="auto"/>
        </w:rPr>
        <w:t>INFI or, with respect to the INK Prosecution Patent Rights, INK (to the extent set forth in the INK Agreement), shall have the right, but not the obligation, to bring and control any such action at its own expense and by counsel of its own choice. Licensee shall notify INFI and, with respect to the INK Prosecution Patent Rights, Licensee shall notify INK (in accordance with the notice provision in the INK Agreement), as soon as Licensee is aware that it will not initiate such proceedings or take such action within such time periods. Any recoveries resulting from such an action brought by INFI or INK in accordance with this Section 7.5.2 will be retained by INFI or, with respect to the INK Prosecution Patent Rights, INK (to the extent set forth in the INK Agreement).</w:t>
      </w:r>
    </w:p>
    <w:p>
      <w:pPr>
        <w:spacing w:after="0" w:line="169" w:lineRule="exact"/>
        <w:rPr>
          <w:sz w:val="20"/>
          <w:szCs w:val="20"/>
          <w:color w:val="auto"/>
        </w:rPr>
      </w:pPr>
    </w:p>
    <w:p>
      <w:pPr>
        <w:ind w:left="1" w:firstLine="646"/>
        <w:spacing w:after="0" w:line="249"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Conduct of Certain Actions; Costs</w:t>
      </w:r>
      <w:r>
        <w:rPr>
          <w:rFonts w:ascii="Arial" w:cs="Arial" w:eastAsia="Arial" w:hAnsi="Arial"/>
          <w:sz w:val="22"/>
          <w:szCs w:val="22"/>
          <w:color w:val="auto"/>
        </w:rPr>
        <w:t>. The Party initiating legal action under Section 7.5 with respect to Prosecution Patent Rights (the “</w:t>
      </w:r>
      <w:r>
        <w:rPr>
          <w:rFonts w:ascii="Arial" w:cs="Arial" w:eastAsia="Arial" w:hAnsi="Arial"/>
          <w:sz w:val="22"/>
          <w:szCs w:val="22"/>
          <w:u w:val="single" w:color="auto"/>
          <w:color w:val="auto"/>
        </w:rPr>
        <w:t>Initiating Party</w:t>
      </w:r>
      <w:r>
        <w:rPr>
          <w:rFonts w:ascii="Arial" w:cs="Arial" w:eastAsia="Arial" w:hAnsi="Arial"/>
          <w:sz w:val="22"/>
          <w:szCs w:val="22"/>
          <w:color w:val="auto"/>
        </w:rPr>
        <w:t>”) shall have the sole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85" w:name="page186"/>
    <w:bookmarkEnd w:id="185"/>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exclusive right to select counsel for any suit initiated by it. At the request of the Initiating Party or, with respect to the INK Prosecution Patent Rights, INK (if it is then controlling the relevant action), the other Party shall provide reasonable assistance and cooperation in connection therewith. If Licensee is the Initiating Party, Licensee shall [* * *]. The other Party shall reasonably cooperate in the prosecution of such suit as may be reasonably requested by the Initiating Party or, with respect to the INK Prosecution Patent Rights, INK (if it is then controlling the relevant action), including by agreeing to be joined to such legal action to the extent required in order to maintain such legal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Licensee is the Initiating Party, Licensee shall [* * *]. The other Party and INK (where applicable pursuant to Section 10.3(b) of the INK Agreement) shall have the right to participate and be represented in any such legal action (in cases where such other Party has standing) by its own counsel at its own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-337820</wp:posOffset>
            </wp:positionV>
            <wp:extent cx="425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39" w:lineRule="exact"/>
        <w:rPr>
          <w:sz w:val="20"/>
          <w:szCs w:val="20"/>
          <w:color w:val="auto"/>
        </w:rPr>
      </w:pPr>
    </w:p>
    <w:p>
      <w:pPr>
        <w:jc w:val="both"/>
        <w:ind w:firstLine="646"/>
        <w:spacing w:after="0" w:line="233"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Defense of Actions</w:t>
      </w:r>
      <w:r>
        <w:rPr>
          <w:rFonts w:ascii="Arial" w:cs="Arial" w:eastAsia="Arial" w:hAnsi="Arial"/>
          <w:sz w:val="22"/>
          <w:szCs w:val="22"/>
          <w:color w:val="auto"/>
        </w:rPr>
        <w:t>. In the event that a declaratory judgment or similar action alleging the invalidity or non-infringement, or any request for, or filing or declaration of, any interference, opposition, reissue or reexamination, of any Prosecution Patent Right is initiated by any Third Party, each Party will promptly notify the other and the rights and responsibilities for defending against any such action shall be determined in the same manner as Prosecution and Maintenance of the relevant Prosecution Patent Right pursuant to Section 7.4. INK shall have the sole right to defend against any declaratory judgment or similar action alleging the invalidity or non-infringement, or any request for, or filing or declaration of, any interference, opposition, reissue or reexamination, of any INK Non-Prosecution Patent Right.</w:t>
      </w:r>
    </w:p>
    <w:p>
      <w:pPr>
        <w:spacing w:after="0" w:line="189"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u w:val="single" w:color="auto"/>
          <w:color w:val="auto"/>
        </w:rPr>
        <w:t>Trademarks</w:t>
      </w:r>
      <w:r>
        <w:rPr>
          <w:rFonts w:ascii="Arial" w:cs="Arial" w:eastAsia="Arial" w:hAnsi="Arial"/>
          <w:sz w:val="19"/>
          <w:szCs w:val="19"/>
          <w:color w:val="auto"/>
        </w:rPr>
        <w:t>.</w:t>
      </w:r>
    </w:p>
    <w:p>
      <w:pPr>
        <w:spacing w:after="0" w:line="205" w:lineRule="exact"/>
        <w:rPr>
          <w:sz w:val="20"/>
          <w:szCs w:val="20"/>
          <w:color w:val="auto"/>
        </w:rPr>
      </w:pPr>
    </w:p>
    <w:p>
      <w:pPr>
        <w:jc w:val="both"/>
        <w:ind w:firstLine="1292"/>
        <w:spacing w:after="0" w:line="255" w:lineRule="auto"/>
        <w:rPr>
          <w:sz w:val="20"/>
          <w:szCs w:val="20"/>
          <w:color w:val="auto"/>
        </w:rPr>
      </w:pPr>
      <w:r>
        <w:rPr>
          <w:rFonts w:ascii="Arial" w:cs="Arial" w:eastAsia="Arial" w:hAnsi="Arial"/>
          <w:sz w:val="20"/>
          <w:szCs w:val="20"/>
          <w:color w:val="auto"/>
        </w:rPr>
        <w:t>7.8.1 Licensee shall have the right to brand IPI-145 Products using Licensee related trademarks and trade names and any other trademarks and trade names it determines appropriate for the IPI-145 Product, which may vary by country or within a country. Licensee and, if applicable, certain Licensee Affiliates or Sublicensees, shall own all right, title and interest in and to such marks and all goodwill associated therewith and Licensee or such Affiliates or Sublicensees may file, seek registration and maintain such marks in the countries and regions they determine reasonably necessary, in each case solely to the extent such marks are not Product Marks or the INK Mark licensed to Licensee pursuant to this Agreement. Notwithstanding the foregoing, unless INK waives its relevant rights under the INK Agreement, (a) with respect to any IPI-145 Product sold in the United States after receipt of Marketing Authorization for such IPI-145 Product in the United States, Licensee shall and shall ensure that its applicable Affiliates and the applicable Sublicensees, to the extent permitted under applicable Law and if reasonably practicable, include the INK name or logo (“</w:t>
      </w:r>
      <w:r>
        <w:rPr>
          <w:rFonts w:ascii="Arial" w:cs="Arial" w:eastAsia="Arial" w:hAnsi="Arial"/>
          <w:sz w:val="20"/>
          <w:szCs w:val="20"/>
          <w:u w:val="single" w:color="auto"/>
          <w:color w:val="auto"/>
        </w:rPr>
        <w:t>INK Mark</w:t>
      </w:r>
      <w:r>
        <w:rPr>
          <w:rFonts w:ascii="Arial" w:cs="Arial" w:eastAsia="Arial" w:hAnsi="Arial"/>
          <w:sz w:val="20"/>
          <w:szCs w:val="20"/>
          <w:color w:val="auto"/>
        </w:rPr>
        <w:t xml:space="preserve"> ”) on the commercial packaging for such IPI-145 Product, and a disclosure that such IPI-145 Product is licensed from INK, and (b) Licensee and its applicable Affiliates or the applicable Sublicensees may otherwise include the INK Mark on the IPI-145 Product or any packaging, labels, containers, advertisements and other materials related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any use of the INK Mark shall be in compliance with INK’s then-current reasonable trademark guidelines provided to Licensee (whether by INFI or by INK).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6" w:name="page187"/>
    <w:bookmarkEnd w:id="186"/>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7.8.2 Subject to the terms and conditions of this Agreement, INFI hereby grants Licensee a non-exclusive, sublicenseable, royalty-free, transferrable (in accordance with Section 12.5) right to use the INK Mark in connection with the foregoing.</w:t>
      </w:r>
    </w:p>
    <w:p>
      <w:pPr>
        <w:spacing w:after="0" w:line="186"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20"/>
          <w:szCs w:val="20"/>
          <w:color w:val="auto"/>
        </w:rPr>
        <w:t>7.8.3 INK or an Affiliate of INK shall retain the ownership of the entire right, title and interest in and to the INK Mark, and all goodwill associated with or attached to the INK Mark arising out of the use thereof by Licensee, its Affiliates and the Sublicensees shall inure to the benefit of INK. Licensee shall not, and shall ensure that its Affiliates and the Sublicensees shall not, contest, oppose or challenge INK’s ownership of the INK Mark. Licensee shall not, and shall ensure that its Affiliates and the Sublicensees shall not, at any time do or suffer to be done any act or thing that will in any way impair INK’s ownership of or rights in and to the INK Mark or any registration thereof or that may depreciate the value of the INK Mark or the reputation of INK.</w:t>
      </w:r>
    </w:p>
    <w:p>
      <w:pPr>
        <w:spacing w:after="0" w:line="16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u w:val="single" w:color="auto"/>
          <w:color w:val="auto"/>
        </w:rPr>
        <w:t>Drug Price Competition and Patent Term Restoration Act</w:t>
      </w:r>
      <w:r>
        <w:rPr>
          <w:rFonts w:ascii="Arial" w:cs="Arial" w:eastAsia="Arial" w:hAnsi="Arial"/>
          <w:sz w:val="19"/>
          <w:szCs w:val="19"/>
          <w:color w:val="auto"/>
        </w:rPr>
        <w:t>.</w:t>
      </w:r>
    </w:p>
    <w:p>
      <w:pPr>
        <w:spacing w:after="0" w:line="205" w:lineRule="exact"/>
        <w:rPr>
          <w:sz w:val="20"/>
          <w:szCs w:val="20"/>
          <w:color w:val="auto"/>
        </w:rPr>
      </w:pPr>
    </w:p>
    <w:p>
      <w:pPr>
        <w:jc w:val="both"/>
        <w:ind w:firstLine="1292"/>
        <w:spacing w:after="0" w:line="233" w:lineRule="auto"/>
        <w:rPr>
          <w:sz w:val="20"/>
          <w:szCs w:val="20"/>
          <w:color w:val="auto"/>
        </w:rPr>
      </w:pPr>
      <w:r>
        <w:rPr>
          <w:rFonts w:ascii="Arial" w:cs="Arial" w:eastAsia="Arial" w:hAnsi="Arial"/>
          <w:sz w:val="22"/>
          <w:szCs w:val="22"/>
          <w:color w:val="auto"/>
        </w:rPr>
        <w:t>7.9.1 The Parties shall cooperate with each other in an effort to avoid loss of any Prosecution Patent Rights which may otherwise be available under the provisions of the Drug Price Competition and Patent Term Restoration Act of 1984 or comparable United States or foreign laws, including by executing any documents as may be reasonably required. In particular, the Parties shall, at Licensee’s sole expense, cooperate in obtaining patent term restoration or supplemental protection certificates or their equivalents in any country and region (“</w:t>
      </w:r>
      <w:r>
        <w:rPr>
          <w:rFonts w:ascii="Arial" w:cs="Arial" w:eastAsia="Arial" w:hAnsi="Arial"/>
          <w:sz w:val="22"/>
          <w:szCs w:val="22"/>
          <w:u w:val="single" w:color="auto"/>
          <w:color w:val="auto"/>
        </w:rPr>
        <w:t>Patent Term Extensions</w:t>
      </w:r>
      <w:r>
        <w:rPr>
          <w:rFonts w:ascii="Arial" w:cs="Arial" w:eastAsia="Arial" w:hAnsi="Arial"/>
          <w:sz w:val="22"/>
          <w:szCs w:val="22"/>
          <w:color w:val="auto"/>
        </w:rPr>
        <w:t>”), where applicable to the Prosecution Patent Rights. INFI shall provide all reasonable assistance to Licensee, including permitting Licensee to proceed with applications for such in the name of INFI, if so required.</w:t>
      </w:r>
    </w:p>
    <w:p>
      <w:pPr>
        <w:spacing w:after="0" w:line="189" w:lineRule="exact"/>
        <w:rPr>
          <w:sz w:val="20"/>
          <w:szCs w:val="20"/>
          <w:color w:val="auto"/>
        </w:rPr>
      </w:pPr>
    </w:p>
    <w:p>
      <w:pPr>
        <w:jc w:val="both"/>
        <w:ind w:firstLine="1292"/>
        <w:spacing w:after="0" w:line="261" w:lineRule="auto"/>
        <w:rPr>
          <w:sz w:val="20"/>
          <w:szCs w:val="20"/>
          <w:color w:val="auto"/>
        </w:rPr>
      </w:pPr>
      <w:r>
        <w:rPr>
          <w:rFonts w:ascii="Arial" w:cs="Arial" w:eastAsia="Arial" w:hAnsi="Arial"/>
          <w:sz w:val="20"/>
          <w:szCs w:val="20"/>
          <w:color w:val="auto"/>
        </w:rPr>
        <w:t>7.9.2 After consultation by Licensee with INFI and INK, Licensee shall have the sole right to determine, if applicable, for which, if any, of the Prosecution Patent Rights the Parties will attempt to seek Patent Term Extensions for the IPI-145 Product. INFI shall provide reasonable assistance to Licensee, at Licensee’s sole expense, including by executing any required documents and providing any relevant patent information and other relevant information to Licensee, so that Licensee can obtain such extensions and additional protection and inform the FDA or other Regulatory Authority of such intended Patent Term Extension.</w:t>
      </w:r>
    </w:p>
    <w:p>
      <w:pPr>
        <w:spacing w:after="0" w:line="168" w:lineRule="exact"/>
        <w:rPr>
          <w:sz w:val="20"/>
          <w:szCs w:val="20"/>
          <w:color w:val="auto"/>
        </w:rPr>
      </w:pPr>
    </w:p>
    <w:p>
      <w:pPr>
        <w:jc w:val="both"/>
        <w:ind w:firstLine="1292"/>
        <w:spacing w:after="0" w:line="249" w:lineRule="auto"/>
        <w:rPr>
          <w:sz w:val="20"/>
          <w:szCs w:val="20"/>
          <w:color w:val="auto"/>
        </w:rPr>
      </w:pPr>
      <w:r>
        <w:rPr>
          <w:rFonts w:ascii="Arial" w:cs="Arial" w:eastAsia="Arial" w:hAnsi="Arial"/>
          <w:sz w:val="22"/>
          <w:szCs w:val="22"/>
          <w:color w:val="auto"/>
        </w:rPr>
        <w:t>7.9.3 Licensee shall have no right to seek Patent Term Extension for any INK Non-Prosecution Patent Right or INFI Other Patent Right.</w:t>
      </w:r>
    </w:p>
    <w:p>
      <w:pPr>
        <w:spacing w:after="0" w:line="175"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Orange Book Information</w:t>
      </w:r>
      <w:r>
        <w:rPr>
          <w:rFonts w:ascii="Arial" w:cs="Arial" w:eastAsia="Arial" w:hAnsi="Arial"/>
          <w:sz w:val="22"/>
          <w:szCs w:val="22"/>
          <w:color w:val="auto"/>
        </w:rPr>
        <w:t>. Licensee shall have the sole right, but not the obligation, to select and submit to all applicable Governmental Authorities patent information pertaining to each IPI-145 Product pursuant to 21 U.S.C. § 355(b)(1)(G) (or any amendment or successor statute thereto), or any similar statutory or regulatory requirement in any non-U.S. country or other regulatory jurisdiction.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7" w:name="page188"/>
    <w:bookmarkEnd w:id="187"/>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Patent Marking</w:t>
      </w:r>
      <w:r>
        <w:rPr>
          <w:rFonts w:ascii="Arial" w:cs="Arial" w:eastAsia="Arial" w:hAnsi="Arial"/>
          <w:sz w:val="22"/>
          <w:szCs w:val="22"/>
          <w:color w:val="auto"/>
        </w:rPr>
        <w:t>. Licensee shall, and shall ensure that its Affiliates and the Sublicensees, comply with the patent marking statutes in each country in which a IPI-145 Product is sold by Licensee, its Affiliates or the Sublicensees.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7"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Confidentiality; Exceptions</w:t>
      </w:r>
      <w:r>
        <w:rPr>
          <w:rFonts w:ascii="Arial" w:cs="Arial" w:eastAsia="Arial" w:hAnsi="Arial"/>
          <w:sz w:val="22"/>
          <w:szCs w:val="22"/>
          <w:color w:val="auto"/>
        </w:rPr>
        <w:t>. Except to the extent expressly authorized by this Agreement or otherwise agreed to by the Parties in writing, the Receiving Party and its Affiliates shall keep confidential, and shall not publish or otherwise disclose or use for any purpose other than as provided for in this Agreement, any Confidential Information of the Disclosing Party or any of its Affiliates, except to the extent that it can be established by the Receiving Party that such Confidential Information:</w:t>
      </w:r>
    </w:p>
    <w:p>
      <w:pPr>
        <w:spacing w:after="0" w:line="188"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8.1.1 was in the lawful knowledge and possession of the Receiving Party or any of its Affiliates prior to the time it was disclosed to the Receiving Party or any of its Affiliates by the Disclosing Party or any of its Affiliates;</w:t>
      </w:r>
    </w:p>
    <w:p>
      <w:pPr>
        <w:spacing w:after="0" w:line="186" w:lineRule="exact"/>
        <w:rPr>
          <w:sz w:val="20"/>
          <w:szCs w:val="20"/>
          <w:color w:val="auto"/>
        </w:rPr>
      </w:pPr>
    </w:p>
    <w:p>
      <w:pPr>
        <w:jc w:val="both"/>
        <w:ind w:firstLine="1292"/>
        <w:spacing w:after="0" w:line="237" w:lineRule="auto"/>
        <w:rPr>
          <w:sz w:val="20"/>
          <w:szCs w:val="20"/>
          <w:color w:val="auto"/>
        </w:rPr>
      </w:pPr>
      <w:r>
        <w:rPr>
          <w:rFonts w:ascii="Arial" w:cs="Arial" w:eastAsia="Arial" w:hAnsi="Arial"/>
          <w:sz w:val="22"/>
          <w:szCs w:val="22"/>
          <w:color w:val="auto"/>
        </w:rPr>
        <w:t>8.1.2 was developed by the Receiving Party or any of its Affiliates without the aid, use, or access of or to Confidential Information of the Disclosing Party or any of its Affiliates, as evidenced by written records kept in the ordinary course of business or other documentary proof of actual use by the Receiving Party or any of its Affiliates;</w:t>
      </w:r>
    </w:p>
    <w:p>
      <w:pPr>
        <w:spacing w:after="0" w:line="185" w:lineRule="exact"/>
        <w:rPr>
          <w:sz w:val="20"/>
          <w:szCs w:val="20"/>
          <w:color w:val="auto"/>
        </w:rPr>
      </w:pPr>
    </w:p>
    <w:p>
      <w:pPr>
        <w:jc w:val="both"/>
        <w:ind w:firstLine="1292"/>
        <w:spacing w:after="0" w:line="298" w:lineRule="auto"/>
        <w:rPr>
          <w:sz w:val="20"/>
          <w:szCs w:val="20"/>
          <w:color w:val="auto"/>
        </w:rPr>
      </w:pPr>
      <w:r>
        <w:rPr>
          <w:rFonts w:ascii="Arial" w:cs="Arial" w:eastAsia="Arial" w:hAnsi="Arial"/>
          <w:sz w:val="20"/>
          <w:szCs w:val="20"/>
          <w:color w:val="auto"/>
        </w:rPr>
        <w:t>8.1.3 was generally available to the public or otherwise part of the public domain at the time of its disclosure to the Receiving Party or any of its Affiliates by the Disclosing Party or any of its Affiliates;</w:t>
      </w:r>
    </w:p>
    <w:p>
      <w:pPr>
        <w:spacing w:after="0" w:line="129"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8.1.4 became generally available to the public or otherwise part of the public domain after its disclosure and other than through any act or omission of the Receiving Party or any of its Representatives in breach of this Agreement; or</w:t>
      </w:r>
    </w:p>
    <w:p>
      <w:pPr>
        <w:spacing w:after="0" w:line="186"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8.1.5 was disclosed to the Receiving Party or any of its Affiliates, other than under an obligation of confidentiality, by a Third Party who had no obligation to the Disclosing Party or any of its Affiliates not to disclose such information to others.</w:t>
      </w:r>
    </w:p>
    <w:p>
      <w:pPr>
        <w:spacing w:after="0" w:line="186"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Authorized Disclosure</w:t>
      </w:r>
      <w:r>
        <w:rPr>
          <w:rFonts w:ascii="Arial" w:cs="Arial" w:eastAsia="Arial" w:hAnsi="Arial"/>
          <w:sz w:val="22"/>
          <w:szCs w:val="22"/>
          <w:color w:val="auto"/>
        </w:rPr>
        <w:t>. Except as expressly provided otherwise in this Agreement, a Receiving Party or any of its Affiliates may use and disclose Confidential Information of the Disclosing Party or any of its Affiliates as follows:</w:t>
      </w:r>
    </w:p>
    <w:p>
      <w:pPr>
        <w:spacing w:after="0" w:line="186" w:lineRule="exact"/>
        <w:rPr>
          <w:sz w:val="20"/>
          <w:szCs w:val="20"/>
          <w:color w:val="auto"/>
        </w:rPr>
      </w:pPr>
    </w:p>
    <w:p>
      <w:pPr>
        <w:jc w:val="both"/>
        <w:ind w:firstLine="1292"/>
        <w:spacing w:after="0" w:line="235" w:lineRule="auto"/>
        <w:rPr>
          <w:sz w:val="20"/>
          <w:szCs w:val="20"/>
          <w:color w:val="auto"/>
        </w:rPr>
      </w:pPr>
      <w:r>
        <w:rPr>
          <w:rFonts w:ascii="Arial" w:cs="Arial" w:eastAsia="Arial" w:hAnsi="Arial"/>
          <w:sz w:val="22"/>
          <w:szCs w:val="22"/>
          <w:color w:val="auto"/>
        </w:rPr>
        <w:t>8.2.1 to its Affiliates, its Sublicensees (solely with respect to Licensee), and its and their respective employees, consultants, contractors, subcontractors, agents, legal advisors and financial advisors (all the foregoing, collectively, “</w:t>
      </w:r>
      <w:r>
        <w:rPr>
          <w:rFonts w:ascii="Arial" w:cs="Arial" w:eastAsia="Arial" w:hAnsi="Arial"/>
          <w:sz w:val="22"/>
          <w:szCs w:val="22"/>
          <w:u w:val="single" w:color="auto"/>
          <w:color w:val="auto"/>
        </w:rPr>
        <w:t>Representatives</w:t>
      </w:r>
      <w:r>
        <w:rPr>
          <w:rFonts w:ascii="Arial" w:cs="Arial" w:eastAsia="Arial" w:hAnsi="Arial"/>
          <w:sz w:val="22"/>
          <w:szCs w:val="22"/>
          <w:color w:val="auto"/>
        </w:rPr>
        <w:t>”) who need to know such Confidential Information for purposes of the Receiving Party performing its obligations or exercising its rights under this Agreement, each of which Representatives shall, prior to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8" w:name="page189"/>
    <w:bookmarkEnd w:id="188"/>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disclosure, be subject to written obligations, or professional ethical obligations, substantially similar to those in the Agreement, and the Receiving Party shall remain responsible for any failure by its Representatives to treat such Confidential Information as required under this ARTICLE 8;</w:t>
      </w:r>
    </w:p>
    <w:p>
      <w:pPr>
        <w:spacing w:after="0" w:line="186" w:lineRule="exact"/>
        <w:rPr>
          <w:sz w:val="20"/>
          <w:szCs w:val="20"/>
          <w:color w:val="auto"/>
        </w:rPr>
      </w:pPr>
    </w:p>
    <w:p>
      <w:pPr>
        <w:jc w:val="both"/>
        <w:ind w:firstLine="1292"/>
        <w:spacing w:after="0" w:line="235" w:lineRule="auto"/>
        <w:rPr>
          <w:sz w:val="20"/>
          <w:szCs w:val="20"/>
          <w:color w:val="auto"/>
        </w:rPr>
      </w:pPr>
      <w:r>
        <w:rPr>
          <w:rFonts w:ascii="Arial" w:cs="Arial" w:eastAsia="Arial" w:hAnsi="Arial"/>
          <w:sz w:val="22"/>
          <w:szCs w:val="22"/>
          <w:color w:val="auto"/>
        </w:rPr>
        <w:t xml:space="preserve">8.2.2 except as set forth in Section 8.2.1, in connection with the performance of its obligations or exercise of rights granted or reserved in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such Confidential Information is disclosed under appropriate confidentiality provisions substantially similar to those in this Agreement and the Receiving Party shall remain responsible for any failure by any such recipient to treat such Confidential Information as required under this ARTICLE 8;</w:t>
      </w:r>
    </w:p>
    <w:p>
      <w:pPr>
        <w:spacing w:after="0" w:line="188"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 xml:space="preserve">8.2.3 to the extent such disclosure is reasonably necessary in Prosecution and Maintenance of Patent Rights in a manner not inconsistent with this Agreement, prosecuting or defending litigation, complying with applicable Law (including the rules and regulations of any stock exchange or NASDAQ), preparing and submitting filings to Regulatory Authorities consistent with this Agreement or is otherwise required by Law; </w:t>
      </w:r>
      <w:r>
        <w:rPr>
          <w:rFonts w:ascii="Arial" w:cs="Arial" w:eastAsia="Arial" w:hAnsi="Arial"/>
          <w:sz w:val="22"/>
          <w:szCs w:val="22"/>
          <w:u w:val="single" w:color="auto"/>
          <w:color w:val="auto"/>
        </w:rPr>
        <w:t>except that</w:t>
      </w:r>
      <w:r>
        <w:rPr>
          <w:rFonts w:ascii="Arial" w:cs="Arial" w:eastAsia="Arial" w:hAnsi="Arial"/>
          <w:sz w:val="22"/>
          <w:szCs w:val="22"/>
          <w:color w:val="auto"/>
        </w:rPr>
        <w:t xml:space="preserve"> if the Receiving Party or any of its Affiliates is required by Law to make any such disclosure of a Disclosing Party’s (or any of its Affiliates’) Confidential Information (other than a disclosure to a Regulatory Authority in a filing required by Law) the Receiving Party will, to the extent practicable, give reasonable advance notice to the Disclosing Party of such disclosure requirement and shall furnish only that portion of the Disclosing Party’s (or its Affiliate’s) Confidential Information that the Receiving Party or its Affiliate is legally required to furnish;</w:t>
      </w:r>
    </w:p>
    <w:p>
      <w:pPr>
        <w:spacing w:after="0" w:line="192" w:lineRule="exact"/>
        <w:rPr>
          <w:sz w:val="20"/>
          <w:szCs w:val="20"/>
          <w:color w:val="auto"/>
        </w:rPr>
      </w:pPr>
    </w:p>
    <w:p>
      <w:pPr>
        <w:jc w:val="both"/>
        <w:ind w:firstLine="1292"/>
        <w:spacing w:after="0" w:line="237" w:lineRule="auto"/>
        <w:rPr>
          <w:sz w:val="20"/>
          <w:szCs w:val="20"/>
          <w:color w:val="auto"/>
        </w:rPr>
      </w:pPr>
      <w:r>
        <w:rPr>
          <w:rFonts w:ascii="Arial" w:cs="Arial" w:eastAsia="Arial" w:hAnsi="Arial"/>
          <w:sz w:val="22"/>
          <w:szCs w:val="22"/>
          <w:color w:val="auto"/>
        </w:rPr>
        <w:t>8.2.4 by INFI to any Third Party Grantor in order to exercise INFI’s rights or comply with INFI’s obligations under the INFI Third Party Agreement, and Licensee agrees and acknowledges that such Third Parties shall not be bound to any confidentiality or non-use information with respect to Licensee’s Confidential Information other than as set forth in the relevant INFI Third Party Agreement;</w:t>
      </w:r>
    </w:p>
    <w:p>
      <w:pPr>
        <w:spacing w:after="0" w:line="185" w:lineRule="exact"/>
        <w:rPr>
          <w:sz w:val="20"/>
          <w:szCs w:val="20"/>
          <w:color w:val="auto"/>
        </w:rPr>
      </w:pPr>
    </w:p>
    <w:p>
      <w:pPr>
        <w:jc w:val="both"/>
        <w:ind w:firstLine="1292"/>
        <w:spacing w:after="0" w:line="235" w:lineRule="auto"/>
        <w:rPr>
          <w:sz w:val="20"/>
          <w:szCs w:val="20"/>
          <w:color w:val="auto"/>
        </w:rPr>
      </w:pPr>
      <w:r>
        <w:rPr>
          <w:rFonts w:ascii="Arial" w:cs="Arial" w:eastAsia="Arial" w:hAnsi="Arial"/>
          <w:sz w:val="22"/>
          <w:szCs w:val="22"/>
          <w:color w:val="auto"/>
        </w:rPr>
        <w:t>8.2.5 by INFI to any counterparty to any INFI Product Related Contract to the extent reasonably necessary to comply with INFI’s obligations under this Agreement with respect to such INFI Product Related Contract, and Licensee agrees and acknowledges that such Third Parties shall not be bound to any confidentiality or non-use information with respect to Licensee’s Confidential Information other than as set forth in the relevant INFI Product Related Contract;</w:t>
      </w:r>
    </w:p>
    <w:p>
      <w:pPr>
        <w:spacing w:after="0" w:line="188" w:lineRule="exact"/>
        <w:rPr>
          <w:sz w:val="20"/>
          <w:szCs w:val="20"/>
          <w:color w:val="auto"/>
        </w:rPr>
      </w:pPr>
    </w:p>
    <w:p>
      <w:pPr>
        <w:jc w:val="both"/>
        <w:ind w:firstLine="1292"/>
        <w:spacing w:after="0" w:line="264" w:lineRule="auto"/>
        <w:rPr>
          <w:sz w:val="20"/>
          <w:szCs w:val="20"/>
          <w:color w:val="auto"/>
        </w:rPr>
      </w:pPr>
      <w:r>
        <w:rPr>
          <w:rFonts w:ascii="Arial" w:cs="Arial" w:eastAsia="Arial" w:hAnsi="Arial"/>
          <w:sz w:val="20"/>
          <w:szCs w:val="20"/>
          <w:color w:val="auto"/>
        </w:rPr>
        <w:t>8.2.6 except as set forth in Section 8.2.1 or Section 8.2.4, in communications with existing or prospective acquirers, merger partners, investors, financing sources, advisors, licensees, sublicensees or collaborators or others on a need to know basis, in each case under appropriate confidentiality provisions substantially equivalent to those of this Agreement, and the Receiving Party shall remain responsible for any failure by any of the foregoing to treat such Confidential Information as required under this ARTICLE 8; or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00" w:type="dxa"/>
            <w:vAlign w:val="bottom"/>
          </w:tcPr>
          <w:p>
            <w:pPr>
              <w:spacing w:after="0"/>
              <w:rPr>
                <w:sz w:val="23"/>
                <w:szCs w:val="23"/>
                <w:color w:val="auto"/>
              </w:rPr>
            </w:pPr>
          </w:p>
        </w:tc>
        <w:tc>
          <w:tcPr>
            <w:tcW w:w="1100" w:type="dxa"/>
            <w:vAlign w:val="bottom"/>
            <w:gridSpan w:val="2"/>
          </w:tcPr>
          <w:p>
            <w:pPr>
              <w:jc w:val="right"/>
              <w:ind w:right="372"/>
              <w:spacing w:after="0"/>
              <w:rPr>
                <w:sz w:val="20"/>
                <w:szCs w:val="20"/>
                <w:color w:val="auto"/>
              </w:rPr>
            </w:pPr>
            <w:r>
              <w:rPr>
                <w:rFonts w:ascii="Arial" w:cs="Arial" w:eastAsia="Arial" w:hAnsi="Arial"/>
                <w:sz w:val="22"/>
                <w:szCs w:val="22"/>
                <w:color w:val="auto"/>
              </w:rPr>
              <w:t>8.2.7</w:t>
            </w:r>
          </w:p>
        </w:tc>
        <w:tc>
          <w:tcPr>
            <w:tcW w:w="7860" w:type="dxa"/>
            <w:vAlign w:val="bottom"/>
            <w:gridSpan w:val="2"/>
          </w:tcPr>
          <w:p>
            <w:pPr>
              <w:jc w:val="right"/>
              <w:ind w:right="2440"/>
              <w:spacing w:after="0"/>
              <w:rPr>
                <w:sz w:val="20"/>
                <w:szCs w:val="20"/>
                <w:color w:val="auto"/>
              </w:rPr>
            </w:pPr>
            <w:r>
              <w:rPr>
                <w:rFonts w:ascii="Arial" w:cs="Arial" w:eastAsia="Arial" w:hAnsi="Arial"/>
                <w:sz w:val="22"/>
                <w:szCs w:val="22"/>
                <w:color w:val="auto"/>
                <w:w w:val="98"/>
              </w:rPr>
              <w:t>to the extent agreed to in writing by the Disclosing Party.</w:t>
            </w:r>
          </w:p>
        </w:tc>
      </w:tr>
      <w:tr>
        <w:trPr>
          <w:trHeight w:val="407"/>
        </w:trPr>
        <w:tc>
          <w:tcPr>
            <w:tcW w:w="1100" w:type="dxa"/>
            <w:vAlign w:val="bottom"/>
          </w:tcPr>
          <w:p>
            <w:pPr>
              <w:jc w:val="right"/>
              <w:ind w:right="72"/>
              <w:spacing w:after="0"/>
              <w:rPr>
                <w:sz w:val="20"/>
                <w:szCs w:val="20"/>
                <w:color w:val="auto"/>
              </w:rPr>
            </w:pPr>
            <w:r>
              <w:rPr>
                <w:rFonts w:ascii="Arial" w:cs="Arial" w:eastAsia="Arial" w:hAnsi="Arial"/>
                <w:sz w:val="22"/>
                <w:szCs w:val="22"/>
                <w:color w:val="auto"/>
              </w:rPr>
              <w:t>8.3</w:t>
            </w:r>
          </w:p>
        </w:tc>
        <w:tc>
          <w:tcPr>
            <w:tcW w:w="260" w:type="dxa"/>
            <w:vAlign w:val="bottom"/>
          </w:tcPr>
          <w:p>
            <w:pPr>
              <w:spacing w:after="0"/>
              <w:rPr>
                <w:sz w:val="24"/>
                <w:szCs w:val="24"/>
                <w:color w:val="auto"/>
              </w:rPr>
            </w:pPr>
          </w:p>
        </w:tc>
        <w:tc>
          <w:tcPr>
            <w:tcW w:w="8700" w:type="dxa"/>
            <w:vAlign w:val="bottom"/>
            <w:gridSpan w:val="3"/>
          </w:tcPr>
          <w:p>
            <w:pPr>
              <w:jc w:val="right"/>
              <w:ind w:right="5200"/>
              <w:spacing w:after="0"/>
              <w:rPr>
                <w:sz w:val="20"/>
                <w:szCs w:val="20"/>
                <w:color w:val="auto"/>
              </w:rPr>
            </w:pPr>
            <w:r>
              <w:rPr>
                <w:rFonts w:ascii="Arial" w:cs="Arial" w:eastAsia="Arial" w:hAnsi="Arial"/>
                <w:sz w:val="22"/>
                <w:szCs w:val="22"/>
                <w:color w:val="auto"/>
                <w:w w:val="86"/>
              </w:rPr>
              <w:t>Press Release; Disclosure of Agreement.</w:t>
            </w:r>
          </w:p>
        </w:tc>
      </w:tr>
      <w:tr>
        <w:trPr>
          <w:trHeight w:val="20"/>
        </w:trPr>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88"/>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60" w:type="dxa"/>
            <w:vAlign w:val="bottom"/>
            <w:gridSpan w:val="2"/>
          </w:tcPr>
          <w:p>
            <w:pPr>
              <w:jc w:val="right"/>
              <w:ind w:right="4740"/>
              <w:spacing w:after="0"/>
              <w:rPr>
                <w:sz w:val="20"/>
                <w:szCs w:val="20"/>
                <w:color w:val="auto"/>
              </w:rPr>
            </w:pPr>
            <w:r>
              <w:rPr>
                <w:rFonts w:ascii="Arial" w:cs="Arial" w:eastAsia="Arial" w:hAnsi="Arial"/>
                <w:sz w:val="22"/>
                <w:szCs w:val="22"/>
                <w:color w:val="auto"/>
              </w:rPr>
              <w:t>- 43 -</w:t>
            </w:r>
          </w:p>
        </w:tc>
      </w:tr>
      <w:tr>
        <w:trPr>
          <w:trHeight w:val="118"/>
        </w:trPr>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524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12" w:right="919" w:bottom="1440" w:gutter="0" w:footer="0" w:header="0"/>
        </w:sectPr>
      </w:pPr>
    </w:p>
    <w:bookmarkStart w:id="189" w:name="page190"/>
    <w:bookmarkEnd w:id="189"/>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20"/>
          <w:szCs w:val="20"/>
          <w:color w:val="auto"/>
        </w:rPr>
        <w:t>8.3.1 Neither Party shall issue any press release or make other disclosures regarding this Agreement or the Parties’ activities hereunder, or any results or data arising hereunder, except (a) that either Party may issue a press release agreed to in writing by the other Party, such agreement not to be unreasonably withheld, conditioned or delayed; (b) with the other Party’s prior written consent; (c) in accordance with Section 8.5; or (d) for any disclosure that is reasonably necessary to comply with applicable securities exchange listing requirements or other applicable Laws. Notwithstanding the foregoing, to the extent information regarding this Agreement has already been publicly disclosed, either Party may subsequently disclose the same information to the public without the consent of the other Party. Each Party shall be permitted to disclose the terms of this Agreement, in each case subject to Section 8.2.6 and under appropriate confidentiality provisions substantially equivalent to those of this Agreement, to any actual or potential acquirers, merger partners, licensees, sublicensees, licensors, investors, financing sources and professional advisors on a need to know basis.</w:t>
      </w:r>
    </w:p>
    <w:p>
      <w:pPr>
        <w:spacing w:after="0" w:line="171" w:lineRule="exact"/>
        <w:rPr>
          <w:sz w:val="20"/>
          <w:szCs w:val="20"/>
          <w:color w:val="auto"/>
        </w:rPr>
      </w:pPr>
    </w:p>
    <w:p>
      <w:pPr>
        <w:jc w:val="both"/>
        <w:ind w:firstLine="1292"/>
        <w:spacing w:after="0" w:line="235" w:lineRule="auto"/>
        <w:rPr>
          <w:sz w:val="20"/>
          <w:szCs w:val="20"/>
          <w:color w:val="auto"/>
        </w:rPr>
      </w:pPr>
      <w:r>
        <w:rPr>
          <w:rFonts w:ascii="Arial" w:cs="Arial" w:eastAsia="Arial" w:hAnsi="Arial"/>
          <w:sz w:val="22"/>
          <w:szCs w:val="22"/>
          <w:color w:val="auto"/>
        </w:rPr>
        <w:t>8.3.2 Each Party shall, if practicable, give the other Party a reasonable opportunity to review applications for confidential treatment of this Agreement filed with the United States Securities and Exchange Commission (or any stock exchange, including NASDAQ, or any similar regulatory agency in any country other than the United States) prior to submission of such filings, and shall give due consideration to any reasonable comments by the non-filing Party relating to such filing.</w:t>
      </w:r>
    </w:p>
    <w:p>
      <w:pPr>
        <w:spacing w:after="0" w:line="188"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Remedies</w:t>
      </w:r>
      <w:r>
        <w:rPr>
          <w:rFonts w:ascii="Arial" w:cs="Arial" w:eastAsia="Arial" w:hAnsi="Arial"/>
          <w:sz w:val="20"/>
          <w:szCs w:val="20"/>
          <w:color w:val="auto"/>
        </w:rPr>
        <w:t>. In the event a Party breaches any of the confidentiality or non-use obligations set forth in this ARTICLE 8, the other Party shall be entitled to seek, in addition to any other right or remedy it may have, at law or in equity, a temporary injunction, without the posting of any bond or other security, enjoining or restraining the breaching Party from any violation or threatened violation of this ARTICLE 8.</w:t>
      </w:r>
    </w:p>
    <w:p>
      <w:pPr>
        <w:spacing w:after="0" w:line="157" w:lineRule="exact"/>
        <w:rPr>
          <w:sz w:val="20"/>
          <w:szCs w:val="20"/>
          <w:color w:val="auto"/>
        </w:rPr>
      </w:pPr>
    </w:p>
    <w:p>
      <w:pPr>
        <w:jc w:val="both"/>
        <w:ind w:firstLine="646"/>
        <w:spacing w:after="0" w:line="261"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Publications</w:t>
      </w:r>
      <w:r>
        <w:rPr>
          <w:rFonts w:ascii="Arial" w:cs="Arial" w:eastAsia="Arial" w:hAnsi="Arial"/>
          <w:sz w:val="20"/>
          <w:szCs w:val="20"/>
          <w:color w:val="auto"/>
        </w:rPr>
        <w:t>. Licensee may publish the scientific results of activities undertaken by either Party, any of its Affiliates or any Sublicensee (or, with respect to INFI, any licensee or sublicensee) with respect to the Research, Development, Manufacture and Commercialization of the IPI-145 Compound or IPI-145 Product. Except to the extent required by applicable Law, INFI shall not publish scientific or other results of activities undertaken by INFI with respect to the Research, Development, Manufacture and Commercialization of the IPI-145 Compound or the IPI-145 Product without the prior written consent of Licensee.</w:t>
      </w:r>
    </w:p>
    <w:p>
      <w:pPr>
        <w:spacing w:after="0" w:line="168" w:lineRule="exact"/>
        <w:rPr>
          <w:sz w:val="20"/>
          <w:szCs w:val="20"/>
          <w:color w:val="auto"/>
        </w:rPr>
      </w:pPr>
    </w:p>
    <w:p>
      <w:pPr>
        <w:jc w:val="both"/>
        <w:ind w:firstLine="646"/>
        <w:spacing w:after="0" w:line="261"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Existing Third Party Agreements</w:t>
      </w:r>
      <w:r>
        <w:rPr>
          <w:rFonts w:ascii="Arial" w:cs="Arial" w:eastAsia="Arial" w:hAnsi="Arial"/>
          <w:sz w:val="20"/>
          <w:szCs w:val="20"/>
          <w:color w:val="auto"/>
        </w:rPr>
        <w:t>. The provisions of this ARTICLE 8 are subject to the terms of each applicable INFI Third Party Agreement or INFI Product Related Contract and shall be interpreted in a manner that is consistent with the rights of the relevant Third Party under the relevant INFI Third Party Agreement or INFI Product Related Contract. Notwithstanding anything to the contrary in this ARTICLE 8, Licensee shall comply with all applicable restrictions in the relevant INFI Third Party Agreements with respect to Licensee’s publication or disclosure of the results of any of the activities conducted by Licensee under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90" w:name="page191"/>
    <w:bookmarkEnd w:id="190"/>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Survival</w:t>
      </w:r>
      <w:r>
        <w:rPr>
          <w:rFonts w:ascii="Arial" w:cs="Arial" w:eastAsia="Arial" w:hAnsi="Arial"/>
          <w:sz w:val="22"/>
          <w:szCs w:val="22"/>
          <w:color w:val="auto"/>
        </w:rPr>
        <w:t>. The confidentiality and non-use obligations set forth in this ARTICLE 8 shall survive for the longer of (a) [* * *] years after the Term or (b) with respect to any Confidential Information subject to any obligations to the relevant Third Party under any INFI Third Party Agreement or INFI Product Related Contract, such longer period as may be required under such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87"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Representations and Warranties of Both Parties</w:t>
      </w:r>
      <w:r>
        <w:rPr>
          <w:rFonts w:ascii="Arial" w:cs="Arial" w:eastAsia="Arial" w:hAnsi="Arial"/>
          <w:sz w:val="22"/>
          <w:szCs w:val="22"/>
          <w:color w:val="auto"/>
        </w:rPr>
        <w:t>. Each Party hereby represents and warrants to the other Party, as of the Effective Date, that:</w:t>
      </w:r>
    </w:p>
    <w:p>
      <w:pPr>
        <w:spacing w:after="0" w:line="175"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9.1.1 such Party is duly organized, validly existing and in good standing under the Laws of the jurisdiction of its incorporation and has full corporate power and authority to enter into this Agreement and to carry out the provisions hereof;</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jc w:val="right"/>
              <w:ind w:right="372"/>
              <w:spacing w:after="0"/>
              <w:rPr>
                <w:sz w:val="20"/>
                <w:szCs w:val="20"/>
                <w:color w:val="auto"/>
              </w:rPr>
            </w:pPr>
            <w:r>
              <w:rPr>
                <w:rFonts w:ascii="Arial" w:cs="Arial" w:eastAsia="Arial" w:hAnsi="Arial"/>
                <w:sz w:val="22"/>
                <w:szCs w:val="22"/>
                <w:color w:val="auto"/>
              </w:rPr>
              <w:t>9.1.2</w:t>
            </w:r>
          </w:p>
        </w:tc>
        <w:tc>
          <w:tcPr>
            <w:tcW w:w="7860" w:type="dxa"/>
            <w:vAlign w:val="bottom"/>
          </w:tcPr>
          <w:p>
            <w:pPr>
              <w:ind w:left="500"/>
              <w:spacing w:after="0"/>
              <w:rPr>
                <w:sz w:val="20"/>
                <w:szCs w:val="20"/>
                <w:color w:val="auto"/>
              </w:rPr>
            </w:pPr>
            <w:r>
              <w:rPr>
                <w:rFonts w:ascii="Arial" w:cs="Arial" w:eastAsia="Arial" w:hAnsi="Arial"/>
                <w:sz w:val="22"/>
                <w:szCs w:val="22"/>
                <w:color w:val="auto"/>
                <w:w w:val="90"/>
              </w:rPr>
              <w:t>such Party has taken all necessary action on its part to authorize the execution and</w:t>
            </w:r>
          </w:p>
        </w:tc>
      </w:tr>
      <w:tr>
        <w:trPr>
          <w:trHeight w:val="274"/>
        </w:trPr>
        <w:tc>
          <w:tcPr>
            <w:tcW w:w="10060" w:type="dxa"/>
            <w:vAlign w:val="bottom"/>
            <w:gridSpan w:val="2"/>
          </w:tcPr>
          <w:p>
            <w:pPr>
              <w:spacing w:after="0"/>
              <w:rPr>
                <w:sz w:val="20"/>
                <w:szCs w:val="20"/>
                <w:color w:val="auto"/>
              </w:rPr>
            </w:pPr>
            <w:r>
              <w:rPr>
                <w:rFonts w:ascii="Arial" w:cs="Arial" w:eastAsia="Arial" w:hAnsi="Arial"/>
                <w:sz w:val="22"/>
                <w:szCs w:val="22"/>
                <w:color w:val="auto"/>
              </w:rPr>
              <w:t>delivery of this Agreement and the performance of its obligations hereunder;</w:t>
            </w:r>
          </w:p>
        </w:tc>
      </w:tr>
      <w:tr>
        <w:trPr>
          <w:trHeight w:val="444"/>
        </w:trPr>
        <w:tc>
          <w:tcPr>
            <w:tcW w:w="2200" w:type="dxa"/>
            <w:vAlign w:val="bottom"/>
          </w:tcPr>
          <w:p>
            <w:pPr>
              <w:jc w:val="right"/>
              <w:ind w:right="372"/>
              <w:spacing w:after="0"/>
              <w:rPr>
                <w:sz w:val="20"/>
                <w:szCs w:val="20"/>
                <w:color w:val="auto"/>
              </w:rPr>
            </w:pPr>
            <w:r>
              <w:rPr>
                <w:rFonts w:ascii="Arial" w:cs="Arial" w:eastAsia="Arial" w:hAnsi="Arial"/>
                <w:sz w:val="22"/>
                <w:szCs w:val="22"/>
                <w:color w:val="auto"/>
              </w:rPr>
              <w:t>9.1.3</w:t>
            </w:r>
          </w:p>
        </w:tc>
        <w:tc>
          <w:tcPr>
            <w:tcW w:w="7860" w:type="dxa"/>
            <w:vAlign w:val="bottom"/>
          </w:tcPr>
          <w:p>
            <w:pPr>
              <w:ind w:left="500"/>
              <w:spacing w:after="0"/>
              <w:rPr>
                <w:sz w:val="20"/>
                <w:szCs w:val="20"/>
                <w:color w:val="auto"/>
              </w:rPr>
            </w:pPr>
            <w:r>
              <w:rPr>
                <w:rFonts w:ascii="Arial" w:cs="Arial" w:eastAsia="Arial" w:hAnsi="Arial"/>
                <w:sz w:val="22"/>
                <w:szCs w:val="22"/>
                <w:color w:val="auto"/>
                <w:w w:val="91"/>
              </w:rPr>
              <w:t>this Agreement has been duly executed and delivered on behalf of such Party, and</w:t>
            </w:r>
          </w:p>
        </w:tc>
      </w:tr>
    </w:tbl>
    <w:p>
      <w:pPr>
        <w:spacing w:after="0"/>
        <w:rPr>
          <w:sz w:val="20"/>
          <w:szCs w:val="20"/>
          <w:color w:val="auto"/>
        </w:rPr>
      </w:pPr>
      <w:r>
        <w:rPr>
          <w:rFonts w:ascii="Arial" w:cs="Arial" w:eastAsia="Arial" w:hAnsi="Arial"/>
          <w:sz w:val="22"/>
          <w:szCs w:val="22"/>
          <w:color w:val="auto"/>
        </w:rPr>
        <w:t>constitutes a legal, valid, binding obligation, enforceable against it in accordance with the terms hereof;</w:t>
      </w:r>
    </w:p>
    <w:p>
      <w:pPr>
        <w:spacing w:after="0" w:line="187" w:lineRule="exact"/>
        <w:rPr>
          <w:sz w:val="20"/>
          <w:szCs w:val="20"/>
          <w:color w:val="auto"/>
        </w:rPr>
      </w:pPr>
    </w:p>
    <w:p>
      <w:pPr>
        <w:jc w:val="both"/>
        <w:ind w:firstLine="1292"/>
        <w:spacing w:after="0" w:line="237" w:lineRule="auto"/>
        <w:rPr>
          <w:sz w:val="20"/>
          <w:szCs w:val="20"/>
          <w:color w:val="auto"/>
        </w:rPr>
      </w:pPr>
      <w:r>
        <w:rPr>
          <w:rFonts w:ascii="Arial" w:cs="Arial" w:eastAsia="Arial" w:hAnsi="Arial"/>
          <w:sz w:val="22"/>
          <w:szCs w:val="22"/>
          <w:color w:val="auto"/>
        </w:rPr>
        <w:t>9.1.4 the execution, delivery and performance of this Agreement by such Party do not conflict with any agreement or any provision thereof, or any instrument or understanding, oral or written, to which it is a party or by which it is bound, nor violate any Law of any Governmental Authority having jurisdiction over such Party;</w:t>
      </w:r>
    </w:p>
    <w:p>
      <w:pPr>
        <w:spacing w:after="0" w:line="185" w:lineRule="exact"/>
        <w:rPr>
          <w:sz w:val="20"/>
          <w:szCs w:val="20"/>
          <w:color w:val="auto"/>
        </w:rPr>
      </w:pPr>
    </w:p>
    <w:p>
      <w:pPr>
        <w:jc w:val="both"/>
        <w:ind w:firstLine="1292"/>
        <w:spacing w:after="0" w:line="261" w:lineRule="auto"/>
        <w:rPr>
          <w:sz w:val="20"/>
          <w:szCs w:val="20"/>
          <w:color w:val="auto"/>
        </w:rPr>
      </w:pPr>
      <w:r>
        <w:rPr>
          <w:rFonts w:ascii="Arial" w:cs="Arial" w:eastAsia="Arial" w:hAnsi="Arial"/>
          <w:sz w:val="20"/>
          <w:szCs w:val="20"/>
          <w:color w:val="auto"/>
        </w:rPr>
        <w:t>9.1.5 no government authorization, consent, approval, license, exemption of or filing or registration with any court or governmental department, commission, board, bureau, agency or instrumentality, domestic or foreign, under any applicable Laws currently in effect, is or will be necessary for, or in connection with, the transaction contemplated by this Agreement, or for the performance by it of its obligations under this Agreement, except as necessary to conduct clinical studies, to transfer the INDs and other Regulatory Documentation in accordance with Section 3.2 or to seek or obtain Regulatory Approvals; and</w:t>
      </w:r>
    </w:p>
    <w:p>
      <w:pPr>
        <w:spacing w:after="0" w:line="168"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20"/>
          <w:szCs w:val="20"/>
          <w:color w:val="auto"/>
        </w:rPr>
        <w:t>9.1.6 neither it nor any of its or its Affiliates’ employees or agents performing hereunder has ever been, or is currently: (a) debarred under 21 U.S.C. § 335a; (b) excluded, debarred, suspended, or otherwise ineligible to participate in Federal health care programs or in Federal procurement or non-procurement programs; (c) listed on the FDA’s Disqualified and Restricted Lists for clinical investigators; or (d) convicted of a criminal offense that falls within the scope of 42 U.S.C. § 1320a-7(a), even if not yet excluded, debarred, suspended, or otherwise declared ineligible. If Licensee becomes aware that it or any of its or its Affiliates’ employees or agents performing hereunder is the subject of any investigation or proceeding that could lead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91" w:name="page192"/>
    <w:bookmarkEnd w:id="191"/>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left="1"/>
        <w:spacing w:after="0" w:line="239" w:lineRule="auto"/>
        <w:rPr>
          <w:sz w:val="20"/>
          <w:szCs w:val="20"/>
          <w:color w:val="auto"/>
        </w:rPr>
      </w:pPr>
      <w:r>
        <w:rPr>
          <w:rFonts w:ascii="Arial" w:cs="Arial" w:eastAsia="Arial" w:hAnsi="Arial"/>
          <w:sz w:val="22"/>
          <w:szCs w:val="22"/>
          <w:color w:val="auto"/>
        </w:rPr>
        <w:t>such Person becoming a debarred entity or individual, an excluded entity or individual or a convicted entity or individual, Licensee shall immediately notify INFI, and INFI shall have the right to immediately terminate this Agreement.</w:t>
      </w:r>
    </w:p>
    <w:p>
      <w:pPr>
        <w:spacing w:after="0" w:line="186" w:lineRule="exact"/>
        <w:rPr>
          <w:sz w:val="20"/>
          <w:szCs w:val="20"/>
          <w:color w:val="auto"/>
        </w:rPr>
      </w:pPr>
    </w:p>
    <w:p>
      <w:pPr>
        <w:ind w:left="641"/>
        <w:spacing w:after="0"/>
        <w:tabs>
          <w:tab w:leader="none" w:pos="1341"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Representations and Warranties of INFI</w:t>
      </w:r>
      <w:r>
        <w:rPr>
          <w:rFonts w:ascii="Arial" w:cs="Arial" w:eastAsia="Arial" w:hAnsi="Arial"/>
          <w:sz w:val="19"/>
          <w:szCs w:val="19"/>
          <w:color w:val="auto"/>
        </w:rPr>
        <w:t>. INFI hereby represents and warrants to Licensee, as of the</w:t>
      </w:r>
    </w:p>
    <w:p>
      <w:pPr>
        <w:spacing w:after="0" w:line="7" w:lineRule="exact"/>
        <w:rPr>
          <w:sz w:val="20"/>
          <w:szCs w:val="20"/>
          <w:color w:val="auto"/>
        </w:rPr>
      </w:pPr>
    </w:p>
    <w:p>
      <w:pPr>
        <w:ind w:left="1"/>
        <w:spacing w:after="0"/>
        <w:rPr>
          <w:sz w:val="20"/>
          <w:szCs w:val="20"/>
          <w:color w:val="auto"/>
        </w:rPr>
      </w:pPr>
      <w:r>
        <w:rPr>
          <w:rFonts w:ascii="Arial" w:cs="Arial" w:eastAsia="Arial" w:hAnsi="Arial"/>
          <w:sz w:val="22"/>
          <w:szCs w:val="22"/>
          <w:color w:val="auto"/>
        </w:rPr>
        <w:t>Effective Date:</w:t>
      </w:r>
    </w:p>
    <w:p>
      <w:pPr>
        <w:spacing w:after="0" w:line="187" w:lineRule="exact"/>
        <w:rPr>
          <w:sz w:val="20"/>
          <w:szCs w:val="20"/>
          <w:color w:val="auto"/>
        </w:rPr>
      </w:pPr>
    </w:p>
    <w:p>
      <w:pPr>
        <w:jc w:val="both"/>
        <w:ind w:left="1" w:firstLine="1292"/>
        <w:spacing w:after="0" w:line="257" w:lineRule="auto"/>
        <w:rPr>
          <w:sz w:val="20"/>
          <w:szCs w:val="20"/>
          <w:color w:val="auto"/>
        </w:rPr>
      </w:pPr>
      <w:r>
        <w:rPr>
          <w:rFonts w:ascii="Arial" w:cs="Arial" w:eastAsia="Arial" w:hAnsi="Arial"/>
          <w:sz w:val="20"/>
          <w:szCs w:val="20"/>
          <w:color w:val="auto"/>
        </w:rPr>
        <w:t>9.2.1 INFI is the sole and exclusive owner of the entire right, title and interest in the INFI Prosecution Patent Rights. INFI is the sole and exclusive licensee of the INK Prosecution Patent Rights. INFI is a non-exclusive licensee of the INK Non-Prosecution Patent Rights. With respect to the INFI Prosecution Patent Rights and the INK Prosecution Patent Rights, such Patent Rights are (i) subsisting and in good standing, and</w:t>
      </w:r>
    </w:p>
    <w:p>
      <w:pPr>
        <w:spacing w:after="0" w:line="2" w:lineRule="exact"/>
        <w:rPr>
          <w:sz w:val="20"/>
          <w:szCs w:val="20"/>
          <w:color w:val="auto"/>
        </w:rPr>
      </w:pPr>
    </w:p>
    <w:p>
      <w:pPr>
        <w:jc w:val="both"/>
        <w:ind w:left="1" w:hanging="1"/>
        <w:spacing w:after="0" w:line="234" w:lineRule="auto"/>
        <w:tabs>
          <w:tab w:leader="none" w:pos="341" w:val="left"/>
        </w:tabs>
        <w:numPr>
          <w:ilvl w:val="0"/>
          <w:numId w:val="83"/>
        </w:numPr>
        <w:rPr>
          <w:rFonts w:ascii="Arial" w:cs="Arial" w:eastAsia="Arial" w:hAnsi="Arial"/>
          <w:sz w:val="22"/>
          <w:szCs w:val="22"/>
          <w:color w:val="auto"/>
        </w:rPr>
      </w:pPr>
      <w:r>
        <w:rPr>
          <w:rFonts w:ascii="Arial" w:cs="Arial" w:eastAsia="Arial" w:hAnsi="Arial"/>
          <w:sz w:val="22"/>
          <w:szCs w:val="22"/>
          <w:color w:val="auto"/>
        </w:rPr>
        <w:t>being diligently prosecuted in the respective patent offices in the Territory in accordance with Law, and have been filed and maintained properly and correctly and all applicable fees have been paid on or before the due date for payment.</w:t>
      </w:r>
    </w:p>
    <w:p>
      <w:pPr>
        <w:spacing w:after="0" w:line="184" w:lineRule="exact"/>
        <w:rPr>
          <w:sz w:val="20"/>
          <w:szCs w:val="20"/>
          <w:color w:val="auto"/>
        </w:rPr>
      </w:pPr>
    </w:p>
    <w:p>
      <w:pPr>
        <w:jc w:val="both"/>
        <w:ind w:left="1" w:firstLine="1292"/>
        <w:spacing w:after="0" w:line="237" w:lineRule="auto"/>
        <w:rPr>
          <w:sz w:val="20"/>
          <w:szCs w:val="20"/>
          <w:color w:val="auto"/>
        </w:rPr>
      </w:pPr>
      <w:r>
        <w:rPr>
          <w:rFonts w:ascii="Arial" w:cs="Arial" w:eastAsia="Arial" w:hAnsi="Arial"/>
          <w:sz w:val="22"/>
          <w:szCs w:val="22"/>
          <w:color w:val="auto"/>
        </w:rPr>
        <w:t>9.2.2 To the Knowledge of INFI’s General Counsel and INFI’s Chief Patent Counsel, all Know-How being used by INFI to Research, Develop, Manufacture and Commercialize the IPI-145 Compound and IPI-145 Products as of the Effective Date (a) constitutes Duvelisib Know-How and is being licensed to Licensee hereunder or (b) is generally known to the public.</w:t>
      </w:r>
    </w:p>
    <w:p>
      <w:pPr>
        <w:spacing w:after="0" w:line="185" w:lineRule="exact"/>
        <w:rPr>
          <w:sz w:val="20"/>
          <w:szCs w:val="20"/>
          <w:color w:val="auto"/>
        </w:rPr>
      </w:pPr>
    </w:p>
    <w:p>
      <w:pPr>
        <w:jc w:val="both"/>
        <w:ind w:left="1" w:firstLine="1292"/>
        <w:spacing w:after="0" w:line="261" w:lineRule="auto"/>
        <w:rPr>
          <w:sz w:val="20"/>
          <w:szCs w:val="20"/>
          <w:color w:val="auto"/>
        </w:rPr>
      </w:pPr>
      <w:r>
        <w:rPr>
          <w:rFonts w:ascii="Arial" w:cs="Arial" w:eastAsia="Arial" w:hAnsi="Arial"/>
          <w:sz w:val="20"/>
          <w:szCs w:val="20"/>
          <w:color w:val="auto"/>
        </w:rPr>
        <w:t>9.2.3 To the Knowledge of INFI’s Vice President, Regulatory Affairs and Quality Assurance, true, complete, and correct copies of: (a) all Regulatory Documentation existing as of the Effective Date relating to the IPI-145 Product in the Field, that is to be transferred to Licensee pursuant to the Transition Plan; and (b) all material adverse information with respect to the safety and efficacy of the IPI-145 Compound known to INFI as of the Effective Date, to be transferred to Licensee pursuant to the Transition Plan, in each case ((a) and (b)) have been or will be provided or made available to Licensee prior to the end of the Transition Period.</w:t>
      </w:r>
    </w:p>
    <w:p>
      <w:pPr>
        <w:spacing w:after="0" w:line="168" w:lineRule="exact"/>
        <w:rPr>
          <w:sz w:val="20"/>
          <w:szCs w:val="20"/>
          <w:color w:val="auto"/>
        </w:rPr>
      </w:pPr>
    </w:p>
    <w:p>
      <w:pPr>
        <w:jc w:val="both"/>
        <w:ind w:left="1" w:firstLine="1292"/>
        <w:spacing w:after="0" w:line="260" w:lineRule="auto"/>
        <w:rPr>
          <w:sz w:val="20"/>
          <w:szCs w:val="20"/>
          <w:color w:val="auto"/>
        </w:rPr>
      </w:pPr>
      <w:r>
        <w:rPr>
          <w:rFonts w:ascii="Arial" w:cs="Arial" w:eastAsia="Arial" w:hAnsi="Arial"/>
          <w:sz w:val="20"/>
          <w:szCs w:val="20"/>
          <w:color w:val="auto"/>
        </w:rPr>
        <w:t>9.2.4 There are no claims, judgments, or settlements against, or amounts with respect thereto, owed by INFI or any of its Affiliates relating to the INFI Prosecution Patent Rights or INK Prosecution Patent Rights existing as of the Effective Date (the “</w:t>
      </w:r>
      <w:r>
        <w:rPr>
          <w:rFonts w:ascii="Arial" w:cs="Arial" w:eastAsia="Arial" w:hAnsi="Arial"/>
          <w:sz w:val="20"/>
          <w:szCs w:val="20"/>
          <w:u w:val="single" w:color="auto"/>
          <w:color w:val="auto"/>
        </w:rPr>
        <w:t>Existing Patents</w:t>
      </w:r>
      <w:r>
        <w:rPr>
          <w:rFonts w:ascii="Arial" w:cs="Arial" w:eastAsia="Arial" w:hAnsi="Arial"/>
          <w:sz w:val="20"/>
          <w:szCs w:val="20"/>
          <w:color w:val="auto"/>
        </w:rPr>
        <w:t>”) or the Duvelisib Know-How. No claim or litigation has been brought or, to the Knowledge of INFI’s General Counsel and INFI’s Chief Patent Counsel, threatened by any Person (a) alleging that Existing Patents are invalid or unenforceable, (b) asserting the misuse, or non-infringement of any of the Existing Patents, (c) challenging INFI’s Control of the Existing Patents or (d) alleging misappropriation of the Duvelisib Know-How.</w:t>
      </w:r>
    </w:p>
    <w:p>
      <w:pPr>
        <w:spacing w:after="0" w:line="167" w:lineRule="exact"/>
        <w:rPr>
          <w:sz w:val="20"/>
          <w:szCs w:val="20"/>
          <w:color w:val="auto"/>
        </w:rPr>
      </w:pPr>
    </w:p>
    <w:p>
      <w:pPr>
        <w:jc w:val="both"/>
        <w:ind w:left="1" w:firstLine="1292"/>
        <w:spacing w:after="0" w:line="234" w:lineRule="auto"/>
        <w:rPr>
          <w:sz w:val="20"/>
          <w:szCs w:val="20"/>
          <w:color w:val="auto"/>
        </w:rPr>
      </w:pPr>
      <w:r>
        <w:rPr>
          <w:rFonts w:ascii="Arial" w:cs="Arial" w:eastAsia="Arial" w:hAnsi="Arial"/>
          <w:sz w:val="22"/>
          <w:szCs w:val="22"/>
          <w:color w:val="auto"/>
        </w:rPr>
        <w:t>9.2.5 Except as set forth in the INFI Third Party Agreements, the Existing Patent Rights are free and clear of any liens, charges, encumbrances or, to the Knowledge of INFI’s General Counsel and INFI’s Chief Patent Counsel, claims of ownership by an Third Party, other than (a) non-exclusive licenses granted by Infinity to Third Parties, which grants are not in conflict with, or do not preclude Licensee from exercising, the licenses granted to Licensee hereunder, or of the nature of material transfer agreements, clinical trial agreements and manufacturing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92" w:name="page193"/>
    <w:bookmarkEnd w:id="192"/>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left="1"/>
        <w:spacing w:after="0" w:line="275" w:lineRule="auto"/>
        <w:rPr>
          <w:sz w:val="20"/>
          <w:szCs w:val="20"/>
          <w:color w:val="auto"/>
        </w:rPr>
      </w:pPr>
      <w:r>
        <w:rPr>
          <w:rFonts w:ascii="Arial" w:cs="Arial" w:eastAsia="Arial" w:hAnsi="Arial"/>
          <w:sz w:val="20"/>
          <w:szCs w:val="20"/>
          <w:color w:val="auto"/>
        </w:rPr>
        <w:t>agreements, which will not adversely affect Licensee’s ability to Develop, Manufacture or Commercialize the IPI-145 Products in accordance with this Agreement and (b) the rights of the relevant Third Party Grantor and their licensors. INFI is entitled to grant the licenses specified in this Agreement.</w:t>
      </w:r>
    </w:p>
    <w:p>
      <w:pPr>
        <w:spacing w:after="0" w:line="152" w:lineRule="exact"/>
        <w:rPr>
          <w:sz w:val="20"/>
          <w:szCs w:val="20"/>
          <w:color w:val="auto"/>
        </w:rPr>
      </w:pPr>
    </w:p>
    <w:p>
      <w:pPr>
        <w:jc w:val="both"/>
        <w:ind w:left="1" w:firstLine="1292"/>
        <w:spacing w:after="0" w:line="237" w:lineRule="auto"/>
        <w:rPr>
          <w:sz w:val="20"/>
          <w:szCs w:val="20"/>
          <w:color w:val="auto"/>
        </w:rPr>
      </w:pPr>
      <w:r>
        <w:rPr>
          <w:rFonts w:ascii="Arial" w:cs="Arial" w:eastAsia="Arial" w:hAnsi="Arial"/>
          <w:sz w:val="22"/>
          <w:szCs w:val="22"/>
          <w:color w:val="auto"/>
        </w:rPr>
        <w:t>9.2.6 No written claim of infringement of the Patent Rights or misappropriation of the Know-How of any Third Party has been made, or to the Knowledge of INFI’s General Counsel and INFI’s Patent Counsel, threatened, against INFI or any of its Affiliates with respect to the Research, Development, Manufacture or Commercialization of the IPI-145 Compound or IPI-145 Products.</w:t>
      </w:r>
    </w:p>
    <w:p>
      <w:pPr>
        <w:spacing w:after="0" w:line="185" w:lineRule="exact"/>
        <w:rPr>
          <w:sz w:val="20"/>
          <w:szCs w:val="20"/>
          <w:color w:val="auto"/>
        </w:rPr>
      </w:pPr>
    </w:p>
    <w:p>
      <w:pPr>
        <w:jc w:val="both"/>
        <w:ind w:left="1" w:firstLine="1292"/>
        <w:spacing w:after="0" w:line="237" w:lineRule="auto"/>
        <w:rPr>
          <w:sz w:val="20"/>
          <w:szCs w:val="20"/>
          <w:color w:val="auto"/>
        </w:rPr>
      </w:pPr>
      <w:r>
        <w:rPr>
          <w:rFonts w:ascii="Arial" w:cs="Arial" w:eastAsia="Arial" w:hAnsi="Arial"/>
          <w:sz w:val="22"/>
          <w:szCs w:val="22"/>
          <w:color w:val="auto"/>
        </w:rPr>
        <w:t>9.2.7 There are no judgments or settlements against or owed by INFI or, to the Knowledge of INFI’s General Counsel and INFI’s Patent Counsel, pending litigation against INFI or litigation threatened against INFI in writing, in each case related to the IPI-145 Product, including any relating to any Regulatory Documentation Controlled by INFI as of the Effective Date.</w:t>
      </w:r>
    </w:p>
    <w:p>
      <w:pPr>
        <w:spacing w:after="0" w:line="185" w:lineRule="exact"/>
        <w:rPr>
          <w:sz w:val="20"/>
          <w:szCs w:val="20"/>
          <w:color w:val="auto"/>
        </w:rPr>
      </w:pPr>
    </w:p>
    <w:p>
      <w:pPr>
        <w:jc w:val="both"/>
        <w:ind w:left="1" w:firstLine="1292"/>
        <w:spacing w:after="0" w:line="268" w:lineRule="auto"/>
        <w:rPr>
          <w:sz w:val="20"/>
          <w:szCs w:val="20"/>
          <w:color w:val="auto"/>
        </w:rPr>
      </w:pPr>
      <w:r>
        <w:rPr>
          <w:rFonts w:ascii="Arial" w:cs="Arial" w:eastAsia="Arial" w:hAnsi="Arial"/>
          <w:sz w:val="20"/>
          <w:szCs w:val="20"/>
          <w:color w:val="auto"/>
        </w:rPr>
        <w:t>9.2.8 Neither INFI nor any of its Affiliates is or has been a party to any agreement with the U.S. federal government or an agency thereof pursuant to which the U.S. federal government or such agency provided funding for the Development of the IPI-145 Compound or IPI-145 Product, and the inventions claimed or covered by the Existing Patents are not a “subject invention” as that term is described in 35 U.S.C. Section 201(f).</w:t>
      </w:r>
    </w:p>
    <w:p>
      <w:pPr>
        <w:spacing w:after="0" w:line="157" w:lineRule="exact"/>
        <w:rPr>
          <w:sz w:val="20"/>
          <w:szCs w:val="20"/>
          <w:color w:val="auto"/>
        </w:rPr>
      </w:pPr>
    </w:p>
    <w:p>
      <w:pPr>
        <w:jc w:val="both"/>
        <w:ind w:left="1" w:firstLine="1292"/>
        <w:spacing w:after="0" w:line="257" w:lineRule="auto"/>
        <w:rPr>
          <w:sz w:val="20"/>
          <w:szCs w:val="20"/>
          <w:color w:val="auto"/>
        </w:rPr>
      </w:pPr>
      <w:r>
        <w:rPr>
          <w:rFonts w:ascii="Arial" w:cs="Arial" w:eastAsia="Arial" w:hAnsi="Arial"/>
          <w:sz w:val="20"/>
          <w:szCs w:val="20"/>
          <w:color w:val="auto"/>
        </w:rPr>
        <w:t>9.2.9 (a) The INFI Third Party Agreements are the only agreements between INFI and any Third Party pursuant to which INFI has in-licensed any Patent Rights or pursuant to which INFI owes any Third Party any royalties with respect to IPI-145 Compound or IPI-145 Products; (b) prior to the Effective Date, INFI has provided Licensee with an opportunity to review complete and correct copies of the INFI Third Party Agreements;</w:t>
      </w:r>
    </w:p>
    <w:p>
      <w:pPr>
        <w:spacing w:after="0" w:line="2" w:lineRule="exact"/>
        <w:rPr>
          <w:sz w:val="20"/>
          <w:szCs w:val="20"/>
          <w:color w:val="auto"/>
        </w:rPr>
      </w:pPr>
    </w:p>
    <w:p>
      <w:pPr>
        <w:jc w:val="both"/>
        <w:ind w:left="1" w:hanging="1"/>
        <w:spacing w:after="0" w:line="256" w:lineRule="auto"/>
        <w:tabs>
          <w:tab w:leader="none" w:pos="321" w:val="left"/>
        </w:tabs>
        <w:numPr>
          <w:ilvl w:val="0"/>
          <w:numId w:val="84"/>
        </w:numPr>
        <w:rPr>
          <w:rFonts w:ascii="Arial" w:cs="Arial" w:eastAsia="Arial" w:hAnsi="Arial"/>
          <w:sz w:val="20"/>
          <w:szCs w:val="20"/>
          <w:color w:val="auto"/>
        </w:rPr>
      </w:pPr>
      <w:r>
        <w:rPr>
          <w:rFonts w:ascii="Arial" w:cs="Arial" w:eastAsia="Arial" w:hAnsi="Arial"/>
          <w:sz w:val="20"/>
          <w:szCs w:val="20"/>
          <w:color w:val="auto"/>
        </w:rPr>
        <w:t>to the Knowledge of INFI’s General Counsel and INFI’s Patent Counsel, such INFI Third Party Agreements remain in full force and effect as of the Effective Date; (d) as of the Effective Date, INFI is in material compliance with the terms of such INFI Third Party Agreements and, to the Knowledge of INFI’s General Counsel and INFI’s Patent Counsel, the Third Party Grantors are in material compliance with the terms of the applicable INFI Third Party Agreements; and (e) INFI has obtained any and all consents required under the INFI Third Party Agreements as may be necessary to perform its obligations under this Agreement. Without limiting this Section 9.2.9, the terms of this Agreement do not materially breach or constitute a material default under the terms of any INFI Third Party Agreement.</w:t>
      </w:r>
    </w:p>
    <w:p>
      <w:pPr>
        <w:spacing w:after="0" w:line="173" w:lineRule="exact"/>
        <w:rPr>
          <w:sz w:val="20"/>
          <w:szCs w:val="20"/>
          <w:color w:val="auto"/>
        </w:rPr>
      </w:pPr>
    </w:p>
    <w:p>
      <w:pPr>
        <w:jc w:val="both"/>
        <w:ind w:left="1" w:firstLine="1292"/>
        <w:spacing w:after="0" w:line="235" w:lineRule="auto"/>
        <w:rPr>
          <w:sz w:val="20"/>
          <w:szCs w:val="20"/>
          <w:color w:val="auto"/>
        </w:rPr>
      </w:pPr>
      <w:r>
        <w:rPr>
          <w:rFonts w:ascii="Arial" w:cs="Arial" w:eastAsia="Arial" w:hAnsi="Arial"/>
          <w:sz w:val="22"/>
          <w:szCs w:val="22"/>
          <w:color w:val="auto"/>
        </w:rPr>
        <w:t>9.2.10 To the Knowledge of INFI’s Vice President, Regulatory Affairs and Quality Assurance, INFI and its Affiliates have generated, prepared, maintained, and retained all Regulatory Documentation that are required to be maintained or retained pursuant to and in material compliance with applicable Law, and have conducted in material compliance with applicable Law, including GLP and GCP, (a) all Development of the IPI-145 Compound 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93" w:name="page194"/>
    <w:bookmarkEnd w:id="193"/>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IPI-145 Products in the Field that they have conducted prior to the Effective Date and (b) all Research activities that are material to the receipt of Regulatory Approval for the IPI-145 Product.</w:t>
      </w:r>
    </w:p>
    <w:p>
      <w:pPr>
        <w:spacing w:after="0" w:line="175"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9.2.11 To the Knowledge of INFI’s General Counsel and INFI’s Chief Patent Counsel, no material breach of confidentiality has been committed by any Third Party with respect to the Duvelisib Know-How and INFI has used reasonable measures to protect the confidentiality thereof.</w:t>
      </w:r>
    </w:p>
    <w:p>
      <w:pPr>
        <w:spacing w:after="0" w:line="186" w:lineRule="exact"/>
        <w:rPr>
          <w:sz w:val="20"/>
          <w:szCs w:val="20"/>
          <w:color w:val="auto"/>
        </w:rPr>
      </w:pPr>
    </w:p>
    <w:p>
      <w:pPr>
        <w:jc w:val="both"/>
        <w:ind w:firstLine="1292"/>
        <w:spacing w:after="0" w:line="271" w:lineRule="auto"/>
        <w:rPr>
          <w:sz w:val="20"/>
          <w:szCs w:val="20"/>
          <w:color w:val="auto"/>
        </w:rPr>
      </w:pPr>
      <w:r>
        <w:rPr>
          <w:rFonts w:ascii="Arial" w:cs="Arial" w:eastAsia="Arial" w:hAnsi="Arial"/>
          <w:sz w:val="19"/>
          <w:szCs w:val="19"/>
          <w:color w:val="auto"/>
        </w:rPr>
        <w:t>9.2.12 (a) INFI has obtained from each of its Affiliates, employees and agents, and from the employees and agents of its Affiliates, who have participated in the Research, Development, Manufacture or Commercialization of the IPI-145 Compound or IPI-145 Products, rights to any and all Know-How created by such employees and agents that relates to the IPI-145 Compound or IPI-145 Products, such that Licensee shall, by virtue of this Agreement, receive from INFI, without payments beyond those required by ARTICLE 6, the licenses and other rights granted to Licensee hereunder, except with respect to those Persons from whom obtaining such rights is not customary, such as academic and non-profit Persons; (b) each Person who has or has had any ownership rights in or to any issued Existing Patents purported to be owned solely by INFI, has assigned and has executed an agreement assigning its entire right, title, and interest in and to such Existing Patent to INFI; and (c) to the Knowledge of INFI’s General Counsel and INFI’s Patent Counsel, no current officer, employee, agent, or consultant of INFI or any of its Affiliates is in violation of any term of any assignment or other agreement, in each case, regarding the protection of Patents Rights or other intellectual property or proprietary information of INFI or such Affiliate.</w:t>
      </w:r>
    </w:p>
    <w:p>
      <w:pPr>
        <w:spacing w:after="0" w:line="162"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20"/>
          <w:szCs w:val="20"/>
          <w:color w:val="auto"/>
        </w:rPr>
        <w:t>9.2.13 To the Knowledge of INFI’s Vice President, Regulatory Affairs and Quality Assurance, neither INFI nor any of its Affiliates, nor any of its or their respective officers, employees, or agents has made an untrue statement of material fact or fraudulent statement to the FDA or any other Regulatory Authority with respect to the Development of the IPI-145 Compound or the IPI-145 Products, failed to disclose a material fact required to be disclosed to the FDA or any other Regulatory Authority with respect to the Development of the IPI-145 Compound or the IPI-145 Products, or committed an act, made a statement, or failed to make a statement with respect to the Development of the IPI-145 Compound or the IPI-145 Products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spacing w:after="0" w:line="175"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20"/>
          <w:szCs w:val="20"/>
          <w:color w:val="auto"/>
        </w:rPr>
        <w:t>9.2.14 Any shares of Licensee Common Stock acquired by INFI in accordance with the terms of this Agreement will be acquired for investment for INFI’s own account, not as a nominee or agent, and not with a view to the resale or distribution of any part thereof, and INFI has no present intention of selling, granting any participation in, or otherwise distributing the same. INFI is aware of the Licensee’s business affairs and financial condition and has acquired sufficient information about the Licensee to reach an informed and knowledgeable decision to acquire such shares of Licensee Common Stock. INFI is an accredited investor as defined in Rule 501(a) of Regulation D promulgated under the Securities 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94" w:name="page195"/>
    <w:bookmarkEnd w:id="194"/>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Mutual Covenants</w:t>
      </w:r>
      <w:r>
        <w:rPr>
          <w:rFonts w:ascii="Arial" w:cs="Arial" w:eastAsia="Arial" w:hAnsi="Arial"/>
          <w:sz w:val="20"/>
          <w:szCs w:val="20"/>
          <w:color w:val="auto"/>
        </w:rPr>
        <w:t>. Each Party hereby covenants to the other Party that it shall not, during the Term, grant any right or license to any Third Party relating to any of the intellectual property rights it owns or Controls which would conflict with any of the rights or licenses granted or to be granted to the other Party hereunder.</w:t>
      </w:r>
    </w:p>
    <w:p>
      <w:pPr>
        <w:spacing w:after="0" w:line="15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Licensee Covenants</w:t>
      </w:r>
      <w:r>
        <w:rPr>
          <w:rFonts w:ascii="Arial" w:cs="Arial" w:eastAsia="Arial" w:hAnsi="Arial"/>
          <w:sz w:val="19"/>
          <w:szCs w:val="19"/>
          <w:color w:val="auto"/>
        </w:rPr>
        <w:t>. Licensee hereby covenants to INFI that:</w:t>
      </w:r>
    </w:p>
    <w:p>
      <w:pPr>
        <w:spacing w:after="0" w:line="205"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9.4.1 Licensee shall comply, and shall ensure that its Affiliates and the Sublicensees comply, with all applicable Laws in connection with their activities under this Agreement and the transactions contemplated hereby, including GCP, GLP and GMP and ICH guidelines;</w:t>
      </w:r>
    </w:p>
    <w:p>
      <w:pPr>
        <w:spacing w:after="0" w:line="186" w:lineRule="exact"/>
        <w:rPr>
          <w:sz w:val="20"/>
          <w:szCs w:val="20"/>
          <w:color w:val="auto"/>
        </w:rPr>
      </w:pPr>
    </w:p>
    <w:p>
      <w:pPr>
        <w:jc w:val="both"/>
        <w:ind w:firstLine="1292"/>
        <w:spacing w:after="0" w:line="235" w:lineRule="auto"/>
        <w:rPr>
          <w:sz w:val="20"/>
          <w:szCs w:val="20"/>
          <w:color w:val="auto"/>
        </w:rPr>
      </w:pPr>
      <w:r>
        <w:rPr>
          <w:rFonts w:ascii="Arial" w:cs="Arial" w:eastAsia="Arial" w:hAnsi="Arial"/>
          <w:sz w:val="22"/>
          <w:szCs w:val="22"/>
          <w:color w:val="auto"/>
        </w:rPr>
        <w:t>9.4.2 All employees, consultants, contractors and subcontractors of Licensee or its Affiliates working under this Agreement are and will be under the obligation to automatically assign all right, title and interest in and to their inventions, discoveries and other Know-How, whether or not patentable, and all Patent Rights and other intellectual property rights therein, to Licensee or its Affiliate as the sole owner thereof and waive all moral rights therein;</w:t>
      </w:r>
    </w:p>
    <w:p>
      <w:pPr>
        <w:spacing w:after="0" w:line="188"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9.4.3 Neither Licensee nor any of its Affiliates is subject to any non-compete or other restrictions that would impair its ability to Develop, Manufacture or Commercialize the IPI-145 Product in the Field in the Territory;</w:t>
      </w:r>
    </w:p>
    <w:p>
      <w:pPr>
        <w:spacing w:after="0" w:line="186"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Disclaimer</w:t>
      </w:r>
      <w:r>
        <w:rPr>
          <w:rFonts w:ascii="Arial" w:cs="Arial" w:eastAsia="Arial" w:hAnsi="Arial"/>
          <w:sz w:val="20"/>
          <w:szCs w:val="20"/>
          <w:color w:val="auto"/>
        </w:rPr>
        <w:t>. Except as otherwise expressly set forth in this Agreement, (a) NEITHER PARTY MAKES ANY REPRESENTATION OR EXTENDS ANY WARRANTY OF ANY KIND, EITHER EXPRESS OR IMPLIED, INCLUDING ANY WARRANTY THAT ANY PATENT RIGHTS ARE VALID OR ENFORCEABLE, AND (b) EACH PARTY EXPRESSLY DISCLAIMS ALL IMPLIED WARRANTIES OF MERCHANTABILITY, FITNESS FOR A PARTICULAR PURPOSE AND NONINFRINGEMENT. Without limiting the generality of the foregoing, except as otherwise set forth in this Agreement, INFI disclaims any warranties with regards to: (x) the success of the IPI-145 Compound or IPI-145 Product under this Agreement; (y) the safety or usefulness for any purpose of the technology or materials, including any compounds, it provides or discovers under this Agreement; and (z) the validity, enforceability, or non-infringement of any intellectual property rights or technology it provides or licenses to Licensee under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LIMITATION OF LIABILITY; INSURANCE</w:t>
      </w:r>
    </w:p>
    <w:p>
      <w:pPr>
        <w:spacing w:after="0" w:line="187" w:lineRule="exact"/>
        <w:rPr>
          <w:sz w:val="20"/>
          <w:szCs w:val="20"/>
          <w:color w:val="auto"/>
        </w:rPr>
      </w:pPr>
    </w:p>
    <w:p>
      <w:pPr>
        <w:jc w:val="both"/>
        <w:ind w:firstLine="646"/>
        <w:spacing w:after="0" w:line="234"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Indemnification by Licensee</w:t>
      </w:r>
      <w:r>
        <w:rPr>
          <w:rFonts w:ascii="Arial" w:cs="Arial" w:eastAsia="Arial" w:hAnsi="Arial"/>
          <w:sz w:val="22"/>
          <w:szCs w:val="22"/>
          <w:color w:val="auto"/>
        </w:rPr>
        <w:t>. Licensee shall defend, indemnify and hold harmless the INFI Indemnitees from and against any and all losses, damages, fees, expenses, settlement amounts or costs (including reasonable legal expense, attorneys’ fees and witness fees) (“</w:t>
      </w:r>
      <w:r>
        <w:rPr>
          <w:rFonts w:ascii="Arial" w:cs="Arial" w:eastAsia="Arial" w:hAnsi="Arial"/>
          <w:sz w:val="22"/>
          <w:szCs w:val="22"/>
          <w:u w:val="single" w:color="auto"/>
          <w:color w:val="auto"/>
        </w:rPr>
        <w:t>Losses</w:t>
      </w:r>
      <w:r>
        <w:rPr>
          <w:rFonts w:ascii="Arial" w:cs="Arial" w:eastAsia="Arial" w:hAnsi="Arial"/>
          <w:sz w:val="22"/>
          <w:szCs w:val="22"/>
          <w:color w:val="auto"/>
        </w:rPr>
        <w:t>”) relating to or in connection with a Third Party claim to the extent arising out of (a) the research, development, manufacture or commercialization of the IPI-145 Compound or the IPI-145 Product by Licensee, any Licensee Affiliate, any Sublicensee, INFI (to the extent properly acting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95" w:name="page196"/>
    <w:bookmarkEnd w:id="195"/>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left="1"/>
        <w:spacing w:after="0" w:line="257" w:lineRule="auto"/>
        <w:rPr>
          <w:sz w:val="20"/>
          <w:szCs w:val="20"/>
          <w:color w:val="auto"/>
        </w:rPr>
      </w:pPr>
      <w:r>
        <w:rPr>
          <w:rFonts w:ascii="Arial" w:cs="Arial" w:eastAsia="Arial" w:hAnsi="Arial"/>
          <w:sz w:val="20"/>
          <w:szCs w:val="20"/>
          <w:color w:val="auto"/>
        </w:rPr>
        <w:t xml:space="preserve">accordance with Licensee’s express direction) or any of their respective employees, consultants, contractors, subcontractors or agents after the Effective Date, including any actual or alleged death, personal bodily injury or damage to real or tangible personal property, or other product liability claimed to result from the IPI-145 Product Researched, Developed, Manufactured or Commercialized by or on behalf of Licensee or any of its Affiliates or any Sublicensee, (b) any breach by Licensee of any of its representations, warranties, covenants or obligations under this Agreement, or (c) any negligent act or omission or willful misconduct of Licensee, any of its Affiliates or any Sublicensee, or any of their respective employees, consultants, contractors, subcontractors or agents, in performing Licensee’s obligations or exercising Licensee’s rights under this Agreement; </w:t>
      </w:r>
      <w:r>
        <w:rPr>
          <w:rFonts w:ascii="Arial" w:cs="Arial" w:eastAsia="Arial" w:hAnsi="Arial"/>
          <w:sz w:val="20"/>
          <w:szCs w:val="20"/>
          <w:u w:val="single" w:color="auto"/>
          <w:color w:val="auto"/>
        </w:rPr>
        <w:t>except that</w:t>
      </w:r>
      <w:r>
        <w:rPr>
          <w:rFonts w:ascii="Arial" w:cs="Arial" w:eastAsia="Arial" w:hAnsi="Arial"/>
          <w:sz w:val="20"/>
          <w:szCs w:val="20"/>
          <w:color w:val="auto"/>
        </w:rPr>
        <w:t xml:space="preserve"> the foregoing indemnity shall not apply with respect to any INFI Indemnitee to the extent that any such Losses (x) are caused by the gross negligence or willful misconduct of any INFI Indemnitee, or (y) are otherwise subject to an obligation by INFI to indemnify the Licensee Indemnitees under Section 10.2.</w:t>
      </w:r>
    </w:p>
    <w:p>
      <w:pPr>
        <w:spacing w:after="0" w:line="171" w:lineRule="exact"/>
        <w:rPr>
          <w:sz w:val="20"/>
          <w:szCs w:val="20"/>
          <w:color w:val="auto"/>
        </w:rPr>
      </w:pPr>
    </w:p>
    <w:p>
      <w:pPr>
        <w:jc w:val="both"/>
        <w:ind w:left="1" w:firstLine="646"/>
        <w:spacing w:after="0" w:line="275"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Indemnification by INFI</w:t>
      </w:r>
      <w:r>
        <w:rPr>
          <w:rFonts w:ascii="Arial" w:cs="Arial" w:eastAsia="Arial" w:hAnsi="Arial"/>
          <w:sz w:val="19"/>
          <w:szCs w:val="19"/>
          <w:color w:val="auto"/>
        </w:rPr>
        <w:t>. INFI shall defend, indemnify and hold harmless the Licensee Indemnitees from and against any and all Losses relating to or in connection with a Third Party claim to the extent arising out of</w:t>
      </w:r>
    </w:p>
    <w:p>
      <w:pPr>
        <w:spacing w:after="0" w:line="2" w:lineRule="exact"/>
        <w:rPr>
          <w:sz w:val="20"/>
          <w:szCs w:val="20"/>
          <w:color w:val="auto"/>
        </w:rPr>
      </w:pPr>
    </w:p>
    <w:p>
      <w:pPr>
        <w:jc w:val="both"/>
        <w:ind w:left="1" w:hanging="1"/>
        <w:spacing w:after="0" w:line="255" w:lineRule="auto"/>
        <w:tabs>
          <w:tab w:leader="none" w:pos="307"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the research, development, manufacture or commercialization of the IPI-145 Compound or the IPI-145 Product by INFI, any INFI Affiliate, any sublicensee of INFI (other than Licensee, any of its Affiliates or any Sublicensee) or any of their respective employees, consultants, contractors, subcontractors or agents prior to the Effective Date, including any actual or alleged death, personal bodily injury or damage to real or tangible personal property, or other product liability claimed to result from the IPI-145 Product Researched, Developed, Manufactured or Commercialized by or on behalf of INFI, any INFI Affiliate, any sublicensee of INFI (other than Licensee, any of its Affiliates or any Sublicensee), (b) any breach by INFI of its representations, warranties, covenants or obligations under this Agreement, or (c) any negligent act or omission or willful misconduct of INFI or any of its Affiliates, or any of their respective employees, consultants, contractors, subcontractors or agents, in performing INFI’s obligations or exercising INFI’s rights under this Agreement; </w:t>
      </w:r>
      <w:r>
        <w:rPr>
          <w:rFonts w:ascii="Arial" w:cs="Arial" w:eastAsia="Arial" w:hAnsi="Arial"/>
          <w:sz w:val="20"/>
          <w:szCs w:val="20"/>
          <w:u w:val="single" w:color="auto"/>
          <w:color w:val="auto"/>
        </w:rPr>
        <w:t>except that</w:t>
      </w:r>
      <w:r>
        <w:rPr>
          <w:rFonts w:ascii="Arial" w:cs="Arial" w:eastAsia="Arial" w:hAnsi="Arial"/>
          <w:sz w:val="20"/>
          <w:szCs w:val="20"/>
          <w:color w:val="auto"/>
        </w:rPr>
        <w:t xml:space="preserve"> that the foregoing indemnity shall not apply with respect to any Licensee Indemnitee to the extent that any such Losses (x) are caused by the negligence or willful misconduct of any of the Licensee Indemnitees, or (y) are otherwise subject to an obligation by Licensee to indemnify any of the INFI Indemnitees under Section 10.1.</w:t>
      </w:r>
    </w:p>
    <w:p>
      <w:pPr>
        <w:spacing w:after="0" w:line="170" w:lineRule="exact"/>
        <w:rPr>
          <w:sz w:val="20"/>
          <w:szCs w:val="20"/>
          <w:color w:val="auto"/>
        </w:rPr>
      </w:pPr>
    </w:p>
    <w:p>
      <w:pPr>
        <w:jc w:val="both"/>
        <w:ind w:left="1" w:firstLine="646"/>
        <w:spacing w:after="0" w:line="258"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Procedure</w:t>
      </w:r>
      <w:r>
        <w:rPr>
          <w:rFonts w:ascii="Arial" w:cs="Arial" w:eastAsia="Arial" w:hAnsi="Arial"/>
          <w:sz w:val="20"/>
          <w:szCs w:val="20"/>
          <w:color w:val="auto"/>
        </w:rPr>
        <w:t>. In the event of a claim by a Third Party against any Person entitled to indemnification under this Agreement, the Party claiming indemnification on behalf of such Person (in such capacity, the “</w:t>
      </w:r>
      <w:r>
        <w:rPr>
          <w:rFonts w:ascii="Arial" w:cs="Arial" w:eastAsia="Arial" w:hAnsi="Arial"/>
          <w:sz w:val="20"/>
          <w:szCs w:val="20"/>
          <w:u w:val="single" w:color="auto"/>
          <w:color w:val="auto"/>
        </w:rPr>
        <w:t>Indemnified Party</w:t>
      </w:r>
      <w:r>
        <w:rPr>
          <w:rFonts w:ascii="Arial" w:cs="Arial" w:eastAsia="Arial" w:hAnsi="Arial"/>
          <w:sz w:val="20"/>
          <w:szCs w:val="20"/>
          <w:color w:val="auto"/>
        </w:rPr>
        <w:t>”) shall promptly notify the other Party (in such capacity, the “</w:t>
      </w:r>
      <w:r>
        <w:rPr>
          <w:rFonts w:ascii="Arial" w:cs="Arial" w:eastAsia="Arial" w:hAnsi="Arial"/>
          <w:sz w:val="20"/>
          <w:szCs w:val="20"/>
          <w:u w:val="single" w:color="auto"/>
          <w:color w:val="auto"/>
        </w:rPr>
        <w:t>Indemnifying Party</w:t>
      </w:r>
      <w:r>
        <w:rPr>
          <w:rFonts w:ascii="Arial" w:cs="Arial" w:eastAsia="Arial" w:hAnsi="Arial"/>
          <w:sz w:val="20"/>
          <w:szCs w:val="20"/>
          <w:color w:val="auto"/>
        </w:rPr>
        <w:t>”) in writing of the claim (it being understood that the failure by the Indemnified Party to give prompt notice of a Third Party claim as provided in this Section 10.3 shall not relieve the Indemnifying Party of its indemnification obligation under this Agreement except and only to the extent that such Indemnifying Party is actually prejudiced as a result of such failure to give prompt notice). Within [* * *] days after delivery of such notification, the Indemnifying Party may, upon written notice thereof to the Indemnified Party, undertake and solely manage and control, at its sole expense and with counsel reasonably satisfactory to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96" w:name="page197"/>
    <w:bookmarkEnd w:id="196"/>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Indemnified Party, the defense of the claim. If the Indemnifying Party does not undertake such defense, the Indemnified Party may control such defense but shall not be entitled to indemnification hereunder if it does not then control such defense. The Party not controlling such defense shall cooperate with the other Party and may, at its option and expense, participate in such defense;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the Indemnifying Party assumes control of such defense and the Indemnified Party in good faith concludes, based on advice from counsel, that the Indemnifying Party and the Indemnified Party (or the relevant INFI Indemnitee or Licensee Indemnitee seeking indemnification) have conflicting interests with respect to such action, suit, proceeding or claim, the Indemnified Party’s counsel may fully participate in such defense and the Indemnifying Party shall be responsible for the reasonable fees and expenses of counsel to the indemnified Persons solely in connection therewith. The Party controlling such defense shall keep the other Party advised of the status of such action, suit, proceeding or claim and the defense thereof and shall consider recommendations made by the other Party with respect thereto. Except if the Indemnifying Party did not undertake defense of the claim or if the Indemnifying Party and the Indemnified Party (or the relevant INFI Indemnitee or Licensee Indemnitee seeking indemnification) have conflicting interests with respect to such action, suit, proceeding or claim and the Indemnified Party engages separate counsel, as provided above, the Indemnifying Party shall not be liable for any litigation costs or expenses incurred by the Indemnified Party (or the relevant INFI Indemnitee or Licensee Indemnitee seeking indemnification) without the Indemnifying Party’s written consent. The Indemnified Party and any Person seeking indemnification under this Agreement shall not settle any such action, suit, proceeding or claim without the prior written consent of the Indemnifying Party, which shall not be unreasonably withheld, delayed or conditioned. The Indemnifying Party shall not settle, without the prior written consent of the Indemnified Party, any such action, suit, proceeding or claim, or consent to any judgment in respect thereof, that (a) does not include a complete and unconditional release of the Indemnified Party (and the relevant INFI Indemnitees or Licensee Indemnitees seeking indemnification) from all liability with respect thereto, (b) imposes any liability or obligation on the Indemnified Party (or any relevant INFI Indemnitee or Licensee Indemnitee seeking indemnification), (c) permits any injunction, declaratory judgment, other order or other non-monetary relief to be entered, directly or indirectly against the Indemnified Party (or any relevant INFI Indemnitee or Licensee Indemnitee seeking indemnification), or (d) acknowledges fault by the Indemnified Party (or any relevant INFI Indemnitee or Licensee Indemnitee seeking indemnification).</w:t>
      </w:r>
    </w:p>
    <w:p>
      <w:pPr>
        <w:spacing w:after="0" w:line="200" w:lineRule="exact"/>
        <w:rPr>
          <w:sz w:val="20"/>
          <w:szCs w:val="20"/>
          <w:color w:val="auto"/>
        </w:rPr>
      </w:pPr>
    </w:p>
    <w:p>
      <w:pPr>
        <w:spacing w:after="0" w:line="213"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Allocation</w:t>
      </w:r>
      <w:r>
        <w:rPr>
          <w:rFonts w:ascii="Arial" w:cs="Arial" w:eastAsia="Arial" w:hAnsi="Arial"/>
          <w:sz w:val="22"/>
          <w:szCs w:val="22"/>
          <w:color w:val="auto"/>
        </w:rPr>
        <w:t>. In the event a claim is based partially on an indemnified claim and partially on a non-indemnified claim or based partially on a claim indemnified by one Party and partially on a claim indemnified by the other Party, any payments in connection with such claims are to be apportioned between the Parties in accordance with the degree of cause attributable to each Party.</w:t>
      </w:r>
    </w:p>
    <w:p>
      <w:pPr>
        <w:spacing w:after="0" w:line="185"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EXCLUSION OF CONSEQUENTIAL DAMAGES</w:t>
      </w:r>
      <w:r>
        <w:rPr>
          <w:rFonts w:ascii="Arial" w:cs="Arial" w:eastAsia="Arial" w:hAnsi="Arial"/>
          <w:sz w:val="22"/>
          <w:szCs w:val="22"/>
          <w:color w:val="auto"/>
        </w:rPr>
        <w:t>. EXCEPT WITH RESPECT TO [* * *], NEITHER INFI NOR LICENSEE, NOR ANY OF THEIR RESPECTIVE AFFILIATES, WILL BE LIABLE FOR ANY INDIRECT, INCIDENTAL, CONSEQUENTIAL,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97" w:name="page198"/>
    <w:bookmarkEnd w:id="197"/>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left="1"/>
        <w:spacing w:after="0" w:line="234" w:lineRule="auto"/>
        <w:rPr>
          <w:sz w:val="20"/>
          <w:szCs w:val="20"/>
          <w:color w:val="auto"/>
        </w:rPr>
      </w:pPr>
      <w:r>
        <w:rPr>
          <w:rFonts w:ascii="Arial" w:cs="Arial" w:eastAsia="Arial" w:hAnsi="Arial"/>
          <w:sz w:val="22"/>
          <w:szCs w:val="22"/>
          <w:color w:val="auto"/>
        </w:rPr>
        <w:t>SPECIAL, EXEMPLARY, MULTIPLE OR PUNITIVE DAMAGES, COSTS OR EXPENSES (INCLUDING LOST PROFITS, LOST REVENUES OR LOST SAVINGS), ARISING OUT OF THIS AGREEMENT OR RELATING TO ANY BREACH OF THIS AGREEMENT, WHETHER LIABILITY IS ASSERTED IN CONTRACT, TORT (INCLUDING NEGLIGENCE AND STRICT PRODUCT LIABILITY), INDEMNITY OR CONTRIBUTION, AND IRRESPECTIVE OF WHETHER SUCH PARTY OR ANY REPRESENTATIVE OF SUCH PARTY HAS BEEN ADVISED OF, OR OTHERWISE MIGHT HAVE ANTICIPATED THE POSSIBILITY OF, ANY SUCH LOSS OR DAMAGE.</w:t>
      </w:r>
    </w:p>
    <w:p>
      <w:pPr>
        <w:spacing w:after="0" w:line="185" w:lineRule="exact"/>
        <w:rPr>
          <w:sz w:val="20"/>
          <w:szCs w:val="20"/>
          <w:color w:val="auto"/>
        </w:rPr>
      </w:pPr>
    </w:p>
    <w:p>
      <w:pPr>
        <w:ind w:left="641"/>
        <w:spacing w:after="0"/>
        <w:tabs>
          <w:tab w:leader="none" w:pos="1381"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05" w:lineRule="exact"/>
        <w:rPr>
          <w:sz w:val="20"/>
          <w:szCs w:val="20"/>
          <w:color w:val="auto"/>
        </w:rPr>
      </w:pPr>
    </w:p>
    <w:p>
      <w:pPr>
        <w:ind w:left="1301"/>
        <w:spacing w:after="0"/>
        <w:rPr>
          <w:sz w:val="20"/>
          <w:szCs w:val="20"/>
          <w:color w:val="auto"/>
        </w:rPr>
      </w:pPr>
      <w:r>
        <w:rPr>
          <w:rFonts w:ascii="Arial" w:cs="Arial" w:eastAsia="Arial" w:hAnsi="Arial"/>
          <w:sz w:val="20"/>
          <w:szCs w:val="20"/>
          <w:color w:val="auto"/>
        </w:rPr>
        <w:t xml:space="preserve">10.6.1 </w:t>
      </w:r>
      <w:r>
        <w:rPr>
          <w:rFonts w:ascii="Arial" w:cs="Arial" w:eastAsia="Arial" w:hAnsi="Arial"/>
          <w:sz w:val="20"/>
          <w:szCs w:val="20"/>
          <w:u w:val="single" w:color="auto"/>
          <w:color w:val="auto"/>
        </w:rPr>
        <w:t>Licensee’s Insurance Requirement</w:t>
      </w:r>
      <w:r>
        <w:rPr>
          <w:rFonts w:ascii="Arial" w:cs="Arial" w:eastAsia="Arial" w:hAnsi="Arial"/>
          <w:sz w:val="20"/>
          <w:szCs w:val="20"/>
          <w:color w:val="auto"/>
        </w:rPr>
        <w:t>. During the Term and thereafter for a period of at least [*</w:t>
      </w:r>
    </w:p>
    <w:p>
      <w:pPr>
        <w:spacing w:after="0" w:line="30" w:lineRule="exact"/>
        <w:rPr>
          <w:sz w:val="20"/>
          <w:szCs w:val="20"/>
          <w:color w:val="auto"/>
        </w:rPr>
      </w:pPr>
    </w:p>
    <w:p>
      <w:pPr>
        <w:jc w:val="both"/>
        <w:ind w:left="1" w:hanging="1"/>
        <w:spacing w:after="0" w:line="252" w:lineRule="auto"/>
        <w:tabs>
          <w:tab w:leader="none" w:pos="164" w:val="left"/>
        </w:tabs>
        <w:numPr>
          <w:ilvl w:val="0"/>
          <w:numId w:val="86"/>
        </w:numPr>
        <w:rPr>
          <w:rFonts w:ascii="Arial" w:cs="Arial" w:eastAsia="Arial" w:hAnsi="Arial"/>
          <w:sz w:val="20"/>
          <w:szCs w:val="20"/>
          <w:color w:val="auto"/>
        </w:rPr>
      </w:pPr>
      <w:r>
        <w:rPr>
          <w:rFonts w:ascii="Arial" w:cs="Arial" w:eastAsia="Arial" w:hAnsi="Arial"/>
          <w:sz w:val="20"/>
          <w:szCs w:val="20"/>
          <w:color w:val="auto"/>
        </w:rPr>
        <w:t>*] years after the later of the expiration or termination of this Agreement or the last commercial sale of the IPI-145 Product under this Agreement (the “</w:t>
      </w:r>
      <w:r>
        <w:rPr>
          <w:rFonts w:ascii="Arial" w:cs="Arial" w:eastAsia="Arial" w:hAnsi="Arial"/>
          <w:sz w:val="20"/>
          <w:szCs w:val="20"/>
          <w:u w:val="single" w:color="auto"/>
          <w:color w:val="auto"/>
        </w:rPr>
        <w:t>Insurance Period</w:t>
      </w:r>
      <w:r>
        <w:rPr>
          <w:rFonts w:ascii="Arial" w:cs="Arial" w:eastAsia="Arial" w:hAnsi="Arial"/>
          <w:sz w:val="20"/>
          <w:szCs w:val="20"/>
          <w:color w:val="auto"/>
        </w:rPr>
        <w:t xml:space="preserve">”), Licensee shall maintain on an ongoing basis with a reputable, solvent insurer, comprehensive general liability insurance in the minimum amount of $[* * *] per occurrence and $[* * *] annual aggregate combined single limit for bodily injury and property damage liability; clinical trial coverage with limits and policy terms required by applicable Law in the territories where applicable clinical trials are taking place (and in any event not less than $[* * *]), which coverage shall include clinical trials using inventory or other materials manufactured by INFI or at INFI’s direction or otherwise provided to Licensee by INFI; and products liability insurance (including contractual liability coverage on Licensee’s indemnification obligations under this Agreement) in the amount of at least $[* * *] per occurrence and as an annual aggregate combined single limit for bodily injury and property damage liability;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(a) Licensee will not be required to procure or maintain the clinical trial coverage described above until ten days prior to transfer of the INDs for IPI-145 Product from INFI to Licensee pursuant to Section 4.1.1 and (b) commencing not later than [*</w:t>
      </w:r>
    </w:p>
    <w:p>
      <w:pPr>
        <w:spacing w:after="0" w:line="9" w:lineRule="exact"/>
        <w:rPr>
          <w:rFonts w:ascii="Arial" w:cs="Arial" w:eastAsia="Arial" w:hAnsi="Arial"/>
          <w:sz w:val="20"/>
          <w:szCs w:val="20"/>
          <w:color w:val="auto"/>
        </w:rPr>
      </w:pPr>
    </w:p>
    <w:p>
      <w:pPr>
        <w:jc w:val="both"/>
        <w:ind w:left="1" w:hanging="1"/>
        <w:spacing w:after="0" w:line="270" w:lineRule="auto"/>
        <w:tabs>
          <w:tab w:leader="none" w:pos="171"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 days prior to the reasonably anticipated first Commercial Sale of the IPI-145 Product by Licensee or any of its Affiliates or any Sublicensee, and thereafter during the Insurance Period, Licensee shall obtain and maintain on an ongoing basis products liability insurance (including contractual liability coverage on Licensee’s indemnification obligations under this Agreement) in the amount of at least $[* * *] per occurrence and as an annual aggregate combined single limit for bodily injury and property damage liability. All of such insurance coverage may be maintained through a self insurance plan that substantially complies with the foregoing limits and requirements and may be satisfied through one or more policies, including an umbrella policy. INFI and INK shall each be named as an additional insured on such policy and Licensee shall provide INFI with written evidence of such insurance on the Effective Date and at any other times upon request. Licensee shall provide INFI with written notice at least [* * *] days prior to the cancellation or non-renewal of such insurance;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provision of such notice shall not permit Licensee to cancel or not renew such insurance contrary to the provisions of this Section 10.6.1.</w:t>
      </w:r>
    </w:p>
    <w:p>
      <w:pPr>
        <w:spacing w:after="0" w:line="158" w:lineRule="exact"/>
        <w:rPr>
          <w:sz w:val="20"/>
          <w:szCs w:val="20"/>
          <w:color w:val="auto"/>
        </w:rPr>
      </w:pPr>
    </w:p>
    <w:p>
      <w:pPr>
        <w:ind w:left="1" w:firstLine="1292"/>
        <w:spacing w:after="0" w:line="249" w:lineRule="auto"/>
        <w:rPr>
          <w:sz w:val="20"/>
          <w:szCs w:val="20"/>
          <w:color w:val="auto"/>
        </w:rPr>
      </w:pPr>
      <w:r>
        <w:rPr>
          <w:rFonts w:ascii="Arial" w:cs="Arial" w:eastAsia="Arial" w:hAnsi="Arial"/>
          <w:sz w:val="22"/>
          <w:szCs w:val="22"/>
          <w:color w:val="auto"/>
        </w:rPr>
        <w:t xml:space="preserve">10.6.2 </w:t>
      </w:r>
      <w:r>
        <w:rPr>
          <w:rFonts w:ascii="Arial" w:cs="Arial" w:eastAsia="Arial" w:hAnsi="Arial"/>
          <w:sz w:val="22"/>
          <w:szCs w:val="22"/>
          <w:u w:val="single" w:color="auto"/>
          <w:color w:val="auto"/>
        </w:rPr>
        <w:t>INFI’s Insurance Requirement</w:t>
      </w:r>
      <w:r>
        <w:rPr>
          <w:rFonts w:ascii="Arial" w:cs="Arial" w:eastAsia="Arial" w:hAnsi="Arial"/>
          <w:sz w:val="22"/>
          <w:szCs w:val="22"/>
          <w:color w:val="auto"/>
        </w:rPr>
        <w:t>. For a period of at least [* * *] years after the Effective Date, INFI shall maintain on an ongoing basis with a reputable, solvent insurer,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98" w:name="page199"/>
    <w:bookmarkEnd w:id="198"/>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comprehensive general liability insurance in the minimum amount of $[* * *] per occurrence and $[* * *] annual aggregate combined single limit for bodily injury and property damage liability; and products liability insurance (including contractual liability coverage on INFI’s indemnification obligations under this Agreement) in the amount of at least $[* * *] per occurrence and as an annual aggregate combined single limit for bodily injury and property damage liability. All of such insurance coverage may be maintained through a self insurance plan that substantially complies with the foregoing limits and requirements and may be satisfied through one or more policies, including an umbrella policy. Licensee shall be named as an additional insured on such policy and INFI shall provide Licensee with written evidence of such insurance on the Effective Date and at any other times upon request. INFI shall provide Licensee with written notice at least [* * *] days prior to the cancellation or non-renewal of such insurance;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such notice shall not permit INFI to cancel or not renew such insurance contrary to the provisions of this Section 10.6.2.</w:t>
      </w:r>
    </w:p>
    <w:p>
      <w:pPr>
        <w:spacing w:after="0" w:line="171" w:lineRule="exact"/>
        <w:rPr>
          <w:sz w:val="20"/>
          <w:szCs w:val="20"/>
          <w:color w:val="auto"/>
        </w:rPr>
      </w:pPr>
    </w:p>
    <w:p>
      <w:pPr>
        <w:jc w:val="both"/>
        <w:ind w:firstLine="1292"/>
        <w:spacing w:after="0" w:line="264" w:lineRule="auto"/>
        <w:rPr>
          <w:sz w:val="20"/>
          <w:szCs w:val="20"/>
          <w:color w:val="auto"/>
        </w:rPr>
      </w:pPr>
      <w:r>
        <w:rPr>
          <w:rFonts w:ascii="Arial" w:cs="Arial" w:eastAsia="Arial" w:hAnsi="Arial"/>
          <w:sz w:val="20"/>
          <w:szCs w:val="20"/>
          <w:color w:val="auto"/>
        </w:rPr>
        <w:t xml:space="preserve">10.6.3 </w:t>
      </w:r>
      <w:r>
        <w:rPr>
          <w:rFonts w:ascii="Arial" w:cs="Arial" w:eastAsia="Arial" w:hAnsi="Arial"/>
          <w:sz w:val="20"/>
          <w:szCs w:val="20"/>
          <w:u w:val="single" w:color="auto"/>
          <w:color w:val="auto"/>
        </w:rPr>
        <w:t>Additional INFI Insurance Requirement</w:t>
      </w:r>
      <w:r>
        <w:rPr>
          <w:rFonts w:ascii="Arial" w:cs="Arial" w:eastAsia="Arial" w:hAnsi="Arial"/>
          <w:sz w:val="20"/>
          <w:szCs w:val="20"/>
          <w:color w:val="auto"/>
        </w:rPr>
        <w:t>. From the Effective Date until the date that all of the INDs for the IPI-145 Compound and IPI-145 Product have transferred to Licensee, INFI shall maintain on an ongoing basis with a reputable, solvent insurer, comprehensive general liability insurance, product liability insurance and clinical trial insurance covering the DUO clinical trial consistent with the amount and coverage INFI had prior to the Effective Date. Licensee shall reimburse INFI the premiums of such insurance.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87"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Term; Expiration</w:t>
      </w:r>
      <w:r>
        <w:rPr>
          <w:rFonts w:ascii="Arial" w:cs="Arial" w:eastAsia="Arial" w:hAnsi="Arial"/>
          <w:sz w:val="22"/>
          <w:szCs w:val="22"/>
          <w:color w:val="auto"/>
        </w:rPr>
        <w:t>. This Agreement shall become effective as of the Effective Date, and, shall continue in full force and effect until the Parties have no further obligations to each other hereunder, unless and until earlier terminated as provided herein (the “</w:t>
      </w:r>
      <w:r>
        <w:rPr>
          <w:rFonts w:ascii="Arial" w:cs="Arial" w:eastAsia="Arial" w:hAnsi="Arial"/>
          <w:sz w:val="22"/>
          <w:szCs w:val="22"/>
          <w:u w:val="single" w:color="auto"/>
          <w:color w:val="auto"/>
        </w:rPr>
        <w:t>Term</w:t>
      </w:r>
      <w:r>
        <w:rPr>
          <w:rFonts w:ascii="Arial" w:cs="Arial" w:eastAsia="Arial" w:hAnsi="Arial"/>
          <w:sz w:val="22"/>
          <w:szCs w:val="22"/>
          <w:color w:val="auto"/>
        </w:rPr>
        <w:t>”). The Parties acknowledge and agree that this Agreement cannot be terminated except as expressly set forth herein.</w:t>
      </w:r>
    </w:p>
    <w:p>
      <w:pPr>
        <w:spacing w:after="0" w:line="185"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Termination for Cause</w:t>
      </w:r>
      <w:r>
        <w:rPr>
          <w:rFonts w:ascii="Arial" w:cs="Arial" w:eastAsia="Arial" w:hAnsi="Arial"/>
          <w:sz w:val="20"/>
          <w:szCs w:val="20"/>
          <w:color w:val="auto"/>
        </w:rPr>
        <w:t>. Either Party (the “</w:t>
      </w:r>
      <w:r>
        <w:rPr>
          <w:rFonts w:ascii="Arial" w:cs="Arial" w:eastAsia="Arial" w:hAnsi="Arial"/>
          <w:sz w:val="20"/>
          <w:szCs w:val="20"/>
          <w:u w:val="single" w:color="auto"/>
          <w:color w:val="auto"/>
        </w:rPr>
        <w:t>Non-Breaching Party</w:t>
      </w:r>
      <w:r>
        <w:rPr>
          <w:rFonts w:ascii="Arial" w:cs="Arial" w:eastAsia="Arial" w:hAnsi="Arial"/>
          <w:sz w:val="20"/>
          <w:szCs w:val="20"/>
          <w:color w:val="auto"/>
        </w:rPr>
        <w:t>”) may, without prejudice to any other remedies available to it at law or in equity, terminate this Agreement if the other Party (the “</w:t>
      </w:r>
      <w:r>
        <w:rPr>
          <w:rFonts w:ascii="Arial" w:cs="Arial" w:eastAsia="Arial" w:hAnsi="Arial"/>
          <w:sz w:val="20"/>
          <w:szCs w:val="20"/>
          <w:u w:val="single" w:color="auto"/>
          <w:color w:val="auto"/>
        </w:rPr>
        <w:t>Breaching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Party</w:t>
      </w:r>
      <w:r>
        <w:rPr>
          <w:rFonts w:ascii="Arial" w:cs="Arial" w:eastAsia="Arial" w:hAnsi="Arial"/>
          <w:sz w:val="20"/>
          <w:szCs w:val="20"/>
          <w:color w:val="auto"/>
        </w:rPr>
        <w:t>”) shall have materially breached or defaulted in the performance of its obligations hereunder, and such default shall have continued for sixty (60) days (or, in the case of a payment breach, thirty (30) days) following the Breaching Party’s receipt of notice of such breach from the Non-Breaching Party. Any such termination of this Agreement under this Section 11.2 shall become effective at the end of such sixty (60) day or thirty (30) day (as applicable) cure period, unless the Breaching Party has cured such breach or default prior to the expiration of such cure period. The right of either Party to terminate this Agreement as provided in this Section 11.2 shall not be affected in any way by such Party’s waiver or failure to take action with respect to any previous default. Notwithstanding the foregoing, (a) if such material breach (other than a payment breach), by its nature, is curable, but is not reasonably curable within the sixty (60) day cure period, then such cure period shall be extended if the Breaching Party provides a written plan for curing such breach to the Non-Breaching Party and uses Diligent Efforts to cure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99" w:name="page200"/>
    <w:bookmarkEnd w:id="199"/>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such breach in accordance with such written plan; </w:t>
      </w:r>
      <w:r>
        <w:rPr>
          <w:rFonts w:ascii="Arial" w:cs="Arial" w:eastAsia="Arial" w:hAnsi="Arial"/>
          <w:sz w:val="20"/>
          <w:szCs w:val="20"/>
          <w:u w:val="single" w:color="auto"/>
          <w:color w:val="auto"/>
        </w:rPr>
        <w:t>provided</w:t>
      </w:r>
      <w:r>
        <w:rPr>
          <w:rFonts w:ascii="Arial" w:cs="Arial" w:eastAsia="Arial" w:hAnsi="Arial"/>
          <w:sz w:val="20"/>
          <w:szCs w:val="20"/>
          <w:color w:val="auto"/>
        </w:rPr>
        <w:t>, that no such extension shall exceed sixty (60) days without the consent of the Non-Breaching Party; and (2) if the Breaching Party disputes that it has materially breached this Agreement, the dispute shall be resolved pursuant to Section 12.1 and Section 12.2, as applicable. If, as a result of the application of such dispute resolution procedures, the Breaching Party is determined to be in material breach of this Agreement (an “</w:t>
      </w:r>
      <w:r>
        <w:rPr>
          <w:rFonts w:ascii="Arial" w:cs="Arial" w:eastAsia="Arial" w:hAnsi="Arial"/>
          <w:sz w:val="20"/>
          <w:szCs w:val="20"/>
          <w:u w:val="single" w:color="auto"/>
          <w:color w:val="auto"/>
        </w:rPr>
        <w:t>Adverse Ruling</w:t>
      </w:r>
      <w:r>
        <w:rPr>
          <w:rFonts w:ascii="Arial" w:cs="Arial" w:eastAsia="Arial" w:hAnsi="Arial"/>
          <w:sz w:val="20"/>
          <w:szCs w:val="20"/>
          <w:color w:val="auto"/>
        </w:rPr>
        <w:t>”), then if the Breaching Party fails to cure such material breach within sixty (60) days after such ruling (whether or not such actions are specified by the Adverse Ruling) (or thirty (30) days after such ruling in the case of a payment breach), then the Non-Breaching Party may terminate this Agreement upon written notice to the Breaching Party as provided in this Section 11.2.</w:t>
      </w:r>
    </w:p>
    <w:p>
      <w:pPr>
        <w:spacing w:after="0" w:line="168"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Termination for Patent Challenge</w:t>
      </w:r>
      <w:r>
        <w:rPr>
          <w:rFonts w:ascii="Arial" w:cs="Arial" w:eastAsia="Arial" w:hAnsi="Arial"/>
          <w:sz w:val="20"/>
          <w:szCs w:val="20"/>
          <w:color w:val="auto"/>
        </w:rPr>
        <w:t>. If Licensee or any of its Affiliates or any Sublicensee (a) commences or otherwise voluntarily determines to participate in any action or proceeding (including any patent opposition or re-examination proceeding), challenging or denying the validity or enforceability of any INFI Prosecution Patent Right, INFI Other Patent Right or INK Prosecution Patent Right or any claim thereof, or (b) actively assists any other Person in bringing or prosecuting any action or proceeding (including any patent opposition or re-examination proceeding) challenging or denying the validity or enforceability of any INFI Prosecution Patent Right, INFI Other Patent Right or INK Prosecution Patent Right or any claim thereof, then INFI shall have the right to terminate this Agreement upon thirty (30) days written notice to Licensee unless Licensee, its Affiliates and Sublicensees have withdrawn such action before the end of the above notice period.</w:t>
      </w:r>
    </w:p>
    <w:p>
      <w:pPr>
        <w:spacing w:after="0" w:line="171" w:lineRule="exact"/>
        <w:rPr>
          <w:sz w:val="20"/>
          <w:szCs w:val="20"/>
          <w:color w:val="auto"/>
        </w:rPr>
      </w:pPr>
    </w:p>
    <w:p>
      <w:pPr>
        <w:jc w:val="both"/>
        <w:ind w:firstLine="646"/>
        <w:spacing w:after="0" w:line="264"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Licensee’s Termination for Convenience</w:t>
      </w:r>
      <w:r>
        <w:rPr>
          <w:rFonts w:ascii="Arial" w:cs="Arial" w:eastAsia="Arial" w:hAnsi="Arial"/>
          <w:sz w:val="20"/>
          <w:szCs w:val="20"/>
          <w:color w:val="auto"/>
        </w:rPr>
        <w:t xml:space="preserve">. At any time during the Term following the earlier of (a) determination whether the DUO clinical trial has or has not met its pre-specified primary endpoint as defined in the DUO clinical trial protocol, as amended, attached as </w:t>
      </w:r>
      <w:r>
        <w:rPr>
          <w:rFonts w:ascii="Arial" w:cs="Arial" w:eastAsia="Arial" w:hAnsi="Arial"/>
          <w:sz w:val="20"/>
          <w:szCs w:val="20"/>
          <w:u w:val="single" w:color="auto"/>
          <w:color w:val="auto"/>
        </w:rPr>
        <w:t>Exhibit H</w:t>
      </w:r>
      <w:r>
        <w:rPr>
          <w:rFonts w:ascii="Arial" w:cs="Arial" w:eastAsia="Arial" w:hAnsi="Arial"/>
          <w:sz w:val="20"/>
          <w:szCs w:val="20"/>
          <w:color w:val="auto"/>
        </w:rPr>
        <w:t>, and (b) a determination by Licensee to discontinue the DUO clinical trial under Section 3.1.4(c), Licensee shall have the right to terminate this Agreement in its entirety upon not less than one hundred eighty (180) days prior written notice thereof to INFI.</w:t>
      </w:r>
    </w:p>
    <w:p>
      <w:pPr>
        <w:spacing w:after="0" w:line="162"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Termination for Insolvency</w:t>
      </w:r>
      <w:r>
        <w:rPr>
          <w:rFonts w:ascii="Arial" w:cs="Arial" w:eastAsia="Arial" w:hAnsi="Arial"/>
          <w:sz w:val="20"/>
          <w:szCs w:val="20"/>
          <w:color w:val="auto"/>
        </w:rPr>
        <w:t>. In the event that either Party (a) files for protection under bankruptcy or insolvency laws, (b) makes an assignment for the benefit of creditors, (c) appoints or suffers appointment of a receiver or trustee over substantially all of its property that is not discharged within ninety (90) days after such filing, (d) proposes a written agreement of composition or extension of its debts, (e) proposes or is a party to any dissolution or liquidation, (f) files a petition under any bankruptcy or insolvency act or has any such petition filed against that is not discharged within sixty (60) days of the filing thereof, or (g) admits in writing its inability generally to meet its obligations as they fall due in the general course, then the other Party may terminate this Agreement in its entirety effective immediately upon written notice to such Party.</w:t>
      </w:r>
    </w:p>
    <w:p>
      <w:pPr>
        <w:spacing w:after="0" w:line="168"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Effect of Termination by INFI Pursuant to Section 11.2, 11.3 or 11.5 or Licensee pursuant to 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11.4</w:t>
      </w:r>
      <w:r>
        <w:rPr>
          <w:rFonts w:ascii="Arial" w:cs="Arial" w:eastAsia="Arial" w:hAnsi="Arial"/>
          <w:sz w:val="22"/>
          <w:szCs w:val="22"/>
          <w:color w:val="auto"/>
        </w:rPr>
        <w:t>. Upon INFI’s termination of this Agreement pursuant to Section 11.2, 11.3 or 11.5 or Licensee’s termination of this Agreement pursuant to Section 11.4, all rights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00" w:name="page201"/>
    <w:bookmarkEnd w:id="200"/>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licenses granted by INFI to Licensee hereunder shall terminate and Licensee shall not have any rights to use, or exercise any rights under, the Duvelisib IP. If, within thirty (30) days following the effective date of such termination, Licensee receives from INFI a written waiver of any and all claims for damages that INFI or any of its Affiliates may have against Licensee, its Affiliates or its Sublicensees arising from or relating to this Agreement (except, to the extent that such termination results from a Headlicense Termination Event, such waiver will not be required to waive any direct damages INFI suffers as a result of such Headlicense Termination Event, which may include (i) any payments INFI is required to make to INK resulting from termination of the INK Agreement, (ii) any reasonable costs associated with INFI’s obtaining a replacement for the INK Agreement, or (iii) the difference between the economic terms of such new agreement with INK and the economic terms of the INK Agreement (provided that INFI uses commercially reasonable efforts to mitigate any such difference), then at Licensee’s sole cost:</w:t>
      </w:r>
    </w:p>
    <w:p>
      <w:pPr>
        <w:spacing w:after="0" w:line="171" w:lineRule="exact"/>
        <w:rPr>
          <w:sz w:val="20"/>
          <w:szCs w:val="20"/>
          <w:color w:val="auto"/>
        </w:rPr>
      </w:pPr>
    </w:p>
    <w:p>
      <w:pPr>
        <w:jc w:val="both"/>
        <w:ind w:firstLine="1292"/>
        <w:spacing w:after="0" w:line="275" w:lineRule="auto"/>
        <w:rPr>
          <w:sz w:val="20"/>
          <w:szCs w:val="20"/>
          <w:color w:val="auto"/>
        </w:rPr>
      </w:pPr>
      <w:r>
        <w:rPr>
          <w:rFonts w:ascii="Arial" w:cs="Arial" w:eastAsia="Arial" w:hAnsi="Arial"/>
          <w:sz w:val="20"/>
          <w:szCs w:val="20"/>
          <w:color w:val="auto"/>
        </w:rPr>
        <w:t>11.6.1 INFI, within thirty (30) days after the date of such notice or waiver, shall promptly prepare, with Licensee’s reasonable cooperation, and the Parties shall negotiate, a termination and wind-down plan that will include, at a minimum, a plan for accomplishing the activities described in this Section 11.6.</w:t>
      </w:r>
    </w:p>
    <w:p>
      <w:pPr>
        <w:spacing w:after="0" w:line="152" w:lineRule="exact"/>
        <w:rPr>
          <w:sz w:val="20"/>
          <w:szCs w:val="20"/>
          <w:color w:val="auto"/>
        </w:rPr>
      </w:pPr>
    </w:p>
    <w:p>
      <w:pPr>
        <w:jc w:val="both"/>
        <w:ind w:firstLine="1292"/>
        <w:spacing w:after="0" w:line="275" w:lineRule="auto"/>
        <w:rPr>
          <w:sz w:val="20"/>
          <w:szCs w:val="20"/>
          <w:color w:val="auto"/>
        </w:rPr>
      </w:pPr>
      <w:r>
        <w:rPr>
          <w:rFonts w:ascii="Arial" w:cs="Arial" w:eastAsia="Arial" w:hAnsi="Arial"/>
          <w:sz w:val="20"/>
          <w:szCs w:val="20"/>
          <w:color w:val="auto"/>
        </w:rPr>
        <w:t>11.6.2 Licensee shall, at INFI’s request, promptly provide to INFI a fair and accurate detailed written description of the status of the Development, Manufacture and Commercialization of the IPI-145 Compound and the IPI-145 Product in the Territory as of the effective date of the termination;</w:t>
      </w:r>
    </w:p>
    <w:p>
      <w:pPr>
        <w:spacing w:after="0" w:line="152" w:lineRule="exact"/>
        <w:rPr>
          <w:sz w:val="20"/>
          <w:szCs w:val="20"/>
          <w:color w:val="auto"/>
        </w:rPr>
      </w:pPr>
    </w:p>
    <w:p>
      <w:pPr>
        <w:jc w:val="both"/>
        <w:ind w:firstLine="1292"/>
        <w:spacing w:after="0" w:line="258" w:lineRule="auto"/>
        <w:rPr>
          <w:sz w:val="20"/>
          <w:szCs w:val="20"/>
          <w:color w:val="auto"/>
        </w:rPr>
      </w:pPr>
      <w:r>
        <w:rPr>
          <w:rFonts w:ascii="Arial" w:cs="Arial" w:eastAsia="Arial" w:hAnsi="Arial"/>
          <w:sz w:val="20"/>
          <w:szCs w:val="20"/>
          <w:color w:val="auto"/>
        </w:rPr>
        <w:t>11.6.3 To the extent requested by INFI, Licensee shall, at its own expense, promptly transfer and assign to INFI all of Licensee’s, each of its Affiliates’ and each Sublicensee’s rights in any INDs, Marketing Authorizations and Regulatory Documentation necessary or useful for the Research (including to perform medicinal chemistry), Development, Manufacture or Commercialization of the IPI-145 Compound or IPI-145 Product in the Territory; except that Licensee may retain a single copy of such items for its records, and such Regulatory Documentation shall become the Confidential Information of INFI (with INFI considered the Disclosing Party and Licensee considered the Receiving Party), and Licensee may not rely on the exceptions enumerated in Sections 8.1.1, 8.1.2 or 8.1.5 with respect to its obligations regarding the confidentiality and non-use of such Confidential Information under this Agreement;</w:t>
      </w:r>
    </w:p>
    <w:p>
      <w:pPr>
        <w:spacing w:after="0" w:line="171" w:lineRule="exact"/>
        <w:rPr>
          <w:sz w:val="20"/>
          <w:szCs w:val="20"/>
          <w:color w:val="auto"/>
        </w:rPr>
      </w:pPr>
    </w:p>
    <w:p>
      <w:pPr>
        <w:jc w:val="both"/>
        <w:ind w:firstLine="1292"/>
        <w:spacing w:after="0" w:line="258" w:lineRule="auto"/>
        <w:rPr>
          <w:sz w:val="20"/>
          <w:szCs w:val="20"/>
          <w:color w:val="auto"/>
        </w:rPr>
      </w:pPr>
      <w:r>
        <w:rPr>
          <w:rFonts w:ascii="Arial" w:cs="Arial" w:eastAsia="Arial" w:hAnsi="Arial"/>
          <w:sz w:val="20"/>
          <w:szCs w:val="20"/>
          <w:color w:val="auto"/>
        </w:rPr>
        <w:t>11.6.4 To the extent requested by INFI, Licensee shall, at its own expense, promptly transfer and assign to INFI all of Licensee’s, each of its Affiliates’ and each Sublicensee’s rights to other technical and other information or materials that are necessary or useful for the Research (including to perform medicinal chemistry), Development, Manufacture or Commercialization of the IPI-145 Compound or IPI-145 Product in the Territory and all promotional materials, customer data, competitive intelligence data, market research and other materials, information or data related to the marketing, promotion or sale of the IPI-145 Compound or IPI-145 Product in the Territory in its possession or control as of the effective date of such termination; except that Licensee may retain a single copy of such items for its records, and such technical and other information or materials shall become the Confidential Information of INFI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01" w:name="page202"/>
    <w:bookmarkEnd w:id="201"/>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4" w:lineRule="exact"/>
        <w:rPr>
          <w:sz w:val="20"/>
          <w:szCs w:val="20"/>
          <w:color w:val="auto"/>
        </w:rPr>
      </w:pPr>
    </w:p>
    <w:p>
      <w:pPr>
        <w:jc w:val="both"/>
        <w:ind w:left="1"/>
        <w:spacing w:after="0" w:line="275" w:lineRule="auto"/>
        <w:rPr>
          <w:sz w:val="20"/>
          <w:szCs w:val="20"/>
          <w:color w:val="auto"/>
        </w:rPr>
      </w:pPr>
      <w:r>
        <w:rPr>
          <w:rFonts w:ascii="Arial" w:cs="Arial" w:eastAsia="Arial" w:hAnsi="Arial"/>
          <w:sz w:val="20"/>
          <w:szCs w:val="20"/>
          <w:color w:val="auto"/>
        </w:rPr>
        <w:t>(with INFI considered the Disclosing Party and Licensee considered the Receiving Party), and Licensee may not rely on the exceptions enumerated in Sections 8.1.1, 8.1.2 or 8.1.5 with respect to its obligations regarding the confidentiality and non-use of such Confidential Information under this Agreement;</w:t>
      </w:r>
    </w:p>
    <w:p>
      <w:pPr>
        <w:spacing w:after="0" w:line="152" w:lineRule="exact"/>
        <w:rPr>
          <w:sz w:val="20"/>
          <w:szCs w:val="20"/>
          <w:color w:val="auto"/>
        </w:rPr>
      </w:pPr>
    </w:p>
    <w:p>
      <w:pPr>
        <w:jc w:val="both"/>
        <w:ind w:left="1" w:firstLine="1292"/>
        <w:spacing w:after="0" w:line="254" w:lineRule="auto"/>
        <w:rPr>
          <w:sz w:val="20"/>
          <w:szCs w:val="20"/>
          <w:color w:val="auto"/>
        </w:rPr>
      </w:pPr>
      <w:r>
        <w:rPr>
          <w:rFonts w:ascii="Arial" w:cs="Arial" w:eastAsia="Arial" w:hAnsi="Arial"/>
          <w:sz w:val="20"/>
          <w:szCs w:val="20"/>
          <w:color w:val="auto"/>
        </w:rPr>
        <w:t xml:space="preserve">11.6.5 Within thirty (30) days after the effective date of expiration or termination of this Agreement, the Receiving Party shall, and shall cause its Affiliates to, (a) destroy all tangible items solely comprising, bearing or containing any Confidential Information of the Disclosing Party or any of its Affiliates that are in the Receiving Party’s or its Affiliates’ possession or control, and provide written certification of such destruction, or (b) ship such tangible items of the Disclosing Party’s (or any of its Affiliates’) Confidential Information to the Disclosing Party, as the Disclosing Party may direct, at the Receiving Party’s expense;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in any event, (x) each Party may retain one copy of the Confidential Information of the other Party or any of its Affiliates to the extent necessary to perform its obligations that survive expiration or termination of this Agreement; (y) the Receiving Party may retain one copy of such Confidential Information of the Disclosing Party or any of its Affiliates for its legal archives; and</w:t>
      </w:r>
    </w:p>
    <w:p>
      <w:pPr>
        <w:spacing w:after="0" w:line="8" w:lineRule="exact"/>
        <w:rPr>
          <w:sz w:val="20"/>
          <w:szCs w:val="20"/>
          <w:color w:val="auto"/>
        </w:rPr>
      </w:pPr>
    </w:p>
    <w:p>
      <w:pPr>
        <w:jc w:val="both"/>
        <w:ind w:left="1" w:hanging="1"/>
        <w:spacing w:after="0" w:line="261" w:lineRule="auto"/>
        <w:tabs>
          <w:tab w:leader="none" w:pos="296"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INFI may retain Licensee’s (or any of its Affiliates’) Confidential Information to the extent necessary for INFI to exercise its rights that survive expiration or termination of this Agreement. Any Confidential Information that is subject to the exceptions enumerated in Sections 8.1.1, 8.1.2, 8.1.3, 8.1.4 or 8.1.5 shall not be subject to the obligations imposed on the Receiving Party pursuant to clause (a) or (b) of this Section 11.6.5;</w:t>
      </w:r>
    </w:p>
    <w:p>
      <w:pPr>
        <w:spacing w:after="0" w:line="166" w:lineRule="exact"/>
        <w:rPr>
          <w:sz w:val="20"/>
          <w:szCs w:val="20"/>
          <w:color w:val="auto"/>
        </w:rPr>
      </w:pPr>
    </w:p>
    <w:p>
      <w:pPr>
        <w:jc w:val="both"/>
        <w:ind w:left="1" w:firstLine="1292"/>
        <w:spacing w:after="0" w:line="268" w:lineRule="auto"/>
        <w:rPr>
          <w:sz w:val="20"/>
          <w:szCs w:val="20"/>
          <w:color w:val="auto"/>
        </w:rPr>
      </w:pPr>
      <w:r>
        <w:rPr>
          <w:rFonts w:ascii="Arial" w:cs="Arial" w:eastAsia="Arial" w:hAnsi="Arial"/>
          <w:sz w:val="20"/>
          <w:szCs w:val="20"/>
          <w:color w:val="auto"/>
        </w:rPr>
        <w:t>11.6.6 At INFI’s request, Licensee shall, at its own expense, promptly transfer and assign to INFI all of Licensee’s, each of its Affiliates’ and each Sublicensee’s rights, title and interests in and to the IPI-145 Product-specific trademark(s) (for the avoidance of doubt, not including any Licensee housemarks) used for the IPI-145 Product in the Territory, including the Product Mark, and all goodwill therein;</w:t>
      </w:r>
    </w:p>
    <w:p>
      <w:pPr>
        <w:spacing w:after="0" w:line="157" w:lineRule="exact"/>
        <w:rPr>
          <w:sz w:val="20"/>
          <w:szCs w:val="20"/>
          <w:color w:val="auto"/>
        </w:rPr>
      </w:pPr>
    </w:p>
    <w:p>
      <w:pPr>
        <w:jc w:val="both"/>
        <w:ind w:left="1" w:firstLine="1292"/>
        <w:spacing w:after="0" w:line="257" w:lineRule="auto"/>
        <w:rPr>
          <w:sz w:val="20"/>
          <w:szCs w:val="20"/>
          <w:color w:val="auto"/>
        </w:rPr>
      </w:pPr>
      <w:r>
        <w:rPr>
          <w:rFonts w:ascii="Arial" w:cs="Arial" w:eastAsia="Arial" w:hAnsi="Arial"/>
          <w:sz w:val="20"/>
          <w:szCs w:val="20"/>
          <w:color w:val="auto"/>
        </w:rPr>
        <w:t>11.6.7 Promptly upon request by INFI, but in no event commencing later than [* * *] days after the effective date of termination and in no event lasting longer than [* * *] days following the effective date of termination, Licensee shall provide such assistance as may be reasonably necessary or useful for INFI to commence or continue Developing, Manufacturing or Commercializing the IPI-145 Compound or IPI-145 Product in the Territory, to the extent Licensee, any of its Affiliates or any Sublicensee is then performing or having performed such activities, including transferring (by novation) or amending as appropriate and where permitted by applicable contractual restriction, upon request of INFI, any agreements or arrangements with Third Party vendors to Develop, Manufacture, distribute, sell or otherwise Commercialize the IPI-145 Compound or IPI-145 Product in the Territory. To the extent that any such contract is not assignable to INFI, Licensee shall reasonably cooperate with INFI to arrange to continue to provide such services for a reasonable time after termination;</w:t>
      </w:r>
    </w:p>
    <w:p>
      <w:pPr>
        <w:spacing w:after="0" w:line="175" w:lineRule="exact"/>
        <w:rPr>
          <w:sz w:val="20"/>
          <w:szCs w:val="20"/>
          <w:color w:val="auto"/>
        </w:rPr>
      </w:pPr>
    </w:p>
    <w:p>
      <w:pPr>
        <w:jc w:val="both"/>
        <w:ind w:left="1" w:firstLine="1292"/>
        <w:spacing w:after="0" w:line="239" w:lineRule="auto"/>
        <w:rPr>
          <w:sz w:val="20"/>
          <w:szCs w:val="20"/>
          <w:color w:val="auto"/>
        </w:rPr>
      </w:pPr>
      <w:r>
        <w:rPr>
          <w:rFonts w:ascii="Arial" w:cs="Arial" w:eastAsia="Arial" w:hAnsi="Arial"/>
          <w:sz w:val="22"/>
          <w:szCs w:val="22"/>
          <w:color w:val="auto"/>
        </w:rPr>
        <w:t>11.6.8 If there are any clinical studies being conducted by or under the authority of Licensee or any of its Affiliates or any Sublicensee at the time of notice of termination, Licensee shall, as INFI may request, (a) at Licensee’s expense, promptly transition to INFI or its designee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202" w:name="page203"/>
    <w:bookmarkEnd w:id="202"/>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some or all of such on-going clinical studies and the activities related to or supporting such clinical studies, (b) at INFI’s expense, continue to conduct such on-going clinical studies for a period requested by INFI up to a maximum of [* * *] months after the effective date of such termination, or (c) at Licensee’s expense, terminate such on-going clinical studies in a manner consistent with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in the event that INFI, Licensee, an institutional review board or independent safety board determines that an on-going clinical study being run by Licensee or any of its Affiliates or any Sublicensee would pose an unacceptable safety risk for subjects or patients participating in such on-going clinical study, Licensee shall not be obligated to continue such clinical study and Licensee shall provide INFI with a full explanation of the safety issue concerns raised by such institutional review board or independent safety board and, if requested by INFI, reasonable documentation thereof; and</w:t>
      </w:r>
    </w:p>
    <w:p>
      <w:pPr>
        <w:spacing w:after="0" w:line="159" w:lineRule="exact"/>
        <w:rPr>
          <w:sz w:val="20"/>
          <w:szCs w:val="20"/>
          <w:color w:val="auto"/>
        </w:rPr>
      </w:pPr>
    </w:p>
    <w:p>
      <w:pPr>
        <w:jc w:val="both"/>
        <w:ind w:firstLine="1292"/>
        <w:spacing w:after="0" w:line="275" w:lineRule="auto"/>
        <w:rPr>
          <w:sz w:val="20"/>
          <w:szCs w:val="20"/>
          <w:color w:val="auto"/>
        </w:rPr>
      </w:pPr>
      <w:r>
        <w:rPr>
          <w:rFonts w:ascii="Arial" w:cs="Arial" w:eastAsia="Arial" w:hAnsi="Arial"/>
          <w:sz w:val="20"/>
          <w:szCs w:val="20"/>
          <w:color w:val="auto"/>
        </w:rPr>
        <w:t>11.6.9 At INFI’s request, Licensee shall provide INFI written notice of the quantity of the IPI-145 Compound or IPI-145 Product that Licensee or any of its Affiliates has in inventory in the Territory and permit INFI, at INFI’s option, to take ownership and control of all or any part of such inventory.</w:t>
      </w:r>
    </w:p>
    <w:p>
      <w:pPr>
        <w:spacing w:after="0" w:line="152"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Notwithstanding any provision of this Agreement to the contrary, Licensee shall have no obligations under Sections 11.6.1 through 11.6.9 unless and until INFI executes the waiver of damages described in Section 11.6 and delivers such executed waiver of damages to Licensee.</w:t>
      </w:r>
    </w:p>
    <w:p>
      <w:pPr>
        <w:spacing w:after="0" w:line="186"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0"/>
          <w:szCs w:val="20"/>
          <w:u w:val="single" w:color="auto"/>
          <w:color w:val="auto"/>
        </w:rPr>
        <w:t>Effect of Termination by Licensee Pursuant to Section 11.2 or 11.5</w:t>
      </w:r>
      <w:r>
        <w:rPr>
          <w:rFonts w:ascii="Arial" w:cs="Arial" w:eastAsia="Arial" w:hAnsi="Arial"/>
          <w:sz w:val="20"/>
          <w:szCs w:val="20"/>
          <w:color w:val="auto"/>
        </w:rPr>
        <w:t>. Upon Licensee’s termination of this Agreement pursuant to Sections 11.2 or 11.5, all rights and licenses granted by INFI to Licensee hereunder shall terminate and Licensee shall not have any rights to use, or exercise any rights under, the Duvelisib IP and all rights and license granted by Licensee to INFI under Section 2.3 shall terminate (except as otherwise set forth in Section 6.1.2) and INFI shall not have any rights to use, or exercise any rights under, the Licensee IP. At INFI’s sole cost and request, the Parties shall perform the following actions and in such an event, INFI shall pay to Licensee a royalty of [* * *] on Net Sales (applied to INFI in the same manner as applied to Licensee):</w:t>
      </w:r>
    </w:p>
    <w:p>
      <w:pPr>
        <w:spacing w:after="0" w:line="167" w:lineRule="exact"/>
        <w:rPr>
          <w:sz w:val="20"/>
          <w:szCs w:val="20"/>
          <w:color w:val="auto"/>
        </w:rPr>
      </w:pPr>
    </w:p>
    <w:p>
      <w:pPr>
        <w:jc w:val="both"/>
        <w:ind w:firstLine="1292"/>
        <w:spacing w:after="0" w:line="258" w:lineRule="auto"/>
        <w:rPr>
          <w:sz w:val="20"/>
          <w:szCs w:val="20"/>
          <w:color w:val="auto"/>
        </w:rPr>
      </w:pPr>
      <w:r>
        <w:rPr>
          <w:rFonts w:ascii="Arial" w:cs="Arial" w:eastAsia="Arial" w:hAnsi="Arial"/>
          <w:sz w:val="20"/>
          <w:szCs w:val="20"/>
          <w:color w:val="auto"/>
        </w:rPr>
        <w:t>11.7.1 To the extent requested by INFI, Licensee shall, at INFI’s own expense, promptly transfer and assign to INFI all of Licensee’s, each of its Affiliates’ and each Sublicensee’s rights in any INDs, Marketing Authorizations and Regulatory Documentation necessary or useful for the Research (including to perform medicinal chemistry), Development, Manufacture or Commercialization of the IPI-145 Compound or IPI-145 Product in the Territory; except that Licensee may retain a single copy of such items for its records, and such Regulatory Documentation shall become the Confidential Information of INFI (with INFI considered the Disclosing Party and Licensee considered the Receiving Party), and Licensee may not rely on the exceptions enumerated in Sections 8.1.1, 8.1.2 or 8.1.5 with respect to its obligations regarding the confidentiality and non-use of such Confidential Information under this Agreement;</w:t>
      </w:r>
    </w:p>
    <w:p>
      <w:pPr>
        <w:spacing w:after="0" w:line="171" w:lineRule="exact"/>
        <w:rPr>
          <w:sz w:val="20"/>
          <w:szCs w:val="20"/>
          <w:color w:val="auto"/>
        </w:rPr>
      </w:pPr>
    </w:p>
    <w:p>
      <w:pPr>
        <w:jc w:val="both"/>
        <w:ind w:firstLine="1292"/>
        <w:spacing w:after="0" w:line="249" w:lineRule="auto"/>
        <w:rPr>
          <w:sz w:val="20"/>
          <w:szCs w:val="20"/>
          <w:color w:val="auto"/>
        </w:rPr>
      </w:pPr>
      <w:r>
        <w:rPr>
          <w:rFonts w:ascii="Arial" w:cs="Arial" w:eastAsia="Arial" w:hAnsi="Arial"/>
          <w:sz w:val="22"/>
          <w:szCs w:val="22"/>
          <w:color w:val="auto"/>
        </w:rPr>
        <w:t>11.7.2 At INFI’s request, Licensee shall, at INFI’s expense, promptly transfer and assign to INFI all of Licensee’s, each of its Affiliates’ and each Sublicensee’s rights, title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03" w:name="page204"/>
    <w:bookmarkEnd w:id="203"/>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right="20"/>
        <w:spacing w:after="0" w:line="326" w:lineRule="auto"/>
        <w:rPr>
          <w:sz w:val="20"/>
          <w:szCs w:val="20"/>
          <w:color w:val="auto"/>
        </w:rPr>
      </w:pPr>
      <w:r>
        <w:rPr>
          <w:rFonts w:ascii="Arial" w:cs="Arial" w:eastAsia="Arial" w:hAnsi="Arial"/>
          <w:sz w:val="19"/>
          <w:szCs w:val="19"/>
          <w:color w:val="auto"/>
        </w:rPr>
        <w:t>interests in and to the IPI-145 Product-specific trademark(s) (for the avoidance of doubt, not including any Licensee housemarks) used for the IPI-145 Product in the Territory, including the Product Mark, and all goodwill therein;</w:t>
      </w:r>
    </w:p>
    <w:p>
      <w:pPr>
        <w:spacing w:after="0" w:line="106" w:lineRule="exact"/>
        <w:rPr>
          <w:sz w:val="20"/>
          <w:szCs w:val="20"/>
          <w:color w:val="auto"/>
        </w:rPr>
      </w:pPr>
    </w:p>
    <w:p>
      <w:pPr>
        <w:jc w:val="both"/>
        <w:ind w:right="20" w:firstLine="1292"/>
        <w:spacing w:after="0" w:line="272" w:lineRule="auto"/>
        <w:rPr>
          <w:sz w:val="20"/>
          <w:szCs w:val="20"/>
          <w:color w:val="auto"/>
        </w:rPr>
      </w:pPr>
      <w:r>
        <w:rPr>
          <w:rFonts w:ascii="Arial" w:cs="Arial" w:eastAsia="Arial" w:hAnsi="Arial"/>
          <w:sz w:val="19"/>
          <w:szCs w:val="19"/>
          <w:color w:val="auto"/>
        </w:rPr>
        <w:t>11.7.3 If there are any clinical studies being conducted by or under the authority of Licensee or any of its Affiliates or any Sublicensee at the time of notice of termination, Licensee shall, as INFI may request, (a) at INFI’s expense (including the reimbursement of Licensee’s reasonable and documented Internal Personnel Expenses and Out-of-Pocket Expenses in connection therewith), promptly transition to INFI or its designee some or all of such on-going clinical studies and the activities related to or supporting such clinical studies, (b) at INFI’s expense (including the reimbursement of Licensee’s reasonable and documented Internal Personnel Expenses and Out-of-Pocket Expenses in connection therewith), and to the extent possible given the resources Licensee has available to it at the relevant time, continue to conduct such on-going clinical studies for a period requested by INFI up to a maximum of [* * *] months after the effective date of such termination, or (c) at INFI’s expense (including the reimbursement of Licensee’s reasonable and documented Internal Personnel Expenses and Out-of-Pocket Expenses in connection therewith), terminate such on-going clinical studies in a manner consistent with applicable Law</w:t>
      </w:r>
    </w:p>
    <w:p>
      <w:pPr>
        <w:spacing w:after="0" w:line="156"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u w:val="single" w:color="auto"/>
          <w:color w:val="auto"/>
        </w:rPr>
        <w:t>Accrued Rights; Surviving Provisions of the Agreement</w:t>
      </w:r>
      <w:r>
        <w:rPr>
          <w:rFonts w:ascii="Arial" w:cs="Arial" w:eastAsia="Arial" w:hAnsi="Arial"/>
          <w:sz w:val="19"/>
          <w:szCs w:val="19"/>
          <w:color w:val="auto"/>
        </w:rPr>
        <w:t>.</w:t>
      </w:r>
    </w:p>
    <w:p>
      <w:pPr>
        <w:spacing w:after="0" w:line="205" w:lineRule="exact"/>
        <w:rPr>
          <w:sz w:val="20"/>
          <w:szCs w:val="20"/>
          <w:color w:val="auto"/>
        </w:rPr>
      </w:pPr>
    </w:p>
    <w:p>
      <w:pPr>
        <w:jc w:val="both"/>
        <w:ind w:right="20" w:firstLine="1292"/>
        <w:spacing w:after="0" w:line="260" w:lineRule="auto"/>
        <w:rPr>
          <w:sz w:val="20"/>
          <w:szCs w:val="20"/>
          <w:color w:val="auto"/>
        </w:rPr>
      </w:pPr>
      <w:r>
        <w:rPr>
          <w:rFonts w:ascii="Arial" w:cs="Arial" w:eastAsia="Arial" w:hAnsi="Arial"/>
          <w:sz w:val="20"/>
          <w:szCs w:val="20"/>
          <w:color w:val="auto"/>
        </w:rPr>
        <w:t>11.8.1 Termination or expiration of this Agreement for any reason shall be without prejudice to any rights that shall have accrued to the benefit of any Party or any Third Party Grantor prior to such termination or expiration, including the payment obligations under this Agreement or any INFI Third Party Agreement (including Licensee’s payment obligations for sales of the IPI-145 Product made during the Term and including Licensee’s payment obligations with respect to any milestone payment or Reimbursement Event achieved during the Term), and any and all damages or remedies arising from any breach hereunder. Such termination or expiration shall not relieve any Party from obligations which are expressly indicated to survive termination of this Agreement.</w:t>
      </w:r>
    </w:p>
    <w:p>
      <w:pPr>
        <w:spacing w:after="0" w:line="167" w:lineRule="exact"/>
        <w:rPr>
          <w:sz w:val="20"/>
          <w:szCs w:val="20"/>
          <w:color w:val="auto"/>
        </w:rPr>
      </w:pPr>
    </w:p>
    <w:p>
      <w:pPr>
        <w:jc w:val="both"/>
        <w:ind w:firstLine="1292"/>
        <w:spacing w:after="0" w:line="256" w:lineRule="auto"/>
        <w:rPr>
          <w:sz w:val="20"/>
          <w:szCs w:val="20"/>
          <w:color w:val="auto"/>
        </w:rPr>
      </w:pPr>
      <w:r>
        <w:rPr>
          <w:rFonts w:ascii="Arial" w:cs="Arial" w:eastAsia="Arial" w:hAnsi="Arial"/>
          <w:sz w:val="20"/>
          <w:szCs w:val="20"/>
          <w:color w:val="auto"/>
        </w:rPr>
        <w:t>11.8.2 The provisions of Sections 2.1 (to the extent such license survives pursuant to Section 6.1.2), 2.2 (to the extent the license in Section 2.1 survives pursuant to Section 6.1.2), 2.3 (except if such license is terminated as a result of INFI’s breach), 2.4.6 (as applicable), 2.4.7, 2.4.8 (as applicable), 2.6.1, 2.7 (to the extent the relevant license survives in accordance with this Agreement), 3.1.2(c) (to the extent any portion of the Reimbursement Payments are made in Licensee Common Stock and such restrictions still apply at the time of termination of this Agreement), 3.1.4(b), 6.1.2 (to the extent the grant of such licenses is triggered prior to the effective date of termination), 6.1.4, 6.2 (to the extent related to a Calendar Quarter prior to the termination of this Agreement), 6.3, 6.4, 6.5 (for [* * *]), 6.6 (to the extent there are remaining obligations at the time of termination of this Agreement), 6.7 (to the extent there are remaining obligations at the time of termination of this Agreement), 7.1, 7.2, 7.9.3, 8 (for the survival term specified in Section 8.7), 9.5, 10.1 through 10.4 (solely with respect to indemnifiable events that occur prior to the effective date of termination), 10.5, 10.6 (for the survival periods specified</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2" w:right="899" w:bottom="1440" w:gutter="0" w:footer="0" w:header="0"/>
        </w:sectPr>
      </w:pPr>
    </w:p>
    <w:bookmarkStart w:id="204" w:name="page205"/>
    <w:bookmarkEnd w:id="204"/>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therein), 11.6, 11.7, 11.8, 11.9, 12.1, 12.2, 12.3, 12.4, 12.5, 12.6, 12.7, 12.9, 12.11, 12.12, 12.13, 12.14, 12.15, 12.16, 12.17, 12.18 and 12.19, any applicable definitions in ARTICLE 1 and any other definitions or provisions necessary to interpret such surviving provisions, shall survive the termination of this Agreement in its entirety or expiration of this Agreement for any reason, in accordance with their respective terms and conditions, and for the duration stated, and where no duration is stated, shall survive indefinitely.</w:t>
      </w:r>
    </w:p>
    <w:p>
      <w:pPr>
        <w:spacing w:after="0" w:line="162"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Damages; Relief</w:t>
      </w:r>
      <w:r>
        <w:rPr>
          <w:rFonts w:ascii="Arial" w:cs="Arial" w:eastAsia="Arial" w:hAnsi="Arial"/>
          <w:sz w:val="22"/>
          <w:szCs w:val="22"/>
          <w:color w:val="auto"/>
        </w:rPr>
        <w:t>. Except to the extent INFI executes and delivers a waiver of damages described in Section 11.6, termination of this Agreement shall not preclude either Party from claiming any other damages, compensation or relief that it may be entitled to upon such termination.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7"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Disputes</w:t>
      </w:r>
      <w:r>
        <w:rPr>
          <w:rFonts w:ascii="Arial" w:cs="Arial" w:eastAsia="Arial" w:hAnsi="Arial"/>
          <w:sz w:val="20"/>
          <w:szCs w:val="20"/>
          <w:color w:val="auto"/>
        </w:rPr>
        <w:t>. In the event any dispute arises out of or in relation to or in connection with this Agreement, including failure to perform under or breach of this Agreement, or any issue relating to the interpretation or application of this Agreement or any INFI Third Party Agreement, the Parties shall use good faith efforts to resolve such dispute within [* * *] days after a Party notifies the other Party of such dispute. If the Parties are unable to resolve such dispute within such [* * *] day period, either Party may, by written notice to the other Party, refer such dispute to the Senior Executives for resolution, and the Senior Executives shall attempt in good faith to resolve such dispute within [* * *] days after such notice.</w:t>
      </w:r>
    </w:p>
    <w:p>
      <w:pPr>
        <w:spacing w:after="0" w:line="167"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Arbitration</w:t>
      </w:r>
      <w:r>
        <w:rPr>
          <w:rFonts w:ascii="Arial" w:cs="Arial" w:eastAsia="Arial" w:hAnsi="Arial"/>
          <w:sz w:val="22"/>
          <w:szCs w:val="22"/>
          <w:color w:val="auto"/>
        </w:rPr>
        <w:t>. If the Senior Executives are unable to resolve a given dispute referred to it pursuant to Section 12.1 within [* * *] days following such referral of such dispute, either Party may have such dispute settled by binding arbitration in the manner described below:</w:t>
      </w:r>
    </w:p>
    <w:p>
      <w:pPr>
        <w:spacing w:after="0" w:line="186"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 xml:space="preserve">12.2.1 </w:t>
      </w:r>
      <w:r>
        <w:rPr>
          <w:rFonts w:ascii="Arial" w:cs="Arial" w:eastAsia="Arial" w:hAnsi="Arial"/>
          <w:sz w:val="22"/>
          <w:szCs w:val="22"/>
          <w:u w:val="single" w:color="auto"/>
          <w:color w:val="auto"/>
        </w:rPr>
        <w:t>Arbitration Request</w:t>
      </w:r>
      <w:r>
        <w:rPr>
          <w:rFonts w:ascii="Arial" w:cs="Arial" w:eastAsia="Arial" w:hAnsi="Arial"/>
          <w:sz w:val="22"/>
          <w:szCs w:val="22"/>
          <w:color w:val="auto"/>
        </w:rPr>
        <w:t>. If a Party intends to begin an arbitration to resolve a dispute arising under this Agreement, such Party shall provide written notice (the “</w:t>
      </w:r>
      <w:r>
        <w:rPr>
          <w:rFonts w:ascii="Arial" w:cs="Arial" w:eastAsia="Arial" w:hAnsi="Arial"/>
          <w:sz w:val="22"/>
          <w:szCs w:val="22"/>
          <w:u w:val="single" w:color="auto"/>
          <w:color w:val="auto"/>
        </w:rPr>
        <w:t>Arbitration Request</w:t>
      </w:r>
      <w:r>
        <w:rPr>
          <w:rFonts w:ascii="Arial" w:cs="Arial" w:eastAsia="Arial" w:hAnsi="Arial"/>
          <w:sz w:val="22"/>
          <w:szCs w:val="22"/>
          <w:color w:val="auto"/>
        </w:rPr>
        <w:t>”) to the other Party of such intention and the issues for resolution.</w:t>
      </w:r>
    </w:p>
    <w:p>
      <w:pPr>
        <w:spacing w:after="0" w:line="186" w:lineRule="exact"/>
        <w:rPr>
          <w:sz w:val="20"/>
          <w:szCs w:val="20"/>
          <w:color w:val="auto"/>
        </w:rPr>
      </w:pPr>
    </w:p>
    <w:p>
      <w:pPr>
        <w:jc w:val="both"/>
        <w:ind w:firstLine="1292"/>
        <w:spacing w:after="0" w:line="249" w:lineRule="auto"/>
        <w:rPr>
          <w:sz w:val="20"/>
          <w:szCs w:val="20"/>
          <w:color w:val="auto"/>
        </w:rPr>
      </w:pPr>
      <w:r>
        <w:rPr>
          <w:rFonts w:ascii="Arial" w:cs="Arial" w:eastAsia="Arial" w:hAnsi="Arial"/>
          <w:sz w:val="22"/>
          <w:szCs w:val="22"/>
          <w:color w:val="auto"/>
        </w:rPr>
        <w:t xml:space="preserve">12.2.2 </w:t>
      </w:r>
      <w:r>
        <w:rPr>
          <w:rFonts w:ascii="Arial" w:cs="Arial" w:eastAsia="Arial" w:hAnsi="Arial"/>
          <w:sz w:val="22"/>
          <w:szCs w:val="22"/>
          <w:u w:val="single" w:color="auto"/>
          <w:color w:val="auto"/>
        </w:rPr>
        <w:t>Additional Issues</w:t>
      </w:r>
      <w:r>
        <w:rPr>
          <w:rFonts w:ascii="Arial" w:cs="Arial" w:eastAsia="Arial" w:hAnsi="Arial"/>
          <w:sz w:val="22"/>
          <w:szCs w:val="22"/>
          <w:color w:val="auto"/>
        </w:rPr>
        <w:t>. Within [* * *] days after the receipt of the Arbitration Request, the other Party may, by written notice, add additional issues for resolution.</w:t>
      </w:r>
    </w:p>
    <w:p>
      <w:pPr>
        <w:spacing w:after="0" w:line="175" w:lineRule="exact"/>
        <w:rPr>
          <w:sz w:val="20"/>
          <w:szCs w:val="20"/>
          <w:color w:val="auto"/>
        </w:rPr>
      </w:pPr>
    </w:p>
    <w:p>
      <w:pPr>
        <w:jc w:val="both"/>
        <w:ind w:firstLine="1292"/>
        <w:spacing w:after="0" w:line="264" w:lineRule="auto"/>
        <w:rPr>
          <w:sz w:val="20"/>
          <w:szCs w:val="20"/>
          <w:color w:val="auto"/>
        </w:rPr>
      </w:pPr>
      <w:r>
        <w:rPr>
          <w:rFonts w:ascii="Arial" w:cs="Arial" w:eastAsia="Arial" w:hAnsi="Arial"/>
          <w:sz w:val="20"/>
          <w:szCs w:val="20"/>
          <w:color w:val="auto"/>
        </w:rPr>
        <w:t xml:space="preserve">12.2.3 </w:t>
      </w:r>
      <w:r>
        <w:rPr>
          <w:rFonts w:ascii="Arial" w:cs="Arial" w:eastAsia="Arial" w:hAnsi="Arial"/>
          <w:sz w:val="20"/>
          <w:szCs w:val="20"/>
          <w:u w:val="single" w:color="auto"/>
          <w:color w:val="auto"/>
        </w:rPr>
        <w:t>Arbitration Rules; Location</w:t>
      </w:r>
      <w:r>
        <w:rPr>
          <w:rFonts w:ascii="Arial" w:cs="Arial" w:eastAsia="Arial" w:hAnsi="Arial"/>
          <w:sz w:val="20"/>
          <w:szCs w:val="20"/>
          <w:color w:val="auto"/>
        </w:rPr>
        <w:t>. Except as expressly provided herein, the sole mechanism for resolution of any claim, dispute or controversy arising out of or in connection with or relating to this Agreement or the breach or alleged breach thereof shall be arbitration by the American Arbitration Association (“</w:t>
      </w:r>
      <w:r>
        <w:rPr>
          <w:rFonts w:ascii="Arial" w:cs="Arial" w:eastAsia="Arial" w:hAnsi="Arial"/>
          <w:sz w:val="20"/>
          <w:szCs w:val="20"/>
          <w:u w:val="single" w:color="auto"/>
          <w:color w:val="auto"/>
        </w:rPr>
        <w:t>AAA</w:t>
      </w:r>
      <w:r>
        <w:rPr>
          <w:rFonts w:ascii="Arial" w:cs="Arial" w:eastAsia="Arial" w:hAnsi="Arial"/>
          <w:sz w:val="20"/>
          <w:szCs w:val="20"/>
          <w:color w:val="auto"/>
        </w:rPr>
        <w:t>”), in accordance with the Commercial Arbitration Rules and Supplementary Procedures for Large Complex Disputes of the AAA as then in effect. The arbitration shall take place in Boston, Massachusetts.</w:t>
      </w:r>
    </w:p>
    <w:p>
      <w:pPr>
        <w:spacing w:after="0" w:line="162" w:lineRule="exact"/>
        <w:rPr>
          <w:sz w:val="20"/>
          <w:szCs w:val="20"/>
          <w:color w:val="auto"/>
        </w:rPr>
      </w:pPr>
    </w:p>
    <w:p>
      <w:pPr>
        <w:jc w:val="both"/>
        <w:ind w:firstLine="1292"/>
        <w:spacing w:after="0" w:line="249" w:lineRule="auto"/>
        <w:rPr>
          <w:sz w:val="20"/>
          <w:szCs w:val="20"/>
          <w:color w:val="auto"/>
        </w:rPr>
      </w:pPr>
      <w:r>
        <w:rPr>
          <w:rFonts w:ascii="Arial" w:cs="Arial" w:eastAsia="Arial" w:hAnsi="Arial"/>
          <w:sz w:val="22"/>
          <w:szCs w:val="22"/>
          <w:color w:val="auto"/>
        </w:rPr>
        <w:t xml:space="preserve">12.2.4 </w:t>
      </w:r>
      <w:r>
        <w:rPr>
          <w:rFonts w:ascii="Arial" w:cs="Arial" w:eastAsia="Arial" w:hAnsi="Arial"/>
          <w:sz w:val="22"/>
          <w:szCs w:val="22"/>
          <w:u w:val="single" w:color="auto"/>
          <w:color w:val="auto"/>
        </w:rPr>
        <w:t>English Language</w:t>
      </w:r>
      <w:r>
        <w:rPr>
          <w:rFonts w:ascii="Arial" w:cs="Arial" w:eastAsia="Arial" w:hAnsi="Arial"/>
          <w:sz w:val="22"/>
          <w:szCs w:val="22"/>
          <w:color w:val="auto"/>
        </w:rPr>
        <w:t>. All proceedings shall be held in English and a transcribed record prepared in English. Documents submitted in the arbitration (the originals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05" w:name="page206"/>
    <w:bookmarkEnd w:id="205"/>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which are not in English) shall be submitted together with a reasonably complete and accurate English translation.</w:t>
      </w:r>
    </w:p>
    <w:p>
      <w:pPr>
        <w:spacing w:after="0" w:line="239" w:lineRule="exact"/>
        <w:rPr>
          <w:sz w:val="20"/>
          <w:szCs w:val="20"/>
          <w:color w:val="auto"/>
        </w:rPr>
      </w:pPr>
    </w:p>
    <w:p>
      <w:pPr>
        <w:jc w:val="both"/>
        <w:ind w:firstLine="1292"/>
        <w:spacing w:after="0" w:line="235" w:lineRule="auto"/>
        <w:rPr>
          <w:sz w:val="20"/>
          <w:szCs w:val="20"/>
          <w:color w:val="auto"/>
        </w:rPr>
      </w:pPr>
      <w:r>
        <w:rPr>
          <w:rFonts w:ascii="Arial" w:cs="Arial" w:eastAsia="Arial" w:hAnsi="Arial"/>
          <w:sz w:val="22"/>
          <w:szCs w:val="22"/>
          <w:color w:val="auto"/>
        </w:rPr>
        <w:t xml:space="preserve">12.2.5 </w:t>
      </w:r>
      <w:r>
        <w:rPr>
          <w:rFonts w:ascii="Arial" w:cs="Arial" w:eastAsia="Arial" w:hAnsi="Arial"/>
          <w:sz w:val="22"/>
          <w:szCs w:val="22"/>
          <w:u w:val="single" w:color="auto"/>
          <w:color w:val="auto"/>
        </w:rPr>
        <w:t>Selection of Arbitrators</w:t>
      </w:r>
      <w:r>
        <w:rPr>
          <w:rFonts w:ascii="Arial" w:cs="Arial" w:eastAsia="Arial" w:hAnsi="Arial"/>
          <w:sz w:val="22"/>
          <w:szCs w:val="22"/>
          <w:color w:val="auto"/>
        </w:rPr>
        <w:t>. Each Party shall choose one arbitrator within [* * *] days after receipt of notice of the intent to arbitrate and the said two arbitrators shall select by mutual agreement a third arbitrator within [* * *] days after they have been selected as arbitrators. If one or more arbitrators are not appointed within the times herein provided or any extension of time that is mutually agreed on, the AAA shall make such appointment within [* * *] days after such failure.</w:t>
      </w:r>
    </w:p>
    <w:p>
      <w:pPr>
        <w:spacing w:after="0" w:line="188"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 xml:space="preserve">12.2.6 </w:t>
      </w:r>
      <w:r>
        <w:rPr>
          <w:rFonts w:ascii="Arial" w:cs="Arial" w:eastAsia="Arial" w:hAnsi="Arial"/>
          <w:sz w:val="22"/>
          <w:szCs w:val="22"/>
          <w:u w:val="single" w:color="auto"/>
          <w:color w:val="auto"/>
        </w:rPr>
        <w:t>Experience</w:t>
      </w:r>
      <w:r>
        <w:rPr>
          <w:rFonts w:ascii="Arial" w:cs="Arial" w:eastAsia="Arial" w:hAnsi="Arial"/>
          <w:sz w:val="22"/>
          <w:szCs w:val="22"/>
          <w:color w:val="auto"/>
        </w:rPr>
        <w:t>. If the issues in dispute involve scientific or technical matters, any arbitrators chosen hereunder shall have educational training or experience sufficient to demonstrate a reasonable level of knowledge in the pharmaceutical and biotechnology fields.</w:t>
      </w:r>
    </w:p>
    <w:p>
      <w:pPr>
        <w:spacing w:after="0" w:line="186" w:lineRule="exact"/>
        <w:rPr>
          <w:sz w:val="20"/>
          <w:szCs w:val="20"/>
          <w:color w:val="auto"/>
        </w:rPr>
      </w:pPr>
    </w:p>
    <w:p>
      <w:pPr>
        <w:jc w:val="both"/>
        <w:ind w:firstLine="1292"/>
        <w:spacing w:after="0" w:line="235" w:lineRule="auto"/>
        <w:rPr>
          <w:sz w:val="20"/>
          <w:szCs w:val="20"/>
          <w:color w:val="auto"/>
        </w:rPr>
      </w:pPr>
      <w:r>
        <w:rPr>
          <w:rFonts w:ascii="Arial" w:cs="Arial" w:eastAsia="Arial" w:hAnsi="Arial"/>
          <w:sz w:val="22"/>
          <w:szCs w:val="22"/>
          <w:color w:val="auto"/>
        </w:rPr>
        <w:t xml:space="preserve">12.2.7 </w:t>
      </w:r>
      <w:r>
        <w:rPr>
          <w:rFonts w:ascii="Arial" w:cs="Arial" w:eastAsia="Arial" w:hAnsi="Arial"/>
          <w:sz w:val="22"/>
          <w:szCs w:val="22"/>
          <w:u w:val="single" w:color="auto"/>
          <w:color w:val="auto"/>
        </w:rPr>
        <w:t>Time Schedule</w:t>
      </w:r>
      <w:r>
        <w:rPr>
          <w:rFonts w:ascii="Arial" w:cs="Arial" w:eastAsia="Arial" w:hAnsi="Arial"/>
          <w:sz w:val="22"/>
          <w:szCs w:val="22"/>
          <w:color w:val="auto"/>
        </w:rPr>
        <w:t>. Within [* * *] days after initiation of arbitration, the Parties shall reach agreement upon and thereafter follow procedures directed at ensuring that the arbitration will be concluded and the final award rendered within no more than [* * *] months from selection of the three arbitrators or as soon thereafter as practicable. Failing such agreement, the AAA will design and the Parties will follow procedures directed at meeting such a time schedule.</w:t>
      </w:r>
    </w:p>
    <w:p>
      <w:pPr>
        <w:spacing w:after="0" w:line="188" w:lineRule="exact"/>
        <w:rPr>
          <w:sz w:val="20"/>
          <w:szCs w:val="20"/>
          <w:color w:val="auto"/>
        </w:rPr>
      </w:pPr>
    </w:p>
    <w:p>
      <w:pPr>
        <w:jc w:val="both"/>
        <w:ind w:firstLine="1292"/>
        <w:spacing w:after="0" w:line="275" w:lineRule="auto"/>
        <w:rPr>
          <w:sz w:val="20"/>
          <w:szCs w:val="20"/>
          <w:color w:val="auto"/>
        </w:rPr>
      </w:pPr>
      <w:r>
        <w:rPr>
          <w:rFonts w:ascii="Arial" w:cs="Arial" w:eastAsia="Arial" w:hAnsi="Arial"/>
          <w:sz w:val="20"/>
          <w:szCs w:val="20"/>
          <w:color w:val="auto"/>
        </w:rPr>
        <w:t xml:space="preserve">12.2.8 </w:t>
      </w:r>
      <w:r>
        <w:rPr>
          <w:rFonts w:ascii="Arial" w:cs="Arial" w:eastAsia="Arial" w:hAnsi="Arial"/>
          <w:sz w:val="20"/>
          <w:szCs w:val="20"/>
          <w:u w:val="single" w:color="auto"/>
          <w:color w:val="auto"/>
        </w:rPr>
        <w:t>Powers of Arbitrators</w:t>
      </w:r>
      <w:r>
        <w:rPr>
          <w:rFonts w:ascii="Arial" w:cs="Arial" w:eastAsia="Arial" w:hAnsi="Arial"/>
          <w:sz w:val="20"/>
          <w:szCs w:val="20"/>
          <w:color w:val="auto"/>
        </w:rPr>
        <w:t>. The arbitrators shall be limited in the scope of their authority to resolving only the specific matter which the Parties have referred to arbitration for resolution and shall not have authority to render any decision or award on any other issues. Without limiting the foregoing, the arbitrators:</w:t>
      </w:r>
    </w:p>
    <w:p>
      <w:pPr>
        <w:spacing w:after="0" w:line="152" w:lineRule="exact"/>
        <w:rPr>
          <w:sz w:val="20"/>
          <w:szCs w:val="20"/>
          <w:color w:val="auto"/>
        </w:rPr>
      </w:pPr>
    </w:p>
    <w:p>
      <w:pPr>
        <w:jc w:val="both"/>
        <w:ind w:firstLine="1938"/>
        <w:spacing w:after="0" w:line="249" w:lineRule="auto"/>
        <w:rPr>
          <w:sz w:val="20"/>
          <w:szCs w:val="20"/>
          <w:color w:val="auto"/>
        </w:rPr>
      </w:pPr>
      <w:r>
        <w:rPr>
          <w:rFonts w:ascii="Arial" w:cs="Arial" w:eastAsia="Arial" w:hAnsi="Arial"/>
          <w:sz w:val="22"/>
          <w:szCs w:val="22"/>
          <w:color w:val="auto"/>
        </w:rPr>
        <w:t>(a) shall not have any power or authority to add to, alter, amend or modify the terms of this Agreement but shall specify rules sufficient to allow reasonable discovery by the Parties;</w:t>
      </w:r>
    </w:p>
    <w:p>
      <w:pPr>
        <w:spacing w:after="0" w:line="175" w:lineRule="exact"/>
        <w:rPr>
          <w:sz w:val="20"/>
          <w:szCs w:val="20"/>
          <w:color w:val="auto"/>
        </w:rPr>
      </w:pPr>
    </w:p>
    <w:p>
      <w:pPr>
        <w:ind w:left="1940"/>
        <w:spacing w:after="0"/>
        <w:tabs>
          <w:tab w:leader="none" w:pos="39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shall  establish  and  enforce  appropriate  rules  to  ensure  that  the</w:t>
      </w:r>
    </w:p>
    <w:p>
      <w:pPr>
        <w:spacing w:after="0" w:line="3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proceedings, including the decision, be kept confidential and that all Confidential Information of any Party disclosed during such proceedings be kept confidential in accordance with this Agreement and be used for no purpose other than the arbitration unless otherwise permitted in accordance with ARTICLE 8; and</w:t>
      </w:r>
    </w:p>
    <w:p>
      <w:pPr>
        <w:spacing w:after="0" w:line="159" w:lineRule="exact"/>
        <w:rPr>
          <w:sz w:val="20"/>
          <w:szCs w:val="20"/>
          <w:color w:val="auto"/>
        </w:rPr>
      </w:pPr>
    </w:p>
    <w:p>
      <w:pPr>
        <w:ind w:left="1940"/>
        <w:spacing w:after="0"/>
        <w:tabs>
          <w:tab w:leader="none" w:pos="39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shall issue all preliminary awards and the final award in writing.</w:t>
      </w:r>
    </w:p>
    <w:p>
      <w:pPr>
        <w:spacing w:after="0" w:line="205" w:lineRule="exact"/>
        <w:rPr>
          <w:sz w:val="20"/>
          <w:szCs w:val="20"/>
          <w:color w:val="auto"/>
        </w:rPr>
      </w:pPr>
    </w:p>
    <w:p>
      <w:pPr>
        <w:jc w:val="both"/>
        <w:ind w:firstLine="1292"/>
        <w:spacing w:after="0" w:line="281" w:lineRule="auto"/>
        <w:rPr>
          <w:sz w:val="20"/>
          <w:szCs w:val="20"/>
          <w:color w:val="auto"/>
        </w:rPr>
      </w:pPr>
      <w:r>
        <w:rPr>
          <w:rFonts w:ascii="Arial" w:cs="Arial" w:eastAsia="Arial" w:hAnsi="Arial"/>
          <w:sz w:val="19"/>
          <w:szCs w:val="19"/>
          <w:color w:val="auto"/>
        </w:rPr>
        <w:t xml:space="preserve">12.2.9 </w:t>
      </w:r>
      <w:r>
        <w:rPr>
          <w:rFonts w:ascii="Arial" w:cs="Arial" w:eastAsia="Arial" w:hAnsi="Arial"/>
          <w:sz w:val="19"/>
          <w:szCs w:val="19"/>
          <w:u w:val="single" w:color="auto"/>
          <w:color w:val="auto"/>
        </w:rPr>
        <w:t>Injunctive Relief</w:t>
      </w:r>
      <w:r>
        <w:rPr>
          <w:rFonts w:ascii="Arial" w:cs="Arial" w:eastAsia="Arial" w:hAnsi="Arial"/>
          <w:sz w:val="19"/>
          <w:szCs w:val="19"/>
          <w:color w:val="auto"/>
        </w:rPr>
        <w:t>. Nothing in this Agreement shall be deemed as preventing either Party from seeking injunctive relief (or any other provisional remedy such as temporary restraining order, preliminary injunction or other interim equitable relief) from the arbitrators or from any court having jurisdiction over the Parties (and prior to or during any arbitration if necessary to protect the interests of such Party in avoiding irreparable harm or to preserve the status quo pending the arbitration proceeding) and the subject matter of the dispute, as necessary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06" w:name="page207"/>
    <w:bookmarkEnd w:id="206"/>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to protect such Party’s name, Confidential Information, Know-How or any other proprietary right or otherwise to avoid irreparable harm. Without limiting the generality of the foregoing, either Party may seek such injunctive relief (or any other such provisional remedy) if it reasonably believes that the other Party has breached this Agreement.</w:t>
      </w:r>
    </w:p>
    <w:p>
      <w:pPr>
        <w:spacing w:after="0" w:line="134" w:lineRule="exact"/>
        <w:rPr>
          <w:sz w:val="20"/>
          <w:szCs w:val="20"/>
          <w:color w:val="auto"/>
        </w:rPr>
      </w:pPr>
    </w:p>
    <w:p>
      <w:pPr>
        <w:jc w:val="both"/>
        <w:ind w:firstLine="1292"/>
        <w:spacing w:after="0" w:line="237" w:lineRule="auto"/>
        <w:rPr>
          <w:sz w:val="20"/>
          <w:szCs w:val="20"/>
          <w:color w:val="auto"/>
        </w:rPr>
      </w:pPr>
      <w:r>
        <w:rPr>
          <w:rFonts w:ascii="Arial" w:cs="Arial" w:eastAsia="Arial" w:hAnsi="Arial"/>
          <w:sz w:val="22"/>
          <w:szCs w:val="22"/>
          <w:color w:val="auto"/>
        </w:rPr>
        <w:t xml:space="preserve">12.2.10 </w:t>
      </w:r>
      <w:r>
        <w:rPr>
          <w:rFonts w:ascii="Arial" w:cs="Arial" w:eastAsia="Arial" w:hAnsi="Arial"/>
          <w:sz w:val="22"/>
          <w:szCs w:val="22"/>
          <w:u w:val="single" w:color="auto"/>
          <w:color w:val="auto"/>
        </w:rPr>
        <w:t>Costs; Exclusion from Award</w:t>
      </w:r>
      <w:r>
        <w:rPr>
          <w:rFonts w:ascii="Arial" w:cs="Arial" w:eastAsia="Arial" w:hAnsi="Arial"/>
          <w:sz w:val="22"/>
          <w:szCs w:val="22"/>
          <w:color w:val="auto"/>
        </w:rPr>
        <w:t>. The award rendered by the arbitrators shall not include costs of arbitration, attorneys’ fees or costs for expert and other witnesses, which shall be the responsibility of each Party (</w:t>
      </w:r>
      <w:r>
        <w:rPr>
          <w:rFonts w:ascii="Arial" w:cs="Arial" w:eastAsia="Arial" w:hAnsi="Arial"/>
          <w:sz w:val="22"/>
          <w:szCs w:val="22"/>
          <w:i w:val="1"/>
          <w:iCs w:val="1"/>
          <w:color w:val="auto"/>
        </w:rPr>
        <w:t>i.e.</w:t>
      </w:r>
      <w:r>
        <w:rPr>
          <w:rFonts w:ascii="Arial" w:cs="Arial" w:eastAsia="Arial" w:hAnsi="Arial"/>
          <w:sz w:val="22"/>
          <w:szCs w:val="22"/>
          <w:color w:val="auto"/>
        </w:rPr>
        <w:t>, each Party shall bear its own costs and expenses), except that the Parties shall share equally the fees of the arbitrators.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80" w:type="dxa"/>
            <w:vAlign w:val="bottom"/>
          </w:tcPr>
          <w:p>
            <w:pPr>
              <w:ind w:left="1300"/>
              <w:spacing w:after="0"/>
              <w:rPr>
                <w:sz w:val="20"/>
                <w:szCs w:val="20"/>
                <w:color w:val="auto"/>
              </w:rPr>
            </w:pPr>
            <w:r>
              <w:rPr>
                <w:rFonts w:ascii="Arial" w:cs="Arial" w:eastAsia="Arial" w:hAnsi="Arial"/>
                <w:sz w:val="22"/>
                <w:szCs w:val="22"/>
                <w:color w:val="auto"/>
              </w:rPr>
              <w:t>12.2.11</w:t>
            </w:r>
          </w:p>
        </w:tc>
        <w:tc>
          <w:tcPr>
            <w:tcW w:w="7280" w:type="dxa"/>
            <w:vAlign w:val="bottom"/>
            <w:gridSpan w:val="3"/>
          </w:tcPr>
          <w:p>
            <w:pPr>
              <w:jc w:val="right"/>
              <w:spacing w:after="0"/>
              <w:rPr>
                <w:sz w:val="20"/>
                <w:szCs w:val="20"/>
                <w:color w:val="auto"/>
              </w:rPr>
            </w:pPr>
            <w:r>
              <w:rPr>
                <w:rFonts w:ascii="Arial" w:cs="Arial" w:eastAsia="Arial" w:hAnsi="Arial"/>
                <w:sz w:val="22"/>
                <w:szCs w:val="22"/>
                <w:color w:val="auto"/>
                <w:w w:val="87"/>
              </w:rPr>
              <w:t>Judgment. Judgment on the award rendered by the arbitrators may be entered in any</w:t>
            </w:r>
          </w:p>
        </w:tc>
      </w:tr>
      <w:tr>
        <w:trPr>
          <w:trHeight w:val="20"/>
        </w:trPr>
        <w:tc>
          <w:tcPr>
            <w:tcW w:w="27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73"/>
        </w:trPr>
        <w:tc>
          <w:tcPr>
            <w:tcW w:w="10060" w:type="dxa"/>
            <w:vAlign w:val="bottom"/>
            <w:gridSpan w:val="4"/>
          </w:tcPr>
          <w:p>
            <w:pPr>
              <w:spacing w:after="0"/>
              <w:rPr>
                <w:sz w:val="20"/>
                <w:szCs w:val="20"/>
                <w:color w:val="auto"/>
              </w:rPr>
            </w:pPr>
            <w:r>
              <w:rPr>
                <w:rFonts w:ascii="Arial" w:cs="Arial" w:eastAsia="Arial" w:hAnsi="Arial"/>
                <w:sz w:val="22"/>
                <w:szCs w:val="22"/>
                <w:color w:val="auto"/>
              </w:rPr>
              <w:t>court having jurisdiction thereof.</w:t>
            </w:r>
          </w:p>
        </w:tc>
      </w:tr>
      <w:tr>
        <w:trPr>
          <w:trHeight w:val="407"/>
        </w:trPr>
        <w:tc>
          <w:tcPr>
            <w:tcW w:w="2780" w:type="dxa"/>
            <w:vAlign w:val="bottom"/>
          </w:tcPr>
          <w:p>
            <w:pPr>
              <w:ind w:left="1300"/>
              <w:spacing w:after="0"/>
              <w:rPr>
                <w:sz w:val="20"/>
                <w:szCs w:val="20"/>
                <w:color w:val="auto"/>
              </w:rPr>
            </w:pPr>
            <w:r>
              <w:rPr>
                <w:rFonts w:ascii="Arial" w:cs="Arial" w:eastAsia="Arial" w:hAnsi="Arial"/>
                <w:sz w:val="22"/>
                <w:szCs w:val="22"/>
                <w:color w:val="auto"/>
              </w:rPr>
              <w:t>12.2.12</w:t>
            </w:r>
          </w:p>
        </w:tc>
        <w:tc>
          <w:tcPr>
            <w:tcW w:w="7280" w:type="dxa"/>
            <w:vAlign w:val="bottom"/>
            <w:gridSpan w:val="3"/>
          </w:tcPr>
          <w:p>
            <w:pPr>
              <w:jc w:val="right"/>
              <w:spacing w:after="0"/>
              <w:rPr>
                <w:sz w:val="20"/>
                <w:szCs w:val="20"/>
                <w:color w:val="auto"/>
              </w:rPr>
            </w:pPr>
            <w:r>
              <w:rPr>
                <w:rFonts w:ascii="Arial" w:cs="Arial" w:eastAsia="Arial" w:hAnsi="Arial"/>
                <w:sz w:val="22"/>
                <w:szCs w:val="22"/>
                <w:color w:val="auto"/>
                <w:w w:val="91"/>
              </w:rPr>
              <w:t>Survivability. Any duty to arbitrate under this Agreement shall remain in effect and</w:t>
            </w:r>
          </w:p>
        </w:tc>
      </w:tr>
      <w:tr>
        <w:trPr>
          <w:trHeight w:val="20"/>
        </w:trPr>
        <w:tc>
          <w:tcPr>
            <w:tcW w:w="2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be enforceable after termination of this Agreement.</w:t>
      </w:r>
    </w:p>
    <w:p>
      <w:pPr>
        <w:spacing w:after="0" w:line="205"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Timing</w:t>
      </w:r>
      <w:r>
        <w:rPr>
          <w:rFonts w:ascii="Arial" w:cs="Arial" w:eastAsia="Arial" w:hAnsi="Arial"/>
          <w:sz w:val="22"/>
          <w:szCs w:val="22"/>
          <w:color w:val="auto"/>
        </w:rPr>
        <w:t>. Resolution of any disputes shall be subject to the relevant Third Party Grantor’s rights under the applicable INFI Third Party Agreement and any time frames set forth in Sections 12.1 or 12.2 shall, to the extent necessary to comply with such rights, be modified to accommodate the time-frames for dispute resolution under the relevant INFI Third Party Agreement.</w:t>
      </w:r>
    </w:p>
    <w:p>
      <w:pPr>
        <w:spacing w:after="0" w:line="185"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dispute arising from the performance or breach hereof shall be governed by and construed and enforced in accordance with the Laws of the State of New York without giving effect to conflicts of the laws provisions thereof. The provisions of the United Nations Convention on Contracts for the International Sale of Goods shall not apply to this Agreement or any subject matter hereof.</w:t>
      </w:r>
    </w:p>
    <w:p>
      <w:pPr>
        <w:spacing w:after="0" w:line="157"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u w:val="single" w:color="auto"/>
          <w:color w:val="auto"/>
        </w:rPr>
        <w:t>Assignment</w:t>
      </w:r>
      <w:r>
        <w:rPr>
          <w:rFonts w:ascii="Arial" w:cs="Arial" w:eastAsia="Arial" w:hAnsi="Arial"/>
          <w:sz w:val="20"/>
          <w:szCs w:val="20"/>
          <w:color w:val="auto"/>
        </w:rPr>
        <w:t xml:space="preserve">. Neither this Agreement nor any right or obligation hereunder may be assigned or otherwise transferred by any Party without the consent of the other Party; </w:t>
      </w:r>
      <w:r>
        <w:rPr>
          <w:rFonts w:ascii="Arial" w:cs="Arial" w:eastAsia="Arial" w:hAnsi="Arial"/>
          <w:sz w:val="20"/>
          <w:szCs w:val="20"/>
          <w:u w:val="single" w:color="auto"/>
          <w:color w:val="auto"/>
        </w:rPr>
        <w:t>except that</w:t>
      </w:r>
      <w:r>
        <w:rPr>
          <w:rFonts w:ascii="Arial" w:cs="Arial" w:eastAsia="Arial" w:hAnsi="Arial"/>
          <w:sz w:val="20"/>
          <w:szCs w:val="20"/>
          <w:color w:val="auto"/>
        </w:rPr>
        <w:t xml:space="preserve"> any Party may, without such consent, assign this Agreement, in whole or in part: (a) to any of its respective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the assigning Party shall remain jointly and severally liable with such Affiliate in respect of all obligations so assigned; or (b) to any successor in interest by way of merger, acquisition or sale of all or substantially all of its assets to which this Agreement relates,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such successor agrees in writing to be bound by the terms of this Agreement as if it were the assigning party. Any assignment or transfer of this Agreement not in accordance with this Section 12.5 shall be void and unenforceable.</w:t>
      </w:r>
    </w:p>
    <w:p>
      <w:pPr>
        <w:spacing w:after="0" w:line="168"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u w:val="single" w:color="auto"/>
          <w:color w:val="auto"/>
        </w:rPr>
        <w:t>No Reach Through to Acquirer IP</w:t>
      </w:r>
      <w:r>
        <w:rPr>
          <w:rFonts w:ascii="Arial" w:cs="Arial" w:eastAsia="Arial" w:hAnsi="Arial"/>
          <w:sz w:val="19"/>
          <w:szCs w:val="19"/>
          <w:color w:val="auto"/>
        </w:rPr>
        <w:t>.</w:t>
      </w:r>
    </w:p>
    <w:p>
      <w:pPr>
        <w:spacing w:after="0" w:line="205" w:lineRule="exact"/>
        <w:rPr>
          <w:sz w:val="20"/>
          <w:szCs w:val="20"/>
          <w:color w:val="auto"/>
        </w:rPr>
      </w:pPr>
    </w:p>
    <w:p>
      <w:pPr>
        <w:jc w:val="both"/>
        <w:ind w:firstLine="1292"/>
        <w:spacing w:after="0" w:line="237" w:lineRule="auto"/>
        <w:rPr>
          <w:sz w:val="20"/>
          <w:szCs w:val="20"/>
          <w:color w:val="auto"/>
        </w:rPr>
      </w:pPr>
      <w:r>
        <w:rPr>
          <w:rFonts w:ascii="Arial" w:cs="Arial" w:eastAsia="Arial" w:hAnsi="Arial"/>
          <w:sz w:val="22"/>
          <w:szCs w:val="22"/>
          <w:color w:val="auto"/>
        </w:rPr>
        <w:t>12.6.1 Notwithstanding anything in this Agreement to the contrary, following the closing of a Change of Control of INFI, Licensee shall not obtain rights or access to the Patent Rights or Know-How controlled by the INFI Acquirer (as defined below) or any of the Affiliates of INFI (other than INFI and its Affiliates which exist immediately prior to the closing of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07" w:name="page208"/>
    <w:bookmarkEnd w:id="207"/>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Change of Control (such Affiliates, the “</w:t>
      </w:r>
      <w:r>
        <w:rPr>
          <w:rFonts w:ascii="Arial" w:cs="Arial" w:eastAsia="Arial" w:hAnsi="Arial"/>
          <w:sz w:val="20"/>
          <w:szCs w:val="20"/>
          <w:u w:val="single" w:color="auto"/>
          <w:color w:val="auto"/>
        </w:rPr>
        <w:t>INFI Pre-Existing Affiliates</w:t>
      </w:r>
      <w:r>
        <w:rPr>
          <w:rFonts w:ascii="Arial" w:cs="Arial" w:eastAsia="Arial" w:hAnsi="Arial"/>
          <w:sz w:val="20"/>
          <w:szCs w:val="20"/>
          <w:color w:val="auto"/>
        </w:rPr>
        <w:t>”)). For clarity but without limitation, Licensee’s rights in all Patent Rights and Know-How Controlled by INFI or any of its INFI Pre-Existing Affiliates, which Patent Rights and Know-How exist as of the date of the closing of such Change of Control and are then licensed hereunder to Licensee, and all Counterparts of such Patent Rights, shall remain licensed to Licensee after the date of the closing of such Change of Control in accordance with and subject to the terms and conditions of this Agreement and shall not be affected in any manner by virtue of such Change of Control. “</w:t>
      </w:r>
      <w:r>
        <w:rPr>
          <w:rFonts w:ascii="Arial" w:cs="Arial" w:eastAsia="Arial" w:hAnsi="Arial"/>
          <w:sz w:val="20"/>
          <w:szCs w:val="20"/>
          <w:u w:val="single" w:color="auto"/>
          <w:color w:val="auto"/>
        </w:rPr>
        <w:t>INFI Acquirer</w:t>
      </w:r>
      <w:r>
        <w:rPr>
          <w:rFonts w:ascii="Arial" w:cs="Arial" w:eastAsia="Arial" w:hAnsi="Arial"/>
          <w:sz w:val="20"/>
          <w:szCs w:val="20"/>
          <w:color w:val="auto"/>
        </w:rPr>
        <w:t>” means the Third Party that acquires INFI or its direct or indirect controlling Affiliate, or that acquires all or substantially all of the assets of INFI or its direct or indirect controlling Affiliate.</w:t>
      </w:r>
    </w:p>
    <w:p>
      <w:pPr>
        <w:spacing w:after="0" w:line="168" w:lineRule="exact"/>
        <w:rPr>
          <w:sz w:val="20"/>
          <w:szCs w:val="20"/>
          <w:color w:val="auto"/>
        </w:rPr>
      </w:pPr>
    </w:p>
    <w:p>
      <w:pPr>
        <w:jc w:val="both"/>
        <w:ind w:firstLine="1292"/>
        <w:spacing w:after="0" w:line="256" w:lineRule="auto"/>
        <w:rPr>
          <w:sz w:val="20"/>
          <w:szCs w:val="20"/>
          <w:color w:val="auto"/>
        </w:rPr>
      </w:pPr>
      <w:r>
        <w:rPr>
          <w:rFonts w:ascii="Arial" w:cs="Arial" w:eastAsia="Arial" w:hAnsi="Arial"/>
          <w:sz w:val="20"/>
          <w:szCs w:val="20"/>
          <w:color w:val="auto"/>
        </w:rPr>
        <w:t>12.6.2 Notwithstanding anything in this Agreement to the contrary, following the closing of a Change of Control of Licensee, INFI shall not obtain rights or access to the Patent Rights or Know-How controlled by the Licensee Acquirer (as defined below) or any of the Affiliates of Licensee (other than Licensee and its Affiliates which exist immediately prior to the closing of such Change of Control (such Affiliates, the “</w:t>
      </w:r>
      <w:r>
        <w:rPr>
          <w:rFonts w:ascii="Arial" w:cs="Arial" w:eastAsia="Arial" w:hAnsi="Arial"/>
          <w:sz w:val="20"/>
          <w:szCs w:val="20"/>
          <w:u w:val="single" w:color="auto"/>
          <w:color w:val="auto"/>
        </w:rPr>
        <w:t>Licensee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Pre-Existing Affiliates</w:t>
      </w:r>
      <w:r>
        <w:rPr>
          <w:rFonts w:ascii="Arial" w:cs="Arial" w:eastAsia="Arial" w:hAnsi="Arial"/>
          <w:sz w:val="20"/>
          <w:szCs w:val="20"/>
          <w:color w:val="auto"/>
        </w:rPr>
        <w:t>”)). For clarity but without limitation, INFI’s rights in all Patent Rights and Know-How Controlled by Licensee or any of its Licensee Pre-Existing Affiliates, which Patent Rights and Know-How exist as of the date of the closing of such Change of Control and are then licensed hereunder to INFI, and all Counterparts of such Patent Rights, shall remain licensed to INFI after the date of the closing of such Change of Control in accordance with and subject to the terms and conditions of this Agreement and shall not be affected in any manner by virtue of such Change of Control. “</w:t>
      </w:r>
      <w:r>
        <w:rPr>
          <w:rFonts w:ascii="Arial" w:cs="Arial" w:eastAsia="Arial" w:hAnsi="Arial"/>
          <w:sz w:val="20"/>
          <w:szCs w:val="20"/>
          <w:u w:val="single" w:color="auto"/>
          <w:color w:val="auto"/>
        </w:rPr>
        <w:t>Licensee Acquirer</w:t>
      </w:r>
      <w:r>
        <w:rPr>
          <w:rFonts w:ascii="Arial" w:cs="Arial" w:eastAsia="Arial" w:hAnsi="Arial"/>
          <w:sz w:val="20"/>
          <w:szCs w:val="20"/>
          <w:color w:val="auto"/>
        </w:rPr>
        <w:t>” means the Third Party that acquires Licensee or its direct or indirect controlling Affiliate, or that acquires all or substantially all of the assets of Licensee or its direct or indirect controlling Affiliate.</w:t>
      </w:r>
    </w:p>
    <w:p>
      <w:pPr>
        <w:spacing w:after="0" w:line="179"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0"/>
          <w:szCs w:val="20"/>
          <w:color w:val="auto"/>
        </w:rPr>
        <w:t xml:space="preserve">12.7 </w:t>
      </w:r>
      <w:r>
        <w:rPr>
          <w:rFonts w:ascii="Arial" w:cs="Arial" w:eastAsia="Arial" w:hAnsi="Arial"/>
          <w:sz w:val="20"/>
          <w:szCs w:val="20"/>
          <w:u w:val="single" w:color="auto"/>
          <w:color w:val="auto"/>
        </w:rPr>
        <w:t>Licensee Acquisition of Third Party Grantor</w:t>
      </w:r>
      <w:r>
        <w:rPr>
          <w:rFonts w:ascii="Arial" w:cs="Arial" w:eastAsia="Arial" w:hAnsi="Arial"/>
          <w:sz w:val="20"/>
          <w:szCs w:val="20"/>
          <w:color w:val="auto"/>
        </w:rPr>
        <w:t>. In the event that (a) Licensee or any of its Affiliates acquires any Third Party Grantor or any of its Affiliates, by merger, purchase of assets or otherwise, and (b) a breach by Licensee, any of its Affiliates or any Sublicensee of this Agreement results in a breach by INFI of the applicable INFI Third Party Agreement, then: (x) such breach shall not be cited by Licensee or its Affiliates against INFI as a breach of such INFI Third Party Agreement and INFI shall have a reasonable period of time to cure such breach that is no less than the longer of (i) the time that Licensee had to perform such activity or to cure such breach or (ii) one hundred eighty (180) days; (y) if such breach relates to Licensee’s failure to make any payment due hereunder which amount is owed to such Third Party Grantor under such INFI Third Party Agreement, INFI shall have no obligation to make the corresponding payment to such Third Party Grantor; and (z) if such breach is incapable of cure using commercially reasonable efforts, it shall not be deemed a breach of either this Agreement or such INFI Third Party Agreement, and neither Licensee nor its Affiliates shall be entitled to take any further action against INFI with respect to such breach.</w:t>
      </w:r>
    </w:p>
    <w:p>
      <w:pPr>
        <w:spacing w:after="0" w:line="179"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Force Majeure</w:t>
      </w:r>
      <w:r>
        <w:rPr>
          <w:rFonts w:ascii="Arial" w:cs="Arial" w:eastAsia="Arial" w:hAnsi="Arial"/>
          <w:sz w:val="22"/>
          <w:szCs w:val="22"/>
          <w:color w:val="auto"/>
        </w:rPr>
        <w:t>. No Party shall be held liable or responsible to the other Party nor be deemed to be in default under, or in breach of any provision of, this Agreement for failure or delay in fulfilling or performing any obligation (other than a payment obligation) of this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08" w:name="page209"/>
    <w:bookmarkEnd w:id="208"/>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Agreement when such failure or delay is due to force majeure, and without the fault or negligence of the Party so failing or delaying. For purposes of this Agreement, force majeure is defined as causes beyond the reasonable control of the failing or delaying Party, which may include strike, fire, flood, earthquake, accident, war, act of terrorism, act of God or of the government of any country or of any local government or by other cause unavoidable or beyond the reasonable control of such Party. In such event the affected Party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for up to a maximum of ninety (90) days, after which time INFI and Licensee shall promptly meet to discuss in good faith how to best proceed in a manner that maintains and abides by the Agreement. The failing or delaying Party shall use commercially reasonable efforts to minimize the duration of any force majeure and to resume performance of its obligations. Notwithstanding the foregoing, Licensee may not rely on this Section 12.8, or any comparable provision at law or in equity, (a) to excuse, or extend any cure period without respect to, any breach or failure to perform by Licensee that may cause INFI to be in breach of any INFI Third Party Agreement, except to the extent permitted by the applicable INFI Third Party Agreement or (b) to extend any period for performance of any obligation of Licensee (whether to be performed directly or through any of its Affiliates or any Sublicensee) that, if breached, may cause INFI to be in breach of any INFI Third Party Agreement, except to the extent permitted by the applicable INFI Third Party Agreement.</w:t>
      </w:r>
    </w:p>
    <w:p>
      <w:pPr>
        <w:spacing w:after="0" w:line="180"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consents, waivers, and other communications under this Agreement must be in writing and will be deemed to have been duly given when (a) delivered by hand (with written confirmation of receipt) or (b) when received by the addressee, if sent by an internationally recognized overnight delivery service (receipt requested), in each case to the appropriate addresses set forth below (or to such other addresses as a Party may designate by notice):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If to INFI, addressed to:</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Infinity Pharmaceuticals, Inc.</w:t>
      </w:r>
    </w:p>
    <w:p>
      <w:pPr>
        <w:ind w:left="640"/>
        <w:spacing w:after="0" w:line="236" w:lineRule="auto"/>
        <w:rPr>
          <w:sz w:val="20"/>
          <w:szCs w:val="20"/>
          <w:color w:val="auto"/>
        </w:rPr>
      </w:pPr>
      <w:r>
        <w:rPr>
          <w:rFonts w:ascii="Arial" w:cs="Arial" w:eastAsia="Arial" w:hAnsi="Arial"/>
          <w:sz w:val="22"/>
          <w:szCs w:val="22"/>
          <w:color w:val="auto"/>
        </w:rPr>
        <w:t>784 Memorial Drive</w:t>
      </w:r>
    </w:p>
    <w:p>
      <w:pPr>
        <w:ind w:left="640"/>
        <w:spacing w:after="0" w:line="230" w:lineRule="auto"/>
        <w:rPr>
          <w:sz w:val="20"/>
          <w:szCs w:val="20"/>
          <w:color w:val="auto"/>
        </w:rPr>
      </w:pPr>
      <w:r>
        <w:rPr>
          <w:rFonts w:ascii="Arial" w:cs="Arial" w:eastAsia="Arial" w:hAnsi="Arial"/>
          <w:sz w:val="22"/>
          <w:szCs w:val="22"/>
          <w:color w:val="auto"/>
        </w:rPr>
        <w:t>Cambridge, Massachusetts 02139</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General Counsel</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with a copies to:</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Infinity Pharmaceuticals, Inc.</w:t>
      </w:r>
    </w:p>
    <w:p>
      <w:pPr>
        <w:ind w:left="640"/>
        <w:spacing w:after="0" w:line="236" w:lineRule="auto"/>
        <w:rPr>
          <w:sz w:val="20"/>
          <w:szCs w:val="20"/>
          <w:color w:val="auto"/>
        </w:rPr>
      </w:pPr>
      <w:r>
        <w:rPr>
          <w:rFonts w:ascii="Arial" w:cs="Arial" w:eastAsia="Arial" w:hAnsi="Arial"/>
          <w:sz w:val="22"/>
          <w:szCs w:val="22"/>
          <w:color w:val="auto"/>
        </w:rPr>
        <w:t>784 Memorial Drive</w:t>
      </w:r>
    </w:p>
    <w:p>
      <w:pPr>
        <w:ind w:left="640"/>
        <w:spacing w:after="0" w:line="230" w:lineRule="auto"/>
        <w:rPr>
          <w:sz w:val="20"/>
          <w:szCs w:val="20"/>
          <w:color w:val="auto"/>
        </w:rPr>
      </w:pPr>
      <w:r>
        <w:rPr>
          <w:rFonts w:ascii="Arial" w:cs="Arial" w:eastAsia="Arial" w:hAnsi="Arial"/>
          <w:sz w:val="22"/>
          <w:szCs w:val="22"/>
          <w:color w:val="auto"/>
        </w:rPr>
        <w:t>Cambridge, Massachusetts 02139</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Chief Executive Officer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09" w:name="page210"/>
    <w:bookmarkEnd w:id="209"/>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Wilmer Cutler Pickering Hale and Dorr LLP</w:t>
      </w:r>
    </w:p>
    <w:p>
      <w:pPr>
        <w:ind w:left="641"/>
        <w:spacing w:after="0" w:line="236" w:lineRule="auto"/>
        <w:rPr>
          <w:sz w:val="20"/>
          <w:szCs w:val="20"/>
          <w:color w:val="auto"/>
        </w:rPr>
      </w:pPr>
      <w:r>
        <w:rPr>
          <w:rFonts w:ascii="Arial" w:cs="Arial" w:eastAsia="Arial" w:hAnsi="Arial"/>
          <w:sz w:val="22"/>
          <w:szCs w:val="22"/>
          <w:color w:val="auto"/>
        </w:rPr>
        <w:t>60 State Street</w:t>
      </w:r>
    </w:p>
    <w:p>
      <w:pPr>
        <w:ind w:left="641"/>
        <w:spacing w:after="0" w:line="230" w:lineRule="auto"/>
        <w:rPr>
          <w:sz w:val="20"/>
          <w:szCs w:val="20"/>
          <w:color w:val="auto"/>
        </w:rPr>
      </w:pPr>
      <w:r>
        <w:rPr>
          <w:rFonts w:ascii="Arial" w:cs="Arial" w:eastAsia="Arial" w:hAnsi="Arial"/>
          <w:sz w:val="22"/>
          <w:szCs w:val="22"/>
          <w:color w:val="auto"/>
        </w:rPr>
        <w:t>Boston, MA 02109</w:t>
      </w:r>
    </w:p>
    <w:p>
      <w:pPr>
        <w:spacing w:after="0" w:line="1" w:lineRule="exact"/>
        <w:rPr>
          <w:sz w:val="20"/>
          <w:szCs w:val="20"/>
          <w:color w:val="auto"/>
        </w:rPr>
      </w:pPr>
    </w:p>
    <w:p>
      <w:pPr>
        <w:ind w:left="641"/>
        <w:spacing w:after="0"/>
        <w:rPr>
          <w:sz w:val="20"/>
          <w:szCs w:val="20"/>
          <w:color w:val="auto"/>
        </w:rPr>
      </w:pPr>
      <w:r>
        <w:rPr>
          <w:rFonts w:ascii="Arial" w:cs="Arial" w:eastAsia="Arial" w:hAnsi="Arial"/>
          <w:sz w:val="22"/>
          <w:szCs w:val="22"/>
          <w:color w:val="auto"/>
        </w:rPr>
        <w:t>Attention: Belinda M. Juran, Esq.</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22"/>
          <w:szCs w:val="22"/>
          <w:color w:val="auto"/>
        </w:rPr>
        <w:t>If to Licensee, addressed to:</w:t>
      </w:r>
    </w:p>
    <w:p>
      <w:pPr>
        <w:spacing w:after="0" w:line="205" w:lineRule="exact"/>
        <w:rPr>
          <w:sz w:val="20"/>
          <w:szCs w:val="20"/>
          <w:color w:val="auto"/>
        </w:rPr>
      </w:pPr>
    </w:p>
    <w:p>
      <w:pPr>
        <w:ind w:left="641"/>
        <w:spacing w:after="0"/>
        <w:rPr>
          <w:sz w:val="20"/>
          <w:szCs w:val="20"/>
          <w:color w:val="auto"/>
        </w:rPr>
      </w:pPr>
      <w:r>
        <w:rPr>
          <w:rFonts w:ascii="Arial" w:cs="Arial" w:eastAsia="Arial" w:hAnsi="Arial"/>
          <w:sz w:val="22"/>
          <w:szCs w:val="22"/>
          <w:color w:val="auto"/>
        </w:rPr>
        <w:t>Verastem, Inc.</w:t>
      </w:r>
    </w:p>
    <w:p>
      <w:pPr>
        <w:ind w:left="641"/>
        <w:spacing w:after="0" w:line="236" w:lineRule="auto"/>
        <w:rPr>
          <w:sz w:val="20"/>
          <w:szCs w:val="20"/>
          <w:color w:val="auto"/>
        </w:rPr>
      </w:pPr>
      <w:r>
        <w:rPr>
          <w:rFonts w:ascii="Arial" w:cs="Arial" w:eastAsia="Arial" w:hAnsi="Arial"/>
          <w:sz w:val="22"/>
          <w:szCs w:val="22"/>
          <w:color w:val="auto"/>
        </w:rPr>
        <w:t>117 Kendrick Street, Suite 500</w:t>
      </w:r>
    </w:p>
    <w:p>
      <w:pPr>
        <w:ind w:left="641"/>
        <w:spacing w:after="0" w:line="230" w:lineRule="auto"/>
        <w:rPr>
          <w:sz w:val="20"/>
          <w:szCs w:val="20"/>
          <w:color w:val="auto"/>
        </w:rPr>
      </w:pPr>
      <w:r>
        <w:rPr>
          <w:rFonts w:ascii="Arial" w:cs="Arial" w:eastAsia="Arial" w:hAnsi="Arial"/>
          <w:sz w:val="22"/>
          <w:szCs w:val="22"/>
          <w:color w:val="auto"/>
        </w:rPr>
        <w:t>Needham, Massachusetts 02494</w:t>
      </w:r>
    </w:p>
    <w:p>
      <w:pPr>
        <w:spacing w:after="0" w:line="1" w:lineRule="exact"/>
        <w:rPr>
          <w:sz w:val="20"/>
          <w:szCs w:val="20"/>
          <w:color w:val="auto"/>
        </w:rPr>
      </w:pPr>
    </w:p>
    <w:p>
      <w:pPr>
        <w:ind w:left="641"/>
        <w:spacing w:after="0"/>
        <w:rPr>
          <w:sz w:val="20"/>
          <w:szCs w:val="20"/>
          <w:color w:val="auto"/>
        </w:rPr>
      </w:pPr>
      <w:r>
        <w:rPr>
          <w:rFonts w:ascii="Arial" w:cs="Arial" w:eastAsia="Arial" w:hAnsi="Arial"/>
          <w:sz w:val="22"/>
          <w:szCs w:val="22"/>
          <w:color w:val="auto"/>
        </w:rPr>
        <w:t>Attention: Chief Operating Officer</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22"/>
          <w:szCs w:val="22"/>
          <w:color w:val="auto"/>
        </w:rPr>
        <w:t>with a copy to:</w:t>
      </w:r>
    </w:p>
    <w:p>
      <w:pPr>
        <w:spacing w:after="0" w:line="205" w:lineRule="exact"/>
        <w:rPr>
          <w:sz w:val="20"/>
          <w:szCs w:val="20"/>
          <w:color w:val="auto"/>
        </w:rPr>
      </w:pPr>
    </w:p>
    <w:p>
      <w:pPr>
        <w:ind w:left="641"/>
        <w:spacing w:after="0"/>
        <w:rPr>
          <w:sz w:val="20"/>
          <w:szCs w:val="20"/>
          <w:color w:val="auto"/>
        </w:rPr>
      </w:pPr>
      <w:r>
        <w:rPr>
          <w:rFonts w:ascii="Arial" w:cs="Arial" w:eastAsia="Arial" w:hAnsi="Arial"/>
          <w:sz w:val="22"/>
          <w:szCs w:val="22"/>
          <w:color w:val="auto"/>
        </w:rPr>
        <w:t>Verastem, Inc.</w:t>
      </w:r>
    </w:p>
    <w:p>
      <w:pPr>
        <w:ind w:left="641"/>
        <w:spacing w:after="0" w:line="236" w:lineRule="auto"/>
        <w:rPr>
          <w:sz w:val="20"/>
          <w:szCs w:val="20"/>
          <w:color w:val="auto"/>
        </w:rPr>
      </w:pPr>
      <w:r>
        <w:rPr>
          <w:rFonts w:ascii="Arial" w:cs="Arial" w:eastAsia="Arial" w:hAnsi="Arial"/>
          <w:sz w:val="22"/>
          <w:szCs w:val="22"/>
          <w:color w:val="auto"/>
        </w:rPr>
        <w:t>117 Kendrick Street, Suite 500</w:t>
      </w:r>
    </w:p>
    <w:p>
      <w:pPr>
        <w:ind w:left="641"/>
        <w:spacing w:after="0" w:line="230" w:lineRule="auto"/>
        <w:rPr>
          <w:sz w:val="20"/>
          <w:szCs w:val="20"/>
          <w:color w:val="auto"/>
        </w:rPr>
      </w:pPr>
      <w:r>
        <w:rPr>
          <w:rFonts w:ascii="Arial" w:cs="Arial" w:eastAsia="Arial" w:hAnsi="Arial"/>
          <w:sz w:val="22"/>
          <w:szCs w:val="22"/>
          <w:color w:val="auto"/>
        </w:rPr>
        <w:t>Needham, Massachusetts 02494</w:t>
      </w:r>
    </w:p>
    <w:p>
      <w:pPr>
        <w:spacing w:after="0" w:line="1" w:lineRule="exact"/>
        <w:rPr>
          <w:sz w:val="20"/>
          <w:szCs w:val="20"/>
          <w:color w:val="auto"/>
        </w:rPr>
      </w:pPr>
    </w:p>
    <w:p>
      <w:pPr>
        <w:ind w:left="641"/>
        <w:spacing w:after="0"/>
        <w:rPr>
          <w:sz w:val="20"/>
          <w:szCs w:val="20"/>
          <w:color w:val="auto"/>
        </w:rPr>
      </w:pPr>
      <w:r>
        <w:rPr>
          <w:rFonts w:ascii="Arial" w:cs="Arial" w:eastAsia="Arial" w:hAnsi="Arial"/>
          <w:sz w:val="22"/>
          <w:szCs w:val="22"/>
          <w:color w:val="auto"/>
        </w:rPr>
        <w:t>Attention: Senior Corporate Counsel</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22"/>
          <w:szCs w:val="22"/>
          <w:color w:val="auto"/>
        </w:rPr>
        <w:t>and</w:t>
      </w:r>
    </w:p>
    <w:p>
      <w:pPr>
        <w:spacing w:after="0" w:line="232" w:lineRule="exact"/>
        <w:rPr>
          <w:sz w:val="20"/>
          <w:szCs w:val="20"/>
          <w:color w:val="auto"/>
        </w:rPr>
      </w:pPr>
    </w:p>
    <w:p>
      <w:pPr>
        <w:ind w:left="641"/>
        <w:spacing w:after="0"/>
        <w:rPr>
          <w:sz w:val="20"/>
          <w:szCs w:val="20"/>
          <w:color w:val="auto"/>
        </w:rPr>
      </w:pPr>
      <w:r>
        <w:rPr>
          <w:rFonts w:ascii="Arial" w:cs="Arial" w:eastAsia="Arial" w:hAnsi="Arial"/>
          <w:sz w:val="22"/>
          <w:szCs w:val="22"/>
          <w:color w:val="auto"/>
        </w:rPr>
        <w:t>Ropes &amp; Gray LLP</w:t>
      </w:r>
    </w:p>
    <w:p>
      <w:pPr>
        <w:ind w:left="641"/>
        <w:spacing w:after="0" w:line="236" w:lineRule="auto"/>
        <w:rPr>
          <w:sz w:val="20"/>
          <w:szCs w:val="20"/>
          <w:color w:val="auto"/>
        </w:rPr>
      </w:pPr>
      <w:r>
        <w:rPr>
          <w:rFonts w:ascii="Arial" w:cs="Arial" w:eastAsia="Arial" w:hAnsi="Arial"/>
          <w:sz w:val="22"/>
          <w:szCs w:val="22"/>
          <w:color w:val="auto"/>
        </w:rPr>
        <w:t>Prudential Tower, 800 Boylston Street</w:t>
      </w:r>
    </w:p>
    <w:p>
      <w:pPr>
        <w:ind w:left="641"/>
        <w:spacing w:after="0" w:line="230" w:lineRule="auto"/>
        <w:rPr>
          <w:sz w:val="20"/>
          <w:szCs w:val="20"/>
          <w:color w:val="auto"/>
        </w:rPr>
      </w:pPr>
      <w:r>
        <w:rPr>
          <w:rFonts w:ascii="Arial" w:cs="Arial" w:eastAsia="Arial" w:hAnsi="Arial"/>
          <w:sz w:val="22"/>
          <w:szCs w:val="22"/>
          <w:color w:val="auto"/>
        </w:rPr>
        <w:t>Boston, MA 02199-3600</w:t>
      </w:r>
    </w:p>
    <w:p>
      <w:pPr>
        <w:spacing w:after="0" w:line="1" w:lineRule="exact"/>
        <w:rPr>
          <w:sz w:val="20"/>
          <w:szCs w:val="20"/>
          <w:color w:val="auto"/>
        </w:rPr>
      </w:pPr>
    </w:p>
    <w:p>
      <w:pPr>
        <w:ind w:left="641"/>
        <w:spacing w:after="0"/>
        <w:rPr>
          <w:sz w:val="20"/>
          <w:szCs w:val="20"/>
          <w:color w:val="auto"/>
        </w:rPr>
      </w:pPr>
      <w:r>
        <w:rPr>
          <w:rFonts w:ascii="Arial" w:cs="Arial" w:eastAsia="Arial" w:hAnsi="Arial"/>
          <w:sz w:val="22"/>
          <w:szCs w:val="22"/>
          <w:color w:val="auto"/>
        </w:rPr>
        <w:t>Attention: Marko Zatylny</w:t>
      </w:r>
    </w:p>
    <w:p>
      <w:pPr>
        <w:spacing w:after="0" w:line="214" w:lineRule="exact"/>
        <w:rPr>
          <w:sz w:val="20"/>
          <w:szCs w:val="20"/>
          <w:color w:val="auto"/>
        </w:rPr>
      </w:pPr>
    </w:p>
    <w:p>
      <w:pPr>
        <w:jc w:val="both"/>
        <w:ind w:left="1" w:firstLine="646"/>
        <w:spacing w:after="0" w:line="237"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Export Clause</w:t>
      </w:r>
      <w:r>
        <w:rPr>
          <w:rFonts w:ascii="Arial" w:cs="Arial" w:eastAsia="Arial" w:hAnsi="Arial"/>
          <w:sz w:val="22"/>
          <w:szCs w:val="22"/>
          <w:color w:val="auto"/>
        </w:rPr>
        <w:t>. Each Party acknowledges that the Laws of the United States restrict the export and re-export of commodities and technical data of United States origin. Each Party agrees that it will not export or re-export restricted commodities or the technical data of the other Party in any form without the appropriate United States and non-U.S. United States government licenses.</w:t>
      </w:r>
    </w:p>
    <w:p>
      <w:pPr>
        <w:spacing w:after="0" w:line="185" w:lineRule="exact"/>
        <w:rPr>
          <w:sz w:val="20"/>
          <w:szCs w:val="20"/>
          <w:color w:val="auto"/>
        </w:rPr>
      </w:pPr>
    </w:p>
    <w:p>
      <w:pPr>
        <w:jc w:val="both"/>
        <w:ind w:left="1" w:firstLine="646"/>
        <w:spacing w:after="0" w:line="264" w:lineRule="auto"/>
        <w:rPr>
          <w:sz w:val="20"/>
          <w:szCs w:val="20"/>
          <w:color w:val="auto"/>
        </w:rPr>
      </w:pPr>
      <w:r>
        <w:rPr>
          <w:rFonts w:ascii="Arial" w:cs="Arial" w:eastAsia="Arial" w:hAnsi="Arial"/>
          <w:sz w:val="20"/>
          <w:szCs w:val="20"/>
          <w:color w:val="auto"/>
        </w:rPr>
        <w:t xml:space="preserve">12.11 </w:t>
      </w:r>
      <w:r>
        <w:rPr>
          <w:rFonts w:ascii="Arial" w:cs="Arial" w:eastAsia="Arial" w:hAnsi="Arial"/>
          <w:sz w:val="20"/>
          <w:szCs w:val="20"/>
          <w:u w:val="single" w:color="auto"/>
          <w:color w:val="auto"/>
        </w:rPr>
        <w:t>Waiver</w:t>
      </w:r>
      <w:r>
        <w:rPr>
          <w:rFonts w:ascii="Arial" w:cs="Arial" w:eastAsia="Arial" w:hAnsi="Arial"/>
          <w:sz w:val="20"/>
          <w:szCs w:val="20"/>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w:t>
      </w:r>
    </w:p>
    <w:p>
      <w:pPr>
        <w:spacing w:after="0" w:line="162" w:lineRule="exact"/>
        <w:rPr>
          <w:sz w:val="20"/>
          <w:szCs w:val="20"/>
          <w:color w:val="auto"/>
        </w:rPr>
      </w:pPr>
    </w:p>
    <w:p>
      <w:pPr>
        <w:jc w:val="both"/>
        <w:ind w:left="1" w:firstLine="646"/>
        <w:spacing w:after="0" w:line="272"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hereof should be held invalid, illegal or unenforceable in any jurisdiction, (a) such provision shall be deemed stricken from this Agreement, (b) the Parties shall negotiate in good faith a valid, legal and enforceable substitute provision that most nearly reflects the original intent of the Parties and</w:t>
      </w:r>
    </w:p>
    <w:p>
      <w:pPr>
        <w:spacing w:after="0" w:line="2" w:lineRule="exact"/>
        <w:rPr>
          <w:sz w:val="20"/>
          <w:szCs w:val="20"/>
          <w:color w:val="auto"/>
        </w:rPr>
      </w:pPr>
    </w:p>
    <w:p>
      <w:pPr>
        <w:ind w:left="1" w:hanging="1"/>
        <w:spacing w:after="0" w:line="236" w:lineRule="auto"/>
        <w:tabs>
          <w:tab w:leader="none" w:pos="342" w:val="left"/>
        </w:tabs>
        <w:numPr>
          <w:ilvl w:val="0"/>
          <w:numId w:val="88"/>
        </w:numPr>
        <w:rPr>
          <w:rFonts w:ascii="Arial" w:cs="Arial" w:eastAsia="Arial" w:hAnsi="Arial"/>
          <w:sz w:val="22"/>
          <w:szCs w:val="22"/>
          <w:color w:val="auto"/>
        </w:rPr>
      </w:pPr>
      <w:r>
        <w:rPr>
          <w:rFonts w:ascii="Arial" w:cs="Arial" w:eastAsia="Arial" w:hAnsi="Arial"/>
          <w:sz w:val="22"/>
          <w:szCs w:val="22"/>
          <w:color w:val="auto"/>
        </w:rPr>
        <w:t>all other provisions hereof shall remain in full force and effect in such jurisdiction and shall be liberally construed in</w:t>
      </w:r>
    </w:p>
    <w:p>
      <w:pPr>
        <w:spacing w:after="0" w:line="184" w:lineRule="exact"/>
        <w:rPr>
          <w:rFonts w:ascii="Arial" w:cs="Arial" w:eastAsia="Arial" w:hAnsi="Arial"/>
          <w:sz w:val="22"/>
          <w:szCs w:val="22"/>
          <w:color w:val="auto"/>
        </w:rPr>
      </w:pPr>
    </w:p>
    <w:p>
      <w:pPr>
        <w:ind w:left="4921" w:hanging="173"/>
        <w:spacing w:after="0"/>
        <w:tabs>
          <w:tab w:leader="none" w:pos="4921" w:val="left"/>
        </w:tabs>
        <w:numPr>
          <w:ilvl w:val="1"/>
          <w:numId w:val="88"/>
        </w:numPr>
        <w:rPr>
          <w:rFonts w:ascii="Arial" w:cs="Arial" w:eastAsia="Arial" w:hAnsi="Arial"/>
          <w:sz w:val="22"/>
          <w:szCs w:val="22"/>
          <w:color w:val="auto"/>
        </w:rPr>
      </w:pPr>
      <w:r>
        <w:rPr>
          <w:rFonts w:ascii="Arial" w:cs="Arial" w:eastAsia="Arial" w:hAnsi="Arial"/>
          <w:sz w:val="22"/>
          <w:szCs w:val="22"/>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210" w:name="page211"/>
    <w:bookmarkEnd w:id="210"/>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order to carry out the intentions of the Parties as nearly as may be possible. Such invalidity, illegality or unenforceability shall not affect the validity, legality or enforceability of such provision in any other jurisdiction.</w:t>
      </w:r>
    </w:p>
    <w:p>
      <w:pPr>
        <w:spacing w:after="0" w:line="129"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 xml:space="preserve">12.13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Exhibits hereto, sets forth all the covenants, promises, agreements, warranties, representations, conditions and understandings between the Parties as to the subject matter of this Agreement and supersedes and terminates all prior agreements and understanding between the Parties with respect to the subject matter hereof. In particular, and without limitation, this Agreement supersedes and replaces the Superseded Agreement which is hereby terminated in its entirety effective as of the Effective Date, the Existing Confidentiality Agreement and any and all term sheets relating to the transactions contemplated by this Agreement and exchanged between the Parties or any of their Affiliates prior to the Effective Date. There are no covenants, promises, agreements, warranties, representations, conditions or understandings, either oral or written, between the Parties as to the subject matter of this Agreement other than as set forth herein and therein. No subsequent alteration, amendment, change or addition to this Agreement shall be binding upon the Parties unless reduced to writing and signed by the respective authorized officers of the Parties.</w:t>
      </w:r>
    </w:p>
    <w:p>
      <w:pPr>
        <w:spacing w:after="0" w:line="171"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 xml:space="preserve">12.14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Nothing herein shall be construed to create any relationship of employer and employee, agent and principal, partnership or joint venture between the Parties. Each Party is an independent contractor. Neither Party shall assume, either directly or indirectly, any liability of or for the other Party. Neither Party shall have the authority to bind or obligate the other Party and neither Party shall represent that it has such authority.</w:t>
      </w:r>
    </w:p>
    <w:p>
      <w:pPr>
        <w:spacing w:after="0" w:line="188"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12.15</w:t>
      </w:r>
      <w:r>
        <w:rPr>
          <w:sz w:val="20"/>
          <w:szCs w:val="20"/>
          <w:color w:val="auto"/>
        </w:rPr>
        <w:tab/>
      </w:r>
      <w:r>
        <w:rPr>
          <w:rFonts w:ascii="Arial" w:cs="Arial" w:eastAsia="Arial" w:hAnsi="Arial"/>
          <w:sz w:val="19"/>
          <w:szCs w:val="19"/>
          <w:u w:val="single" w:color="auto"/>
          <w:color w:val="auto"/>
        </w:rPr>
        <w:t>Headings; Construction; Interpretation</w:t>
      </w:r>
      <w:r>
        <w:rPr>
          <w:rFonts w:ascii="Arial" w:cs="Arial" w:eastAsia="Arial" w:hAnsi="Arial"/>
          <w:sz w:val="19"/>
          <w:szCs w:val="19"/>
          <w:color w:val="auto"/>
        </w:rPr>
        <w:t>.</w:t>
      </w:r>
    </w:p>
    <w:p>
      <w:pPr>
        <w:spacing w:after="0" w:line="205" w:lineRule="exact"/>
        <w:rPr>
          <w:sz w:val="20"/>
          <w:szCs w:val="20"/>
          <w:color w:val="auto"/>
        </w:rPr>
      </w:pPr>
    </w:p>
    <w:p>
      <w:pPr>
        <w:jc w:val="both"/>
        <w:ind w:firstLine="1292"/>
        <w:spacing w:after="0" w:line="249" w:lineRule="auto"/>
        <w:rPr>
          <w:sz w:val="20"/>
          <w:szCs w:val="20"/>
          <w:color w:val="auto"/>
        </w:rPr>
      </w:pPr>
      <w:r>
        <w:rPr>
          <w:rFonts w:ascii="Arial" w:cs="Arial" w:eastAsia="Arial" w:hAnsi="Arial"/>
          <w:sz w:val="22"/>
          <w:szCs w:val="22"/>
          <w:color w:val="auto"/>
        </w:rPr>
        <w:t>12.15.1 Headings used herein are for convenience only and shall not in any way affect the construction of or be taken into consideration in interpreting this Agreement.</w:t>
      </w:r>
    </w:p>
    <w:p>
      <w:pPr>
        <w:spacing w:after="0" w:line="175" w:lineRule="exact"/>
        <w:rPr>
          <w:sz w:val="20"/>
          <w:szCs w:val="20"/>
          <w:color w:val="auto"/>
        </w:rPr>
      </w:pPr>
    </w:p>
    <w:p>
      <w:pPr>
        <w:jc w:val="both"/>
        <w:ind w:firstLine="1292"/>
        <w:spacing w:after="0" w:line="259" w:lineRule="auto"/>
        <w:rPr>
          <w:sz w:val="20"/>
          <w:szCs w:val="20"/>
          <w:color w:val="auto"/>
        </w:rPr>
      </w:pPr>
      <w:r>
        <w:rPr>
          <w:rFonts w:ascii="Arial" w:cs="Arial" w:eastAsia="Arial" w:hAnsi="Arial"/>
          <w:sz w:val="20"/>
          <w:szCs w:val="20"/>
          <w:color w:val="auto"/>
        </w:rPr>
        <w:t>12.15.2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their usual and customary meanings, and each of the Parties hereby waives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w:t>
      </w:r>
    </w:p>
    <w:p>
      <w:pPr>
        <w:spacing w:after="0" w:line="168"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2"/>
          <w:szCs w:val="22"/>
          <w:color w:val="auto"/>
        </w:rPr>
        <w:t>12.15.3 Any reference in this Agreement to an Article, Section, subsection, paragraph, clause, Schedule or Exhibit shall be deemed to be a reference to any Article, Section, subsection, paragraph, clause, Schedule or Exhibit, of or to, as the case may be,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11" w:name="page212"/>
    <w:bookmarkEnd w:id="211"/>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jc w:val="both"/>
        <w:ind w:left="1" w:firstLine="1292"/>
        <w:spacing w:after="0" w:line="267" w:lineRule="auto"/>
        <w:rPr>
          <w:sz w:val="20"/>
          <w:szCs w:val="20"/>
          <w:color w:val="auto"/>
        </w:rPr>
      </w:pPr>
      <w:r>
        <w:rPr>
          <w:rFonts w:ascii="Arial" w:cs="Arial" w:eastAsia="Arial" w:hAnsi="Arial"/>
          <w:sz w:val="19"/>
          <w:szCs w:val="19"/>
          <w:color w:val="auto"/>
        </w:rPr>
        <w:t>12.15.4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Law refers to such Law as from time to time enacted, repealed or amended, (c) the words “herein,” “hereof” and “hereunder,” and words of similar import, refer to this Agreement in its entirety and not to any particular provision hereof, (d) the words “include,” “includes,” and “including” shall be deemed to be followed by the phrase “but not limited to,” “without limitation” or words of similar import, (e) the word “or” is used in the inclusive sense (and/or), (f) words denoting the singular shall include the plural and vice versa and words denoting any gender shall include all genders, (g) a capitalized term not defined herein but reflecting a different part of speech than a capitalized term which is defined herein shall be interpreted in a correlative manner, (h) the word “will” will be construed to have the same meaning and effect as the word “shall”,</w:t>
      </w:r>
    </w:p>
    <w:p>
      <w:pPr>
        <w:spacing w:after="0" w:line="9" w:lineRule="exact"/>
        <w:rPr>
          <w:sz w:val="20"/>
          <w:szCs w:val="20"/>
          <w:color w:val="auto"/>
        </w:rPr>
      </w:pPr>
    </w:p>
    <w:p>
      <w:pPr>
        <w:jc w:val="both"/>
        <w:ind w:left="1" w:hanging="1"/>
        <w:spacing w:after="0" w:line="255" w:lineRule="auto"/>
        <w:tabs>
          <w:tab w:leader="none" w:pos="302" w:val="left"/>
        </w:tabs>
        <w:numPr>
          <w:ilvl w:val="0"/>
          <w:numId w:val="89"/>
        </w:numPr>
        <w:rPr>
          <w:rFonts w:ascii="Arial" w:cs="Arial" w:eastAsia="Arial" w:hAnsi="Arial"/>
          <w:sz w:val="20"/>
          <w:szCs w:val="20"/>
          <w:color w:val="auto"/>
        </w:rPr>
      </w:pPr>
      <w:r>
        <w:rPr>
          <w:rFonts w:ascii="Arial" w:cs="Arial" w:eastAsia="Arial" w:hAnsi="Arial"/>
          <w:sz w:val="20"/>
          <w:szCs w:val="20"/>
          <w:color w:val="auto"/>
        </w:rPr>
        <w:t>any reference herein to any Person will be construed to include such Person’s successors and/or permitted assignees, (j) the word “notice” means notice in writing (whether or not specifically stated) and no inference or conclusions of any sort shall be drawn from the fact that in some instances in this Agreement, the word “notice” is actually preceded or followed by “in writing” or the equivalent while in other instances they are not, and (k) provisions that require a Party or the Parties to “agree”, “consent”, “approve” or the like, or to inform the other Party, will require that such agreement, consent, approval or the like, or such notice informing the other Party, be specific and in a writing signed by an authorized officer of such Party(ies), and no inferences or conclusions of any sort shall be drawn from the fact that in some instances in this Agreement, the words “agree”, “consent”, “approve” or the like, or the requirement to inform the other Party, are actually preceded or followed by “in writing” or the equivalent while in other instances they are not.</w:t>
      </w:r>
    </w:p>
    <w:p>
      <w:pPr>
        <w:spacing w:after="0" w:line="176" w:lineRule="exact"/>
        <w:rPr>
          <w:sz w:val="20"/>
          <w:szCs w:val="20"/>
          <w:color w:val="auto"/>
        </w:rPr>
      </w:pPr>
    </w:p>
    <w:p>
      <w:pPr>
        <w:jc w:val="both"/>
        <w:ind w:left="1" w:firstLine="646"/>
        <w:spacing w:after="0" w:line="239" w:lineRule="auto"/>
        <w:rPr>
          <w:sz w:val="20"/>
          <w:szCs w:val="20"/>
          <w:color w:val="auto"/>
        </w:rPr>
      </w:pPr>
      <w:r>
        <w:rPr>
          <w:rFonts w:ascii="Arial" w:cs="Arial" w:eastAsia="Arial" w:hAnsi="Arial"/>
          <w:sz w:val="22"/>
          <w:szCs w:val="22"/>
          <w:color w:val="auto"/>
        </w:rPr>
        <w:t xml:space="preserve">12.16 </w:t>
      </w:r>
      <w:r>
        <w:rPr>
          <w:rFonts w:ascii="Arial" w:cs="Arial" w:eastAsia="Arial" w:hAnsi="Arial"/>
          <w:sz w:val="22"/>
          <w:szCs w:val="22"/>
          <w:u w:val="single" w:color="auto"/>
          <w:color w:val="auto"/>
        </w:rPr>
        <w:t>Further Actions</w:t>
      </w:r>
      <w:r>
        <w:rPr>
          <w:rFonts w:ascii="Arial" w:cs="Arial" w:eastAsia="Arial" w:hAnsi="Arial"/>
          <w:sz w:val="22"/>
          <w:szCs w:val="22"/>
          <w:color w:val="auto"/>
        </w:rPr>
        <w:t>. Each Party shall execute, acknowledge and deliver such further instruments as may be necessary or appropriate in order to carry out the expressly stated purposes and the clear intent of this Agreement.</w:t>
      </w:r>
    </w:p>
    <w:p>
      <w:pPr>
        <w:spacing w:after="0" w:line="186" w:lineRule="exact"/>
        <w:rPr>
          <w:sz w:val="20"/>
          <w:szCs w:val="20"/>
          <w:color w:val="auto"/>
        </w:rPr>
      </w:pPr>
    </w:p>
    <w:p>
      <w:pPr>
        <w:jc w:val="both"/>
        <w:ind w:left="1" w:firstLine="646"/>
        <w:spacing w:after="0" w:line="298" w:lineRule="auto"/>
        <w:rPr>
          <w:sz w:val="20"/>
          <w:szCs w:val="20"/>
          <w:color w:val="auto"/>
        </w:rPr>
      </w:pPr>
      <w:r>
        <w:rPr>
          <w:rFonts w:ascii="Arial" w:cs="Arial" w:eastAsia="Arial" w:hAnsi="Arial"/>
          <w:sz w:val="20"/>
          <w:szCs w:val="20"/>
          <w:color w:val="auto"/>
        </w:rPr>
        <w:t xml:space="preserve">12.17 </w:t>
      </w:r>
      <w:r>
        <w:rPr>
          <w:rFonts w:ascii="Arial" w:cs="Arial" w:eastAsia="Arial" w:hAnsi="Arial"/>
          <w:sz w:val="20"/>
          <w:szCs w:val="20"/>
          <w:u w:val="single" w:color="auto"/>
          <w:color w:val="auto"/>
        </w:rPr>
        <w:t>Parties in Interest</w:t>
      </w:r>
      <w:r>
        <w:rPr>
          <w:rFonts w:ascii="Arial" w:cs="Arial" w:eastAsia="Arial" w:hAnsi="Arial"/>
          <w:sz w:val="20"/>
          <w:szCs w:val="20"/>
          <w:color w:val="auto"/>
        </w:rPr>
        <w:t>. All of the terms and provisions of this Agreement shall be binding upon, and shall inure to the benefit of and be enforceable by the Parties and their respective and permitted assigns.</w:t>
      </w:r>
    </w:p>
    <w:p>
      <w:pPr>
        <w:spacing w:after="0" w:line="129" w:lineRule="exact"/>
        <w:rPr>
          <w:sz w:val="20"/>
          <w:szCs w:val="20"/>
          <w:color w:val="auto"/>
        </w:rPr>
      </w:pPr>
    </w:p>
    <w:p>
      <w:pPr>
        <w:jc w:val="both"/>
        <w:ind w:left="1" w:firstLine="646"/>
        <w:spacing w:after="0" w:line="239" w:lineRule="auto"/>
        <w:rPr>
          <w:sz w:val="20"/>
          <w:szCs w:val="20"/>
          <w:color w:val="auto"/>
        </w:rPr>
      </w:pPr>
      <w:r>
        <w:rPr>
          <w:rFonts w:ascii="Arial" w:cs="Arial" w:eastAsia="Arial" w:hAnsi="Arial"/>
          <w:sz w:val="22"/>
          <w:szCs w:val="22"/>
          <w:color w:val="auto"/>
        </w:rPr>
        <w:t xml:space="preserve">12.18 </w:t>
      </w:r>
      <w:r>
        <w:rPr>
          <w:rFonts w:ascii="Arial" w:cs="Arial" w:eastAsia="Arial" w:hAnsi="Arial"/>
          <w:sz w:val="22"/>
          <w:szCs w:val="22"/>
          <w:u w:val="single" w:color="auto"/>
          <w:color w:val="auto"/>
        </w:rPr>
        <w:t>Performance by Affiliates</w:t>
      </w:r>
      <w:r>
        <w:rPr>
          <w:rFonts w:ascii="Arial" w:cs="Arial" w:eastAsia="Arial" w:hAnsi="Arial"/>
          <w:sz w:val="22"/>
          <w:szCs w:val="22"/>
          <w:color w:val="auto"/>
        </w:rPr>
        <w:t>. To the extent that this Agreement imposes obligations on Affiliates of a Party, such Party agrees to cause its Affiliates to perform such obligations and a breach by such Affiliate shall be considered a breach by such Party.</w:t>
      </w:r>
    </w:p>
    <w:p>
      <w:pPr>
        <w:spacing w:after="0" w:line="186" w:lineRule="exact"/>
        <w:rPr>
          <w:sz w:val="20"/>
          <w:szCs w:val="20"/>
          <w:color w:val="auto"/>
        </w:rPr>
      </w:pPr>
    </w:p>
    <w:p>
      <w:pPr>
        <w:jc w:val="both"/>
        <w:ind w:left="1" w:firstLine="646"/>
        <w:spacing w:after="0" w:line="268" w:lineRule="auto"/>
        <w:rPr>
          <w:sz w:val="20"/>
          <w:szCs w:val="20"/>
          <w:color w:val="auto"/>
        </w:rPr>
      </w:pPr>
      <w:r>
        <w:rPr>
          <w:rFonts w:ascii="Arial" w:cs="Arial" w:eastAsia="Arial" w:hAnsi="Arial"/>
          <w:sz w:val="20"/>
          <w:szCs w:val="20"/>
          <w:color w:val="auto"/>
        </w:rPr>
        <w:t xml:space="preserve">12.19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39254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212" w:name="page213"/>
    <w:bookmarkEnd w:id="212"/>
    <w:p>
      <w:pPr>
        <w:jc w:val="center"/>
        <w:ind w:left="940" w:right="4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183" w:lineRule="exact"/>
        <w:rPr>
          <w:sz w:val="20"/>
          <w:szCs w:val="20"/>
          <w:color w:val="auto"/>
        </w:rPr>
      </w:pPr>
    </w:p>
    <w:p>
      <w:pPr>
        <w:ind w:firstLine="646"/>
        <w:spacing w:after="0" w:line="298" w:lineRule="auto"/>
        <w:rPr>
          <w:sz w:val="20"/>
          <w:szCs w:val="20"/>
          <w:color w:val="auto"/>
        </w:rPr>
      </w:pPr>
      <w:r>
        <w:rPr>
          <w:rFonts w:ascii="Arial" w:cs="Arial" w:eastAsia="Arial" w:hAnsi="Arial"/>
          <w:sz w:val="20"/>
          <w:szCs w:val="20"/>
          <w:color w:val="auto"/>
        </w:rPr>
        <w:t>IN WITNESS WHEREOF, and intending to be legally bound hereby, the Parties have caused this Agreement to be executed by their duly authorized representatives to be effective as of the Effective Date.</w:t>
      </w:r>
    </w:p>
    <w:p>
      <w:pPr>
        <w:sectPr>
          <w:pgSz w:w="11900" w:h="16838" w:orient="portrait"/>
          <w:cols w:equalWidth="0" w:num="1">
            <w:col w:w="10060"/>
          </w:cols>
          <w:pgMar w:left="920" w:top="112" w:right="919" w:bottom="1440" w:gutter="0" w:footer="0" w:header="0"/>
        </w:sectPr>
      </w:pPr>
    </w:p>
    <w:p>
      <w:pPr>
        <w:spacing w:after="0" w:line="12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INFINITY PHARMACEUTICALS, INC.</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VERASTEM, INC.</w:t>
      </w:r>
    </w:p>
    <w:p>
      <w:pPr>
        <w:spacing w:after="0" w:line="222" w:lineRule="exact"/>
        <w:rPr>
          <w:sz w:val="20"/>
          <w:szCs w:val="20"/>
          <w:color w:val="auto"/>
        </w:rPr>
      </w:pPr>
    </w:p>
    <w:p>
      <w:pPr>
        <w:sectPr>
          <w:pgSz w:w="11900" w:h="16838" w:orient="portrait"/>
          <w:cols w:equalWidth="0" w:num="2">
            <w:col w:w="3920" w:space="700"/>
            <w:col w:w="5440"/>
          </w:cols>
          <w:pgMar w:left="920" w:top="112" w:right="919" w:bottom="1440" w:gutter="0" w:footer="0" w:header="0"/>
          <w:type w:val="continuous"/>
        </w:sectPr>
      </w:pPr>
    </w:p>
    <w:p>
      <w:pPr>
        <w:spacing w:after="0" w:line="1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Adelene Q. Perkins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By: /s/ Robert Forrester</w:t>
      </w:r>
    </w:p>
    <w:p>
      <w:pPr>
        <w:spacing w:after="0" w:line="200" w:lineRule="exact"/>
        <w:rPr>
          <w:sz w:val="20"/>
          <w:szCs w:val="20"/>
          <w:color w:val="auto"/>
        </w:rPr>
      </w:pPr>
    </w:p>
    <w:p>
      <w:pPr>
        <w:sectPr>
          <w:pgSz w:w="11900" w:h="16838" w:orient="portrait"/>
          <w:cols w:equalWidth="0" w:num="2">
            <w:col w:w="3900" w:space="720"/>
            <w:col w:w="5440"/>
          </w:cols>
          <w:pgMar w:left="920" w:top="112" w:right="919" w:bottom="1440" w:gutter="0" w:footer="0" w:header="0"/>
          <w:type w:val="continuous"/>
        </w:sectPr>
      </w:pPr>
    </w:p>
    <w:p>
      <w:pPr>
        <w:spacing w:after="0" w:line="2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Name: Adelene Q. Perkins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Name: Robert Forrester</w:t>
      </w:r>
    </w:p>
    <w:p>
      <w:pPr>
        <w:spacing w:after="0" w:line="200" w:lineRule="exact"/>
        <w:rPr>
          <w:sz w:val="20"/>
          <w:szCs w:val="20"/>
          <w:color w:val="auto"/>
        </w:rPr>
      </w:pPr>
    </w:p>
    <w:p>
      <w:pPr>
        <w:sectPr>
          <w:pgSz w:w="11900" w:h="16838" w:orient="portrait"/>
          <w:cols w:equalWidth="0" w:num="2">
            <w:col w:w="3900" w:space="720"/>
            <w:col w:w="5440"/>
          </w:cols>
          <w:pgMar w:left="920" w:top="112" w:right="919" w:bottom="1440" w:gutter="0" w:footer="0" w:header="0"/>
          <w:type w:val="continuous"/>
        </w:sectPr>
      </w:pP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Title: CEO and Chair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ectPr>
          <w:pgSz w:w="11900" w:h="16838" w:orient="portrait"/>
          <w:cols w:equalWidth="0" w:num="2">
            <w:col w:w="3900" w:space="720"/>
            <w:col w:w="5440"/>
          </w:cols>
          <w:pgMar w:left="920" w:top="112"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Amended and Restated License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639254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type w:val="continuous"/>
        </w:sectPr>
      </w:pPr>
    </w:p>
    <w:bookmarkStart w:id="213" w:name="page214"/>
    <w:bookmarkEnd w:id="213"/>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INFI PROSECUTION PATENT RIGHTS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74930</wp:posOffset>
            </wp:positionV>
            <wp:extent cx="639254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14" w:name="page215"/>
    <w:bookmarkEnd w:id="214"/>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INK PROSECUTION PATENT RIGHTS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74930</wp:posOffset>
            </wp:positionV>
            <wp:extent cx="639254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15" w:name="page216"/>
    <w:bookmarkEnd w:id="215"/>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IPI-145 OR DUVELISIB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147320</wp:posOffset>
            </wp:positionV>
            <wp:extent cx="1205230" cy="130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05230" cy="130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74930</wp:posOffset>
            </wp:positionV>
            <wp:extent cx="639254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16" w:name="page217"/>
    <w:bookmarkEnd w:id="216"/>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IPI-443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438150</wp:posOffset>
            </wp:positionV>
            <wp:extent cx="1820545" cy="14439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20545"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74930</wp:posOffset>
            </wp:positionV>
            <wp:extent cx="639254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17" w:name="page218"/>
    <w:bookmarkEnd w:id="217"/>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80" w:type="dxa"/>
            <w:vAlign w:val="bottom"/>
          </w:tcPr>
          <w:p>
            <w:pPr>
              <w:jc w:val="center"/>
              <w:ind w:left="1212"/>
              <w:spacing w:after="0"/>
              <w:rPr>
                <w:sz w:val="20"/>
                <w:szCs w:val="20"/>
                <w:color w:val="auto"/>
              </w:rPr>
            </w:pPr>
            <w:r>
              <w:rPr>
                <w:rFonts w:ascii="Arial" w:cs="Arial" w:eastAsia="Arial" w:hAnsi="Arial"/>
                <w:sz w:val="22"/>
                <w:szCs w:val="22"/>
                <w:b w:val="1"/>
                <w:bCs w:val="1"/>
                <w:color w:val="auto"/>
                <w:w w:val="93"/>
              </w:rPr>
              <w:t>Exhibit E</w:t>
            </w:r>
          </w:p>
        </w:tc>
        <w:tc>
          <w:tcPr>
            <w:tcW w:w="2140" w:type="dxa"/>
            <w:vAlign w:val="bottom"/>
          </w:tcPr>
          <w:p>
            <w:pPr>
              <w:spacing w:after="0"/>
              <w:rPr>
                <w:sz w:val="24"/>
                <w:szCs w:val="24"/>
                <w:color w:val="auto"/>
              </w:rPr>
            </w:pPr>
          </w:p>
        </w:tc>
      </w:tr>
      <w:tr>
        <w:trPr>
          <w:trHeight w:val="458"/>
        </w:trPr>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80" w:type="dxa"/>
            <w:vAlign w:val="bottom"/>
          </w:tcPr>
          <w:p>
            <w:pPr>
              <w:jc w:val="center"/>
              <w:ind w:left="1212"/>
              <w:spacing w:after="0"/>
              <w:rPr>
                <w:sz w:val="20"/>
                <w:szCs w:val="20"/>
                <w:color w:val="auto"/>
              </w:rPr>
            </w:pPr>
            <w:r>
              <w:rPr>
                <w:rFonts w:ascii="Arial" w:cs="Arial" w:eastAsia="Arial" w:hAnsi="Arial"/>
                <w:sz w:val="22"/>
                <w:szCs w:val="22"/>
                <w:b w:val="1"/>
                <w:bCs w:val="1"/>
                <w:color w:val="auto"/>
                <w:w w:val="98"/>
              </w:rPr>
              <w:t>PRODUCT MARKS</w:t>
            </w:r>
          </w:p>
        </w:tc>
        <w:tc>
          <w:tcPr>
            <w:tcW w:w="2140" w:type="dxa"/>
            <w:vAlign w:val="bottom"/>
          </w:tcPr>
          <w:p>
            <w:pPr>
              <w:spacing w:after="0"/>
              <w:rPr>
                <w:sz w:val="24"/>
                <w:szCs w:val="24"/>
                <w:color w:val="auto"/>
              </w:rPr>
            </w:pPr>
          </w:p>
        </w:tc>
      </w:tr>
      <w:tr>
        <w:trPr>
          <w:trHeight w:val="878"/>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rPr>
              <w:t>Mark</w:t>
            </w:r>
          </w:p>
        </w:tc>
        <w:tc>
          <w:tcPr>
            <w:tcW w:w="1420" w:type="dxa"/>
            <w:vAlign w:val="bottom"/>
          </w:tcPr>
          <w:p>
            <w:pPr>
              <w:ind w:left="320"/>
              <w:spacing w:after="0"/>
              <w:rPr>
                <w:sz w:val="20"/>
                <w:szCs w:val="20"/>
                <w:color w:val="auto"/>
              </w:rPr>
            </w:pPr>
            <w:r>
              <w:rPr>
                <w:rFonts w:ascii="Arial" w:cs="Arial" w:eastAsia="Arial" w:hAnsi="Arial"/>
                <w:sz w:val="22"/>
                <w:szCs w:val="22"/>
                <w:b w:val="1"/>
                <w:bCs w:val="1"/>
                <w:color w:val="auto"/>
              </w:rPr>
              <w:t>Country</w:t>
            </w:r>
          </w:p>
        </w:tc>
        <w:tc>
          <w:tcPr>
            <w:tcW w:w="3480" w:type="dxa"/>
            <w:vAlign w:val="bottom"/>
          </w:tcPr>
          <w:p>
            <w:pPr>
              <w:ind w:left="340"/>
              <w:spacing w:after="0"/>
              <w:rPr>
                <w:sz w:val="20"/>
                <w:szCs w:val="20"/>
                <w:color w:val="auto"/>
              </w:rPr>
            </w:pPr>
            <w:r>
              <w:rPr>
                <w:rFonts w:ascii="Arial" w:cs="Arial" w:eastAsia="Arial" w:hAnsi="Arial"/>
                <w:sz w:val="22"/>
                <w:szCs w:val="22"/>
                <w:b w:val="1"/>
                <w:bCs w:val="1"/>
                <w:color w:val="auto"/>
              </w:rPr>
              <w:t>Status   Filing No.    Filing</w:t>
            </w:r>
          </w:p>
        </w:tc>
        <w:tc>
          <w:tcPr>
            <w:tcW w:w="2140" w:type="dxa"/>
            <w:vAlign w:val="bottom"/>
          </w:tcPr>
          <w:p>
            <w:pPr>
              <w:ind w:left="120"/>
              <w:spacing w:after="0"/>
              <w:rPr>
                <w:sz w:val="20"/>
                <w:szCs w:val="20"/>
                <w:color w:val="auto"/>
              </w:rPr>
            </w:pPr>
            <w:r>
              <w:rPr>
                <w:rFonts w:ascii="Arial" w:cs="Arial" w:eastAsia="Arial" w:hAnsi="Arial"/>
                <w:sz w:val="22"/>
                <w:szCs w:val="22"/>
                <w:b w:val="1"/>
                <w:bCs w:val="1"/>
                <w:color w:val="auto"/>
                <w:w w:val="98"/>
              </w:rPr>
              <w:t>Reg. No.  Reg. Date</w:t>
            </w:r>
          </w:p>
        </w:tc>
      </w:tr>
      <w:tr>
        <w:trPr>
          <w:trHeight w:val="290"/>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(Class)</w:t>
            </w:r>
          </w:p>
        </w:tc>
        <w:tc>
          <w:tcPr>
            <w:tcW w:w="14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2640"/>
              <w:spacing w:after="0"/>
              <w:rPr>
                <w:sz w:val="20"/>
                <w:szCs w:val="20"/>
                <w:color w:val="auto"/>
              </w:rPr>
            </w:pPr>
            <w:r>
              <w:rPr>
                <w:rFonts w:ascii="Arial" w:cs="Arial" w:eastAsia="Arial" w:hAnsi="Arial"/>
                <w:sz w:val="22"/>
                <w:szCs w:val="22"/>
                <w:b w:val="1"/>
                <w:bCs w:val="1"/>
                <w:color w:val="auto"/>
              </w:rPr>
              <w:t>Date</w:t>
            </w:r>
          </w:p>
        </w:tc>
        <w:tc>
          <w:tcPr>
            <w:tcW w:w="2140" w:type="dxa"/>
            <w:vAlign w:val="bottom"/>
            <w:tcBorders>
              <w:bottom w:val="single" w:sz="8" w:color="auto"/>
            </w:tcBorders>
          </w:tcPr>
          <w:p>
            <w:pPr>
              <w:spacing w:after="0"/>
              <w:rPr>
                <w:sz w:val="24"/>
                <w:szCs w:val="24"/>
                <w:color w:val="auto"/>
              </w:rPr>
            </w:pPr>
          </w:p>
        </w:tc>
      </w:tr>
    </w:tbl>
    <w:p>
      <w:pPr>
        <w:spacing w:after="0" w:line="5" w:lineRule="exact"/>
        <w:rPr>
          <w:sz w:val="20"/>
          <w:szCs w:val="20"/>
          <w:color w:val="auto"/>
        </w:rPr>
      </w:pPr>
    </w:p>
    <w:p>
      <w:pPr>
        <w:sectPr>
          <w:pgSz w:w="11900" w:h="16838" w:orient="portrait"/>
          <w:cols w:equalWidth="0" w:num="1">
            <w:col w:w="9960"/>
          </w:cols>
          <w:pgMar w:left="980" w:top="112" w:right="959" w:bottom="1440" w:gutter="0" w:footer="0" w:header="0"/>
        </w:sectPr>
      </w:pPr>
    </w:p>
    <w:p>
      <w:pPr>
        <w:ind w:left="240"/>
        <w:spacing w:after="0"/>
        <w:tabs>
          <w:tab w:leader="none" w:pos="156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21"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20" w:lineRule="exact"/>
        <w:rPr>
          <w:sz w:val="20"/>
          <w:szCs w:val="20"/>
          <w:color w:val="auto"/>
        </w:rPr>
      </w:pPr>
      <w:r>
        <w:rPr>
          <w:sz w:val="20"/>
          <w:szCs w:val="20"/>
          <w:color w:val="auto"/>
        </w:rPr>
        <w:br w:type="column"/>
      </w:r>
    </w:p>
    <w:p>
      <w:pPr>
        <w:spacing w:after="0"/>
        <w:tabs>
          <w:tab w:leader="none" w:pos="110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21"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1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 * *]</w:t>
      </w:r>
      <w:r>
        <w:rPr>
          <w:sz w:val="20"/>
          <w:szCs w:val="20"/>
          <w:color w:val="auto"/>
        </w:rPr>
        <w:tab/>
      </w:r>
      <w:r>
        <w:rPr>
          <w:rFonts w:ascii="Arial" w:cs="Arial" w:eastAsia="Arial" w:hAnsi="Arial"/>
          <w:sz w:val="22"/>
          <w:szCs w:val="22"/>
          <w:color w:val="auto"/>
        </w:rPr>
        <w:t>[* *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84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69"/>
        </w:trPr>
        <w:tc>
          <w:tcPr>
            <w:tcW w:w="84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69"/>
        </w:trPr>
        <w:tc>
          <w:tcPr>
            <w:tcW w:w="84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69"/>
        </w:trPr>
        <w:tc>
          <w:tcPr>
            <w:tcW w:w="84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820" w:type="dxa"/>
            <w:vAlign w:val="bottom"/>
          </w:tcPr>
          <w:p>
            <w:pPr>
              <w:jc w:val="right"/>
              <w:spacing w:after="0"/>
              <w:rPr>
                <w:sz w:val="20"/>
                <w:szCs w:val="20"/>
                <w:color w:val="auto"/>
              </w:rPr>
            </w:pPr>
            <w:r>
              <w:rPr>
                <w:rFonts w:ascii="Arial" w:cs="Arial" w:eastAsia="Arial" w:hAnsi="Arial"/>
                <w:sz w:val="22"/>
                <w:szCs w:val="22"/>
                <w:color w:val="auto"/>
              </w:rPr>
              <w:t>[* * *]</w:t>
            </w:r>
          </w:p>
        </w:tc>
      </w:tr>
      <w:tr>
        <w:trPr>
          <w:trHeight w:val="269"/>
        </w:trPr>
        <w:tc>
          <w:tcPr>
            <w:tcW w:w="84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820" w:type="dxa"/>
            <w:vAlign w:val="bottom"/>
          </w:tcPr>
          <w:p>
            <w:pPr>
              <w:jc w:val="right"/>
              <w:spacing w:after="0"/>
              <w:rPr>
                <w:sz w:val="20"/>
                <w:szCs w:val="20"/>
                <w:color w:val="auto"/>
              </w:rPr>
            </w:pPr>
            <w:r>
              <w:rPr>
                <w:rFonts w:ascii="Arial" w:cs="Arial" w:eastAsia="Arial" w:hAnsi="Arial"/>
                <w:sz w:val="22"/>
                <w:szCs w:val="22"/>
                <w:color w:val="auto"/>
              </w:rPr>
              <w:t>[* * *]</w:t>
            </w:r>
          </w:p>
        </w:tc>
      </w:tr>
      <w:tr>
        <w:trPr>
          <w:trHeight w:val="269"/>
        </w:trPr>
        <w:tc>
          <w:tcPr>
            <w:tcW w:w="84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69"/>
        </w:trPr>
        <w:tc>
          <w:tcPr>
            <w:tcW w:w="84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820" w:type="dxa"/>
            <w:vAlign w:val="bottom"/>
          </w:tcPr>
          <w:p>
            <w:pPr>
              <w:jc w:val="right"/>
              <w:spacing w:after="0"/>
              <w:rPr>
                <w:sz w:val="20"/>
                <w:szCs w:val="20"/>
                <w:color w:val="auto"/>
              </w:rPr>
            </w:pPr>
            <w:r>
              <w:rPr>
                <w:rFonts w:ascii="Arial" w:cs="Arial" w:eastAsia="Arial" w:hAnsi="Arial"/>
                <w:sz w:val="22"/>
                <w:szCs w:val="22"/>
                <w:color w:val="auto"/>
              </w:rPr>
              <w:t>[* * *]</w:t>
            </w:r>
          </w:p>
        </w:tc>
      </w:tr>
      <w:tr>
        <w:trPr>
          <w:trHeight w:val="269"/>
        </w:trPr>
        <w:tc>
          <w:tcPr>
            <w:tcW w:w="84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820" w:type="dxa"/>
            <w:vAlign w:val="bottom"/>
          </w:tcPr>
          <w:p>
            <w:pPr>
              <w:jc w:val="right"/>
              <w:spacing w:after="0"/>
              <w:rPr>
                <w:sz w:val="20"/>
                <w:szCs w:val="20"/>
                <w:color w:val="auto"/>
              </w:rPr>
            </w:pPr>
            <w:r>
              <w:rPr>
                <w:rFonts w:ascii="Arial" w:cs="Arial" w:eastAsia="Arial" w:hAnsi="Arial"/>
                <w:sz w:val="22"/>
                <w:szCs w:val="22"/>
                <w:color w:val="auto"/>
              </w:rPr>
              <w:t>[* * *]</w:t>
            </w:r>
          </w:p>
        </w:tc>
      </w:tr>
      <w:tr>
        <w:trPr>
          <w:trHeight w:val="269"/>
        </w:trPr>
        <w:tc>
          <w:tcPr>
            <w:tcW w:w="84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820" w:type="dxa"/>
            <w:vAlign w:val="bottom"/>
          </w:tcPr>
          <w:p>
            <w:pPr>
              <w:jc w:val="right"/>
              <w:spacing w:after="0"/>
              <w:rPr>
                <w:sz w:val="20"/>
                <w:szCs w:val="20"/>
                <w:color w:val="auto"/>
              </w:rPr>
            </w:pPr>
            <w:r>
              <w:rPr>
                <w:rFonts w:ascii="Arial" w:cs="Arial" w:eastAsia="Arial" w:hAnsi="Arial"/>
                <w:sz w:val="22"/>
                <w:szCs w:val="22"/>
                <w:color w:val="auto"/>
              </w:rPr>
              <w:t>[* * *]</w:t>
            </w:r>
          </w:p>
        </w:tc>
      </w:tr>
      <w:tr>
        <w:trPr>
          <w:trHeight w:val="274"/>
        </w:trPr>
        <w:tc>
          <w:tcPr>
            <w:tcW w:w="84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 * *]</w:t>
            </w:r>
          </w:p>
        </w:tc>
        <w:tc>
          <w:tcPr>
            <w:tcW w:w="820" w:type="dxa"/>
            <w:vAlign w:val="bottom"/>
          </w:tcPr>
          <w:p>
            <w:pPr>
              <w:jc w:val="right"/>
              <w:spacing w:after="0"/>
              <w:rPr>
                <w:sz w:val="20"/>
                <w:szCs w:val="20"/>
                <w:color w:val="auto"/>
              </w:rPr>
            </w:pPr>
            <w:r>
              <w:rPr>
                <w:rFonts w:ascii="Arial" w:cs="Arial" w:eastAsia="Arial" w:hAnsi="Arial"/>
                <w:sz w:val="22"/>
                <w:szCs w:val="22"/>
                <w:color w:val="auto"/>
              </w:rPr>
              <w:t>[* * *]</w:t>
            </w:r>
          </w:p>
        </w:tc>
      </w:tr>
    </w:tbl>
    <w:p>
      <w:pPr>
        <w:spacing w:after="0" w:line="200" w:lineRule="exact"/>
        <w:rPr>
          <w:sz w:val="20"/>
          <w:szCs w:val="20"/>
          <w:color w:val="auto"/>
        </w:rPr>
      </w:pPr>
    </w:p>
    <w:p>
      <w:pPr>
        <w:sectPr>
          <w:pgSz w:w="11900" w:h="16838" w:orient="portrait"/>
          <w:cols w:equalWidth="0" w:num="3">
            <w:col w:w="2200" w:space="720"/>
            <w:col w:w="1680" w:space="560"/>
            <w:col w:w="4800"/>
          </w:cols>
          <w:pgMar w:left="980" w:top="112" w:right="95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89535</wp:posOffset>
            </wp:positionV>
            <wp:extent cx="639254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type w:val="continuous"/>
        </w:sectPr>
      </w:pPr>
    </w:p>
    <w:bookmarkStart w:id="218" w:name="page219"/>
    <w:bookmarkEnd w:id="218"/>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74930</wp:posOffset>
            </wp:positionV>
            <wp:extent cx="639254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19" w:name="page220"/>
    <w:bookmarkEnd w:id="219"/>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F-1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INFI PRODUCT RELATED CONTRACTS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74930</wp:posOffset>
            </wp:positionV>
            <wp:extent cx="639254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20" w:name="page221"/>
    <w:bookmarkEnd w:id="220"/>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F-2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SPECIFICATION FOR DUVELISIB DRUG SUBSTANCE AND RSMS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74930</wp:posOffset>
            </wp:positionV>
            <wp:extent cx="639254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21" w:name="page222"/>
    <w:bookmarkEnd w:id="221"/>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F-3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Inventory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74930</wp:posOffset>
            </wp:positionV>
            <wp:extent cx="658050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58050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22" w:name="page223"/>
    <w:bookmarkEnd w:id="222"/>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74930</wp:posOffset>
            </wp:positionV>
            <wp:extent cx="658050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8050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23" w:name="page224"/>
    <w:bookmarkEnd w:id="223"/>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DUO CLINICAL TRIAL PROTOCOL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74930</wp:posOffset>
            </wp:positionV>
            <wp:extent cx="639254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24" w:name="page225"/>
    <w:bookmarkEnd w:id="224"/>
    <w:p>
      <w:pPr>
        <w:jc w:val="center"/>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TARGET INHIBITOR CRITERIA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74930</wp:posOffset>
            </wp:positionV>
            <wp:extent cx="639254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225" w:name="page226"/>
    <w:bookmarkEnd w:id="225"/>
    <w:p>
      <w:pPr>
        <w:jc w:val="center"/>
        <w:ind w:left="980"/>
        <w:spacing w:after="0" w:line="242" w:lineRule="auto"/>
        <w:rPr>
          <w:sz w:val="20"/>
          <w:szCs w:val="20"/>
          <w:color w:val="auto"/>
        </w:rPr>
      </w:pPr>
      <w:r>
        <w:rPr>
          <w:rFonts w:ascii="Arial" w:cs="Arial" w:eastAsia="Arial" w:hAnsi="Arial"/>
          <w:sz w:val="22"/>
          <w:szCs w:val="22"/>
          <w:b w:val="1"/>
          <w:bCs w:val="1"/>
          <w:color w:val="auto"/>
        </w:rPr>
        <w:t>THIS EXHIBIT HAS BEEN REDACTED AND IS THE SUBJECT OF A CONFIDENTIAL TREATMENT REQUEST. REDACTED MATERIAL IS MARKED WITH [* * *] AND HAS BEEN FILED SEPARATELY WITH THE SECURITIES AND EXCHANGE COMMISSION.</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Exhibit I-1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 *] DESCRIPTION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Exhibit 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639254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20"/>
          </w:cols>
          <w:pgMar w:left="920" w:top="112" w:right="959"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b w:val="1"/>
          <w:bCs w:val="1"/>
          <w:color w:val="auto"/>
        </w:rPr>
        <w:t>Exhibit 10.26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LOAN AND SECURITY AGREEMENT</w:t>
      </w:r>
    </w:p>
    <w:p>
      <w:pPr>
        <w:spacing w:after="0" w:line="112" w:lineRule="exact"/>
        <w:rPr>
          <w:sz w:val="20"/>
          <w:szCs w:val="20"/>
          <w:color w:val="auto"/>
        </w:rPr>
      </w:pPr>
    </w:p>
    <w:p>
      <w:pPr>
        <w:jc w:val="both"/>
        <w:ind w:firstLine="646"/>
        <w:spacing w:after="0" w:line="234" w:lineRule="auto"/>
        <w:rPr>
          <w:sz w:val="20"/>
          <w:szCs w:val="20"/>
          <w:color w:val="auto"/>
        </w:rPr>
      </w:pPr>
      <w:r>
        <w:rPr>
          <w:rFonts w:ascii="Arial" w:cs="Arial" w:eastAsia="Arial" w:hAnsi="Arial"/>
          <w:sz w:val="22"/>
          <w:szCs w:val="22"/>
          <w:color w:val="auto"/>
        </w:rPr>
        <w:t>This LOAN AND SECURITY AGREEMENT is made and dated as of March 21, 2017, and is entered into by and among (a) VERASTEM, INC., a Delaware corporation (“Verastem”), and each of its Qualified Subsidiaries (hereinafter collectively referred to as the “Borrower”), (b) the several banks and other financial institutions or entities from time to time parties to this Agreement (collectively, referred to as “Lender”), and (c) HERCULES CAPITAL, INC., a Maryland corporation, in its capacity as administrative agent and collateral agent for itself and the Lender (in such capacity, the “Agent”).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1" w:lineRule="exact"/>
        <w:rPr>
          <w:sz w:val="20"/>
          <w:szCs w:val="20"/>
          <w:color w:val="auto"/>
        </w:rPr>
      </w:pPr>
    </w:p>
    <w:p>
      <w:pPr>
        <w:ind w:firstLine="645"/>
        <w:spacing w:after="0" w:line="298" w:lineRule="auto"/>
        <w:tabs>
          <w:tab w:leader="none" w:pos="1501" w:val="left"/>
        </w:tabs>
        <w:numPr>
          <w:ilvl w:val="0"/>
          <w:numId w:val="90"/>
        </w:numPr>
        <w:rPr>
          <w:rFonts w:ascii="Arial" w:cs="Arial" w:eastAsia="Arial" w:hAnsi="Arial"/>
          <w:sz w:val="20"/>
          <w:szCs w:val="20"/>
          <w:color w:val="auto"/>
        </w:rPr>
      </w:pPr>
      <w:r>
        <w:rPr>
          <w:rFonts w:ascii="Arial" w:cs="Arial" w:eastAsia="Arial" w:hAnsi="Arial"/>
          <w:sz w:val="20"/>
          <w:szCs w:val="20"/>
          <w:color w:val="auto"/>
        </w:rPr>
        <w:t>Borrower has requested Lender to make available to Borrower a loan or loans in an aggregate principal amount of up to Twenty-Five Million Dollars ($25,000,000.00) (the “Term Loan”); and</w:t>
      </w:r>
    </w:p>
    <w:p>
      <w:pPr>
        <w:spacing w:after="0" w:line="128" w:lineRule="exact"/>
        <w:rPr>
          <w:rFonts w:ascii="Arial" w:cs="Arial" w:eastAsia="Arial" w:hAnsi="Arial"/>
          <w:sz w:val="20"/>
          <w:szCs w:val="20"/>
          <w:color w:val="auto"/>
        </w:rPr>
      </w:pPr>
    </w:p>
    <w:p>
      <w:pPr>
        <w:ind w:left="1480" w:hanging="835"/>
        <w:spacing w:after="0"/>
        <w:tabs>
          <w:tab w:leader="none" w:pos="14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Lender is willing to make the Term Loan on the terms and conditions set forth in this Agreement.</w:t>
      </w:r>
    </w:p>
    <w:p>
      <w:pPr>
        <w:spacing w:after="0" w:line="221" w:lineRule="exact"/>
        <w:rPr>
          <w:rFonts w:ascii="Arial" w:cs="Arial" w:eastAsia="Arial" w:hAnsi="Arial"/>
          <w:sz w:val="20"/>
          <w:szCs w:val="20"/>
          <w:color w:val="auto"/>
        </w:rPr>
      </w:pPr>
    </w:p>
    <w:p>
      <w:pPr>
        <w:ind w:left="4320"/>
        <w:spacing w:after="0"/>
        <w:rPr>
          <w:rFonts w:ascii="Arial" w:cs="Arial" w:eastAsia="Arial" w:hAnsi="Arial"/>
          <w:sz w:val="20"/>
          <w:szCs w:val="20"/>
          <w:color w:val="auto"/>
        </w:rPr>
      </w:pPr>
      <w:r>
        <w:rPr>
          <w:rFonts w:ascii="Arial" w:cs="Arial" w:eastAsia="Arial" w:hAnsi="Arial"/>
          <w:sz w:val="22"/>
          <w:szCs w:val="22"/>
          <w:b w:val="1"/>
          <w:bCs w:val="1"/>
          <w:color w:val="auto"/>
        </w:rPr>
        <w:t>AGREEMENT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NOW, THEREFORE, Borrower, Agent and Lender agree as follows:</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DEFINITIONS AND RULES OF CONSTRUCTION</w:t>
      </w:r>
    </w:p>
    <w:p>
      <w:pPr>
        <w:spacing w:after="0" w:line="211" w:lineRule="exact"/>
        <w:rPr>
          <w:sz w:val="20"/>
          <w:szCs w:val="20"/>
          <w:color w:val="auto"/>
        </w:rPr>
      </w:pPr>
    </w:p>
    <w:p>
      <w:pPr>
        <w:ind w:left="480" w:firstLine="646"/>
        <w:spacing w:after="0" w:line="249" w:lineRule="auto"/>
        <w:rPr>
          <w:sz w:val="20"/>
          <w:szCs w:val="20"/>
          <w:color w:val="auto"/>
        </w:rPr>
      </w:pPr>
      <w:r>
        <w:rPr>
          <w:rFonts w:ascii="Arial" w:cs="Arial" w:eastAsia="Arial" w:hAnsi="Arial"/>
          <w:sz w:val="22"/>
          <w:szCs w:val="22"/>
          <w:color w:val="auto"/>
        </w:rPr>
        <w:t>1.1 Unless otherwise defined herein, the following capitalized terms shall have the following meanings: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“1934 Act” means the Securities Exchange Act of 1934, as amended.</w:t>
      </w:r>
    </w:p>
    <w:p>
      <w:pPr>
        <w:spacing w:after="0" w:line="178"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0"/>
          <w:szCs w:val="20"/>
          <w:color w:val="auto"/>
        </w:rPr>
        <w:t>“Account Control Agreement(s)” means any agreement entered into by and among the Agent, Borrower and a third-party Bank or other institution (including a Securities Intermediary) in which Borrower maintains a Deposit Account or an account holding Investment Property (in each case subject to the provisions of Section 7.12) and which grants Agent a perfected first priority security interest in the subject account or accounts.</w:t>
      </w:r>
    </w:p>
    <w:p>
      <w:pPr>
        <w:spacing w:after="0" w:line="161"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“ACH Authorization” means the ACH Debit Authorization Agreement in substantially the form of Exhibit H, which account numbers shall be redacted for security purposes if and when filed publicly by the Borrower.</w:t>
      </w:r>
    </w:p>
    <w:p>
      <w:pPr>
        <w:spacing w:after="0" w:line="159" w:lineRule="exact"/>
        <w:rPr>
          <w:sz w:val="20"/>
          <w:szCs w:val="20"/>
          <w:color w:val="auto"/>
        </w:rPr>
      </w:pPr>
    </w:p>
    <w:p>
      <w:pPr>
        <w:jc w:val="both"/>
        <w:ind w:firstLine="1292"/>
        <w:spacing w:after="0" w:line="218" w:lineRule="auto"/>
        <w:rPr>
          <w:sz w:val="20"/>
          <w:szCs w:val="20"/>
          <w:color w:val="auto"/>
        </w:rPr>
      </w:pPr>
      <w:r>
        <w:rPr>
          <w:rFonts w:ascii="Arial" w:cs="Arial" w:eastAsia="Arial" w:hAnsi="Arial"/>
          <w:sz w:val="22"/>
          <w:szCs w:val="22"/>
          <w:color w:val="auto"/>
        </w:rPr>
        <w:t>“ACH Failure” means (i) the failure of the Automated Clearing House (ACH) system to effect a transfer of funds requested by Lender to be used to satisfy all or part of Borrower’s obligations to pay principal and interest due hereunder or (ii) a failure by Lender to initiate debit entries for the periodic payments of such principal or interest.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“Advance(s)” means a Term Loan Advance.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“Advance Date” means the funding date of any Advance.</w:t>
      </w:r>
    </w:p>
    <w:p>
      <w:pPr>
        <w:spacing w:after="0" w:line="19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27" w:name="page228"/>
    <w:bookmarkEnd w:id="227"/>
    <w:p>
      <w:pPr>
        <w:jc w:val="both"/>
        <w:ind w:firstLine="1292"/>
        <w:spacing w:after="0" w:line="223" w:lineRule="auto"/>
        <w:rPr>
          <w:sz w:val="20"/>
          <w:szCs w:val="20"/>
          <w:color w:val="auto"/>
        </w:rPr>
      </w:pPr>
      <w:r>
        <w:rPr>
          <w:rFonts w:ascii="Arial" w:cs="Arial" w:eastAsia="Arial" w:hAnsi="Arial"/>
          <w:sz w:val="22"/>
          <w:szCs w:val="22"/>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57" w:lineRule="exact"/>
        <w:rPr>
          <w:sz w:val="20"/>
          <w:szCs w:val="20"/>
          <w:color w:val="auto"/>
        </w:rPr>
      </w:pPr>
    </w:p>
    <w:p>
      <w:pPr>
        <w:jc w:val="both"/>
        <w:ind w:firstLine="1292"/>
        <w:spacing w:after="0" w:line="233" w:lineRule="auto"/>
        <w:rPr>
          <w:sz w:val="20"/>
          <w:szCs w:val="20"/>
          <w:color w:val="auto"/>
        </w:rPr>
      </w:pPr>
      <w:r>
        <w:rPr>
          <w:rFonts w:ascii="Arial" w:cs="Arial" w:eastAsia="Arial" w:hAnsi="Arial"/>
          <w:sz w:val="20"/>
          <w:szCs w:val="20"/>
          <w:color w:val="auto"/>
        </w:rPr>
        <w:t>“Affiliate” means (a) any Person that directly or indirectly controls, is controlled by, or is under common control with the Person in question, (b) any Person directly or indirectly owning, controlling or holding with power to vote ten percent (10%) or more of the outstanding voting securities of another Person or (c) any Person ten percent (10%) or more of whose outstanding voting securities are directly or indirectly owned, controlled or held by another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“Agent” has the meaning given to it in the preamble to this Agreement.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“Agreement” means this Loan and Security Agreement, as amended from time to time.</w:t>
      </w:r>
    </w:p>
    <w:p>
      <w:pPr>
        <w:spacing w:after="0" w:line="178" w:lineRule="exact"/>
        <w:rPr>
          <w:sz w:val="20"/>
          <w:szCs w:val="20"/>
          <w:color w:val="auto"/>
        </w:rPr>
      </w:pPr>
    </w:p>
    <w:p>
      <w:pPr>
        <w:jc w:val="both"/>
        <w:ind w:firstLine="1292"/>
        <w:spacing w:after="0" w:line="270" w:lineRule="auto"/>
        <w:rPr>
          <w:sz w:val="20"/>
          <w:szCs w:val="20"/>
          <w:color w:val="auto"/>
        </w:rPr>
      </w:pPr>
      <w:r>
        <w:rPr>
          <w:rFonts w:ascii="Arial" w:cs="Arial" w:eastAsia="Arial" w:hAnsi="Arial"/>
          <w:sz w:val="20"/>
          <w:szCs w:val="20"/>
          <w:color w:val="auto"/>
        </w:rPr>
        <w:t>“Amortization Date” means November 1, 2018; provided however, if the Interest Only Extension Conditions are satisfied on or prior to November 1, 2018, then “Amortization Date” shall mean May 1, 2019.</w:t>
      </w:r>
    </w:p>
    <w:p>
      <w:pPr>
        <w:spacing w:after="0" w:line="1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“Assignee” has the meaning given to it in Section 11.13.</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“Board” means Borrower’s board of directors or any duly qualified subcommittee thereof, as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applicable.</w:t>
      </w:r>
    </w:p>
    <w:p>
      <w:pPr>
        <w:spacing w:after="0" w:line="160" w:lineRule="exact"/>
        <w:rPr>
          <w:sz w:val="20"/>
          <w:szCs w:val="20"/>
          <w:color w:val="auto"/>
        </w:rPr>
      </w:pPr>
    </w:p>
    <w:p>
      <w:pPr>
        <w:jc w:val="both"/>
        <w:ind w:firstLine="1292"/>
        <w:spacing w:after="0" w:line="215" w:lineRule="auto"/>
        <w:rPr>
          <w:sz w:val="20"/>
          <w:szCs w:val="20"/>
          <w:color w:val="auto"/>
        </w:rPr>
      </w:pPr>
      <w:r>
        <w:rPr>
          <w:rFonts w:ascii="Arial" w:cs="Arial" w:eastAsia="Arial" w:hAnsi="Arial"/>
          <w:sz w:val="22"/>
          <w:szCs w:val="22"/>
          <w:color w:val="auto"/>
        </w:rPr>
        <w:t>“Borrower Products” 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w:t>
      </w:r>
    </w:p>
    <w:p>
      <w:pPr>
        <w:spacing w:after="0" w:line="159"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“Business Day” means any day other than Saturday, Sunday and any other day on which banking institutions in the State of California are closed for business.</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“Cash” means all cash, cash equivalents and liquid funds.</w:t>
      </w:r>
    </w:p>
    <w:p>
      <w:pPr>
        <w:spacing w:after="0" w:line="178" w:lineRule="exact"/>
        <w:rPr>
          <w:sz w:val="20"/>
          <w:szCs w:val="20"/>
          <w:color w:val="auto"/>
        </w:rPr>
      </w:pPr>
    </w:p>
    <w:p>
      <w:pPr>
        <w:jc w:val="both"/>
        <w:ind w:firstLine="1292"/>
        <w:spacing w:after="0" w:line="234" w:lineRule="auto"/>
        <w:rPr>
          <w:sz w:val="20"/>
          <w:szCs w:val="20"/>
          <w:color w:val="auto"/>
        </w:rPr>
      </w:pPr>
      <w:r>
        <w:rPr>
          <w:rFonts w:ascii="Arial" w:cs="Arial" w:eastAsia="Arial" w:hAnsi="Arial"/>
          <w:sz w:val="20"/>
          <w:szCs w:val="20"/>
          <w:color w:val="auto"/>
        </w:rPr>
        <w:t>“Change in Control” means any “person” or “group” (as such terms are used in Sections 13(d) and 14(d) of the 1934 Act, but excluding any employee benefit plan of such person or its subsidiaries, and any person or entity acting in its capacity as trustee, agent or other fiduciary or administrator of any such plan) becomes the “beneficial owner” (as defined in Rules 13d-3 and 13d-5 under the 1934 Act) of more than fifty percent (50%) of the equity interests of Verastem entitled to vote for members of its Board on a fully diluted basis (and taking into account all such securities that such person or group has the right to acquire pursuant to any option right).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“Claims” has the meaning given to it in Section 11.10.</w:t>
      </w:r>
    </w:p>
    <w:p>
      <w:pPr>
        <w:spacing w:after="0" w:line="19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228" w:name="page229"/>
    <w:bookmarkEnd w:id="228"/>
    <w:p>
      <w:pPr>
        <w:ind w:left="1300"/>
        <w:spacing w:after="0"/>
        <w:rPr>
          <w:sz w:val="20"/>
          <w:szCs w:val="20"/>
          <w:color w:val="auto"/>
        </w:rPr>
      </w:pPr>
      <w:r>
        <w:rPr>
          <w:rFonts w:ascii="Arial" w:cs="Arial" w:eastAsia="Arial" w:hAnsi="Arial"/>
          <w:sz w:val="22"/>
          <w:szCs w:val="22"/>
          <w:color w:val="auto"/>
        </w:rPr>
        <w:t>“Closing Date” means the date of this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“Code” means the Internal Revenue Code of 1986, as amended from time to time.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“Collateral” means the property described in Section 3.</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Stock” means the common stock, $0.001 par value per share of Verastem.</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“Confidential Information” has the meaning given to it in Section 11.12.</w:t>
      </w:r>
    </w:p>
    <w:p>
      <w:pPr>
        <w:spacing w:after="0" w:line="178" w:lineRule="exact"/>
        <w:rPr>
          <w:sz w:val="20"/>
          <w:szCs w:val="20"/>
          <w:color w:val="auto"/>
        </w:rPr>
      </w:pPr>
    </w:p>
    <w:p>
      <w:pPr>
        <w:jc w:val="both"/>
        <w:ind w:firstLine="1292"/>
        <w:spacing w:after="0" w:line="229" w:lineRule="auto"/>
        <w:rPr>
          <w:sz w:val="20"/>
          <w:szCs w:val="20"/>
          <w:color w:val="auto"/>
        </w:rPr>
      </w:pPr>
      <w:r>
        <w:rPr>
          <w:rFonts w:ascii="Arial" w:cs="Arial" w:eastAsia="Arial" w:hAnsi="Arial"/>
          <w:sz w:val="20"/>
          <w:szCs w:val="20"/>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58"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59"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“Copyrights” means all copyrights, whether registered or unregistered, held pursuant to the laws of the United States of America, any State thereof, or of any other country.</w:t>
      </w:r>
    </w:p>
    <w:p>
      <w:pPr>
        <w:spacing w:after="0" w:line="157"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“Deposit Accounts” means any “deposit accounts,” as such term is defined in the UCC, and includes any checking account, savings account, or certificate of deposit.</w:t>
      </w:r>
    </w:p>
    <w:p>
      <w:pPr>
        <w:spacing w:after="0" w:line="157" w:lineRule="exact"/>
        <w:rPr>
          <w:sz w:val="20"/>
          <w:szCs w:val="20"/>
          <w:color w:val="auto"/>
        </w:rPr>
      </w:pPr>
    </w:p>
    <w:p>
      <w:pPr>
        <w:jc w:val="both"/>
        <w:ind w:firstLine="1292"/>
        <w:spacing w:after="0" w:line="218" w:lineRule="auto"/>
        <w:rPr>
          <w:sz w:val="20"/>
          <w:szCs w:val="20"/>
          <w:color w:val="auto"/>
        </w:rPr>
      </w:pPr>
      <w:r>
        <w:rPr>
          <w:rFonts w:ascii="Arial" w:cs="Arial" w:eastAsia="Arial" w:hAnsi="Arial"/>
          <w:sz w:val="22"/>
          <w:szCs w:val="22"/>
          <w:color w:val="auto"/>
        </w:rPr>
        <w:t>“Designated Foreign Subsidiary” means any Foreign Subsidiary, individually, and in the aggregate with other Foreign Subsidiaries, which owns personal property and assets, in each case determined as of the most recent fiscal year end, in an amount less than ten percent (10.0%) of all of the personal property and assets of Verastem.</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“Domestic Subsidiary” means any Subsidiary that is not a Foreign Subsidiary or Excluded</w:t>
      </w:r>
    </w:p>
    <w:p>
      <w:pPr>
        <w:spacing w:after="0"/>
        <w:rPr>
          <w:sz w:val="20"/>
          <w:szCs w:val="20"/>
          <w:color w:val="auto"/>
        </w:rPr>
      </w:pPr>
      <w:r>
        <w:rPr>
          <w:rFonts w:ascii="Arial" w:cs="Arial" w:eastAsia="Arial" w:hAnsi="Arial"/>
          <w:sz w:val="22"/>
          <w:szCs w:val="22"/>
          <w:color w:val="auto"/>
        </w:rPr>
        <w:t>Subsidiary.</w:t>
      </w:r>
    </w:p>
    <w:p>
      <w:pPr>
        <w:spacing w:after="0" w:line="160"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“Due Diligence Fee” means Twenty-Thousand Dollars ($20,000.00), which fee is due to Lender on or prior to the Closing Date, and shall be deemed fully earned on such date regardless of the early termination of this Agreement.</w:t>
      </w:r>
    </w:p>
    <w:p>
      <w:pPr>
        <w:spacing w:after="0" w:line="159"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“Eligible Foreign Subsidiary” means any Foreign Subsidiary (which is not a Designated Foreign Subsidiary) whose execution of a Joinder Agreement would not result in a material adverse tax consequence to Borrower and whom Agent elects to join as a Borrower.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229" w:name="page230"/>
    <w:bookmarkEnd w:id="229"/>
    <w:p>
      <w:pPr>
        <w:jc w:val="both"/>
        <w:ind w:firstLine="1292"/>
        <w:spacing w:after="0" w:line="232" w:lineRule="auto"/>
        <w:rPr>
          <w:sz w:val="20"/>
          <w:szCs w:val="20"/>
          <w:color w:val="auto"/>
        </w:rPr>
      </w:pPr>
      <w:r>
        <w:rPr>
          <w:rFonts w:ascii="Arial" w:cs="Arial" w:eastAsia="Arial" w:hAnsi="Arial"/>
          <w:sz w:val="22"/>
          <w:szCs w:val="22"/>
          <w:color w:val="auto"/>
        </w:rPr>
        <w:t>“ERISA” means the Employee Retirement Income Security Act of 1974, as amended, and the regulations promulgated thereunder.</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“Event of Default” has the meaning given to it in Section 9.</w:t>
      </w:r>
    </w:p>
    <w:p>
      <w:pPr>
        <w:spacing w:after="0" w:line="178" w:lineRule="exact"/>
        <w:rPr>
          <w:sz w:val="20"/>
          <w:szCs w:val="20"/>
          <w:color w:val="auto"/>
        </w:rPr>
      </w:pPr>
    </w:p>
    <w:p>
      <w:pPr>
        <w:jc w:val="both"/>
        <w:ind w:firstLine="1292"/>
        <w:spacing w:after="0" w:line="231" w:lineRule="auto"/>
        <w:rPr>
          <w:sz w:val="20"/>
          <w:szCs w:val="20"/>
          <w:color w:val="auto"/>
        </w:rPr>
      </w:pPr>
      <w:r>
        <w:rPr>
          <w:rFonts w:ascii="Arial" w:cs="Arial" w:eastAsia="Arial" w:hAnsi="Arial"/>
          <w:sz w:val="20"/>
          <w:szCs w:val="20"/>
          <w:color w:val="auto"/>
        </w:rPr>
        <w:t>“Excluded Account” means (i) any Account (including, for the avoidance of doubt, any cash, cash equivalents, or other property contained therein) to the extent, and for so long as, such Account is pledged and used exclusively to secure performance of obligations arising under clauses (vi) and (xiv) of the defined term “Permitted Liens”, and whether such pledge is by escrow or otherwise, (ii) accounts used solely to fund payroll or employee benefits, (iii) withholding tax, benefits, trust, escrow, or fiduciary accounts, and (iv) other Accounts that have an aggregate balance not to exceed One Hundred Thousand Dollars ($100,000.00) for all such Accounts at any time and (v) deposit, securities, commodity or similar accounts in jurisdictions outside the United States of America that have an aggregate balance not to exceed One Hundred Thousand Dollars ($100,000.00) for all such accounts at any time.</w:t>
      </w:r>
    </w:p>
    <w:p>
      <w:pPr>
        <w:spacing w:after="0" w:line="161" w:lineRule="exact"/>
        <w:rPr>
          <w:sz w:val="20"/>
          <w:szCs w:val="20"/>
          <w:color w:val="auto"/>
        </w:rPr>
      </w:pPr>
    </w:p>
    <w:p>
      <w:pPr>
        <w:jc w:val="both"/>
        <w:ind w:firstLine="1292"/>
        <w:spacing w:after="0" w:line="218" w:lineRule="auto"/>
        <w:rPr>
          <w:sz w:val="20"/>
          <w:szCs w:val="20"/>
          <w:color w:val="auto"/>
        </w:rPr>
      </w:pPr>
      <w:r>
        <w:rPr>
          <w:rFonts w:ascii="Arial" w:cs="Arial" w:eastAsia="Arial" w:hAnsi="Arial"/>
          <w:sz w:val="22"/>
          <w:szCs w:val="22"/>
          <w:color w:val="auto"/>
        </w:rPr>
        <w:t>“Excluded Subsidiary” means Verastem Securities Company, a Massachusetts securities corporation, which is a Subsidiary of Borrower that has applied or is in the process of applying to be classified as a “security corporation” under Massachusetts General Laws Ch. 63, Section 38B(a), as amended, supplemented and/or modified.</w:t>
      </w:r>
    </w:p>
    <w:p>
      <w:pPr>
        <w:spacing w:after="0" w:line="158" w:lineRule="exact"/>
        <w:rPr>
          <w:sz w:val="20"/>
          <w:szCs w:val="20"/>
          <w:color w:val="auto"/>
        </w:rPr>
      </w:pPr>
    </w:p>
    <w:p>
      <w:pPr>
        <w:jc w:val="both"/>
        <w:ind w:firstLine="1292"/>
        <w:spacing w:after="0" w:line="231" w:lineRule="auto"/>
        <w:rPr>
          <w:sz w:val="20"/>
          <w:szCs w:val="20"/>
          <w:color w:val="auto"/>
        </w:rPr>
      </w:pPr>
      <w:r>
        <w:rPr>
          <w:rFonts w:ascii="Arial" w:cs="Arial" w:eastAsia="Arial" w:hAnsi="Arial"/>
          <w:sz w:val="20"/>
          <w:szCs w:val="20"/>
          <w:color w:val="auto"/>
        </w:rPr>
        <w:t>“Excluded Taxes” shall mean (i) taxes imposed on or with respect to Lender’s overall net or gross income or gross receipts, or franchise taxes imposed in lieu of the foregoing, by any jurisdiction in which Lender is resident, has a branch or otherwise has any other former or present connection (other than any connection solely attributable to this Agreement), (ii) branch profits taxes, (iii) any withholding taxes imposed on Lender with respect to the payments it is entitled to receive hereunder pursuant to laws in effect on the date it becomes a party to this Agreement (which in the case of any permitted assignee of Lender, shall mean the date as of which Lender’s rights and obligations under this Agreement are assigned to such Person), (iv) Taxes attributable to Lender’s failure to comply with Sections 7.10(b) and 7.10(c), (v) any U.S. federal withholding taxes imposed on Lender under FATCA, and (vi) any U.S. federal backup withholding tax.</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“Facility Charge” means Seventy-Five Thousand Dollars ($75,000.00).</w:t>
      </w:r>
    </w:p>
    <w:p>
      <w:pPr>
        <w:spacing w:after="0" w:line="178" w:lineRule="exact"/>
        <w:rPr>
          <w:sz w:val="20"/>
          <w:szCs w:val="20"/>
          <w:color w:val="auto"/>
        </w:rPr>
      </w:pPr>
    </w:p>
    <w:p>
      <w:pPr>
        <w:jc w:val="both"/>
        <w:ind w:firstLine="1292"/>
        <w:spacing w:after="0" w:line="236" w:lineRule="auto"/>
        <w:rPr>
          <w:sz w:val="20"/>
          <w:szCs w:val="20"/>
          <w:color w:val="auto"/>
        </w:rPr>
      </w:pPr>
      <w:r>
        <w:rPr>
          <w:rFonts w:ascii="Arial" w:cs="Arial" w:eastAsia="Arial" w:hAnsi="Arial"/>
          <w:sz w:val="20"/>
          <w:szCs w:val="20"/>
          <w:color w:val="auto"/>
        </w:rPr>
        <w:t>“FATCA” means Section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applicable intergovernmental agreement with respect thereto and applicable official implementing guidance thereunder.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“Financial Statements” has the meaning given to it in Section 7.1.</w:t>
      </w:r>
    </w:p>
    <w:p>
      <w:pPr>
        <w:spacing w:after="0" w:line="178"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“Foreign Subsidiary” means any Subsidiary that is not a “United States person” within the meaning of Section 7701(a)(3) of the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230" w:name="page231"/>
    <w:bookmarkEnd w:id="230"/>
    <w:p>
      <w:pPr>
        <w:jc w:val="both"/>
        <w:ind w:left="1" w:firstLine="1292"/>
        <w:spacing w:after="0" w:line="243" w:lineRule="auto"/>
        <w:rPr>
          <w:sz w:val="20"/>
          <w:szCs w:val="20"/>
          <w:color w:val="auto"/>
        </w:rPr>
      </w:pPr>
      <w:r>
        <w:rPr>
          <w:rFonts w:ascii="Arial" w:cs="Arial" w:eastAsia="Arial" w:hAnsi="Arial"/>
          <w:sz w:val="19"/>
          <w:szCs w:val="19"/>
          <w:color w:val="auto"/>
        </w:rPr>
        <w:t>“Foreign Subsidiary HoldCo” means any (a) Domestic Subsidiary substantially all the assets of which consist, directly or indirectly, of equity interests (or equity interests and indebtedness) of one or more Foreign Subsidiaries that are treated as a controlled foreign corporation within the meaning of Section 957 of the Code, or</w:t>
      </w:r>
    </w:p>
    <w:p>
      <w:pPr>
        <w:spacing w:after="0" w:line="1" w:lineRule="exact"/>
        <w:rPr>
          <w:sz w:val="20"/>
          <w:szCs w:val="20"/>
          <w:color w:val="auto"/>
        </w:rPr>
      </w:pPr>
    </w:p>
    <w:p>
      <w:pPr>
        <w:jc w:val="both"/>
        <w:ind w:left="1" w:hanging="1"/>
        <w:spacing w:after="0" w:line="238" w:lineRule="auto"/>
        <w:tabs>
          <w:tab w:leader="none" w:pos="337" w:val="left"/>
        </w:tabs>
        <w:numPr>
          <w:ilvl w:val="0"/>
          <w:numId w:val="91"/>
        </w:numPr>
        <w:rPr>
          <w:rFonts w:ascii="Arial" w:cs="Arial" w:eastAsia="Arial" w:hAnsi="Arial"/>
          <w:sz w:val="20"/>
          <w:szCs w:val="20"/>
          <w:color w:val="auto"/>
        </w:rPr>
      </w:pPr>
      <w:r>
        <w:rPr>
          <w:rFonts w:ascii="Arial" w:cs="Arial" w:eastAsia="Arial" w:hAnsi="Arial"/>
          <w:sz w:val="20"/>
          <w:szCs w:val="20"/>
          <w:color w:val="auto"/>
        </w:rPr>
        <w:t>Subsidiary that is disregarded for U.S. federal income tax purposes and substantially all the assets of which consist, directly or indirectly, of equity interests (or equity interests and indebtedness) of one or more Foreign Subsidiaries that are treated as a controlled foreign corporation within the meaning of Section 957 of the Code.</w:t>
      </w:r>
    </w:p>
    <w:p>
      <w:pPr>
        <w:spacing w:after="0" w:line="159" w:lineRule="exact"/>
        <w:rPr>
          <w:sz w:val="20"/>
          <w:szCs w:val="20"/>
          <w:color w:val="auto"/>
        </w:rPr>
      </w:pPr>
    </w:p>
    <w:p>
      <w:pPr>
        <w:jc w:val="both"/>
        <w:ind w:left="1" w:firstLine="1292"/>
        <w:spacing w:after="0" w:line="233" w:lineRule="auto"/>
        <w:rPr>
          <w:sz w:val="20"/>
          <w:szCs w:val="20"/>
          <w:color w:val="auto"/>
        </w:rPr>
      </w:pPr>
      <w:r>
        <w:rPr>
          <w:rFonts w:ascii="Arial" w:cs="Arial" w:eastAsia="Arial" w:hAnsi="Arial"/>
          <w:sz w:val="20"/>
          <w:szCs w:val="20"/>
          <w:color w:val="auto"/>
        </w:rPr>
        <w:t>“GAAP” means generally accepted accounting principles in the United States of America, as in effect from time to time, consistently applied, except that for purposes of the classification of operating leases (other than with respect to Section 7.1), GAAP shall be determined on the basis of such principles in effect on the Closing Date. For purposes of Section 7.1, GAAP shall be determined on the basis of such principles in effect on the Closing Date and consistent with those used in the preparation of the most recent audited or unaudited financial statements filed with the Securities and Exchange Commission in a Form 10-K or Form 10-Q (with such changes as are permitted to be made to GAAP pursuant to Section 7.1).</w:t>
      </w:r>
    </w:p>
    <w:p>
      <w:pPr>
        <w:spacing w:after="0" w:line="160" w:lineRule="exact"/>
        <w:rPr>
          <w:sz w:val="20"/>
          <w:szCs w:val="20"/>
          <w:color w:val="auto"/>
        </w:rPr>
      </w:pPr>
    </w:p>
    <w:p>
      <w:pPr>
        <w:jc w:val="both"/>
        <w:ind w:left="1" w:firstLine="1292"/>
        <w:spacing w:after="0" w:line="233" w:lineRule="auto"/>
        <w:rPr>
          <w:sz w:val="20"/>
          <w:szCs w:val="20"/>
          <w:color w:val="auto"/>
        </w:rPr>
      </w:pPr>
      <w:r>
        <w:rPr>
          <w:rFonts w:ascii="Arial" w:cs="Arial" w:eastAsia="Arial" w:hAnsi="Arial"/>
          <w:sz w:val="20"/>
          <w:szCs w:val="20"/>
          <w:color w:val="auto"/>
        </w:rPr>
        <w:t>“Indebtedness” means indebtedness of any kind, including (a) all indebtedness for borrowed money or the deferred purchase price of property or services (excluding trade credit entered into in the ordinary course of business due within ninety (90) days), including reimbursement and other obligations with respect to surety bonds and letters of credit, (b) all obligations evidenced by notes, bonds, debentures or similar instruments, (c) all capital lease obligations, and (d) all Contingent Obligations; provided that Indebtedness shall not include (i) prepaid or deferred revenue arising in the ordinary course of business and (ii) endorsements of checks or drafts arising in the ordinary course of business.</w:t>
      </w:r>
    </w:p>
    <w:p>
      <w:pPr>
        <w:spacing w:after="0" w:line="160" w:lineRule="exact"/>
        <w:rPr>
          <w:sz w:val="20"/>
          <w:szCs w:val="20"/>
          <w:color w:val="auto"/>
        </w:rPr>
      </w:pPr>
    </w:p>
    <w:p>
      <w:pPr>
        <w:jc w:val="both"/>
        <w:ind w:left="1" w:firstLine="1292"/>
        <w:spacing w:after="0" w:line="239" w:lineRule="auto"/>
        <w:rPr>
          <w:sz w:val="20"/>
          <w:szCs w:val="20"/>
          <w:color w:val="auto"/>
        </w:rPr>
      </w:pPr>
      <w:r>
        <w:rPr>
          <w:rFonts w:ascii="Arial" w:cs="Arial" w:eastAsia="Arial" w:hAnsi="Arial"/>
          <w:sz w:val="20"/>
          <w:szCs w:val="20"/>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61" w:lineRule="exact"/>
        <w:rPr>
          <w:sz w:val="20"/>
          <w:szCs w:val="20"/>
          <w:color w:val="auto"/>
        </w:rPr>
      </w:pPr>
    </w:p>
    <w:p>
      <w:pPr>
        <w:jc w:val="both"/>
        <w:ind w:left="1" w:firstLine="1292"/>
        <w:spacing w:after="0" w:line="233" w:lineRule="auto"/>
        <w:rPr>
          <w:sz w:val="20"/>
          <w:szCs w:val="20"/>
          <w:color w:val="auto"/>
        </w:rPr>
      </w:pPr>
      <w:r>
        <w:rPr>
          <w:rFonts w:ascii="Arial" w:cs="Arial" w:eastAsia="Arial" w:hAnsi="Arial"/>
          <w:sz w:val="20"/>
          <w:szCs w:val="20"/>
          <w:color w:val="auto"/>
        </w:rPr>
        <w:t>“Interest Only Extension Conditions” means satisfaction of each of the following events: (a) no default or Event of Default shall have occurred; and (b) confirmation by Agent and Lender that Borrower has received, after the Closing Date but on or prior to November 1, 2018, unrestricted and unencumbered net cash proceeds in a minimum amount of at least Twenty Million Dollars ($20,000,000) in connection with either (i) the issuance and sale by Borrower of its equity securities or Subordinated Indebtedness with investors reasonably acceptable to Agent, and/or (ii) ongoing commercial partnerships reasonably acceptable to Agent with Persons reasonably acceptable to Agent.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639254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231" w:name="page232"/>
    <w:bookmarkEnd w:id="231"/>
    <w:p>
      <w:pPr>
        <w:ind w:left="1300"/>
        <w:spacing w:after="0"/>
        <w:rPr>
          <w:sz w:val="20"/>
          <w:szCs w:val="20"/>
          <w:color w:val="auto"/>
        </w:rPr>
      </w:pPr>
      <w:r>
        <w:rPr>
          <w:rFonts w:ascii="Arial" w:cs="Arial" w:eastAsia="Arial" w:hAnsi="Arial"/>
          <w:sz w:val="22"/>
          <w:szCs w:val="22"/>
          <w:color w:val="auto"/>
        </w:rPr>
        <w:t>“Inventory” means “inventory” as defined in Article 9 of the UCC.</w:t>
      </w:r>
    </w:p>
    <w:p>
      <w:pPr>
        <w:spacing w:after="0" w:line="179" w:lineRule="exact"/>
        <w:rPr>
          <w:sz w:val="20"/>
          <w:szCs w:val="20"/>
          <w:color w:val="auto"/>
        </w:rPr>
      </w:pPr>
    </w:p>
    <w:p>
      <w:pPr>
        <w:jc w:val="both"/>
        <w:ind w:firstLine="1292"/>
        <w:spacing w:after="0" w:line="233" w:lineRule="auto"/>
        <w:rPr>
          <w:sz w:val="20"/>
          <w:szCs w:val="20"/>
          <w:color w:val="auto"/>
        </w:rPr>
      </w:pPr>
      <w:r>
        <w:rPr>
          <w:rFonts w:ascii="Arial" w:cs="Arial" w:eastAsia="Arial" w:hAnsi="Arial"/>
          <w:sz w:val="20"/>
          <w:szCs w:val="20"/>
          <w:color w:val="auto"/>
        </w:rPr>
        <w:t>“Investment” means any beneficial ownership (including stock, partnership or limited liability company interests) of or in any Person, or any loan, advance or capital contribution to any Person or the acquisition of all, or substantially all, of the assets of another Person. The amount of any Investment at any time shall be the original principal amount thereof less all dividends, distributions, interest payments, returns of principal or equity or other amount received on the sale or disposition of such Investment on or before such time and shall, if made by the transfer or exchange of assets other than cash, be deemed to have been made in an amount equal to the fair market value of such assets at the time of such Investment</w:t>
      </w:r>
    </w:p>
    <w:p>
      <w:pPr>
        <w:spacing w:after="0" w:line="160"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“Joinder Agreements” means for each Qualified Subsidiary, a completed and executed Joinder Agreement in substantially the form attached hereto as Exhibit G.</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“Lender” has the meaning given to it in the preamble to this Agreement.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“License” means any Copyright License, Patent License, Trademark License or other license of rights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or interests.</w:t>
      </w:r>
    </w:p>
    <w:p>
      <w:pPr>
        <w:spacing w:after="0" w:line="160" w:lineRule="exact"/>
        <w:rPr>
          <w:sz w:val="20"/>
          <w:szCs w:val="20"/>
          <w:color w:val="auto"/>
        </w:rPr>
      </w:pPr>
    </w:p>
    <w:p>
      <w:pPr>
        <w:jc w:val="both"/>
        <w:ind w:firstLine="1292"/>
        <w:spacing w:after="0" w:line="213" w:lineRule="auto"/>
        <w:rPr>
          <w:sz w:val="20"/>
          <w:szCs w:val="20"/>
          <w:color w:val="auto"/>
        </w:rPr>
      </w:pPr>
      <w:r>
        <w:rPr>
          <w:rFonts w:ascii="Arial" w:cs="Arial" w:eastAsia="Arial" w:hAnsi="Arial"/>
          <w:sz w:val="22"/>
          <w:szCs w:val="22"/>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in no event shall an operating lease entered into in the ordinary course of business or any precautionary UCC filings made pursuant thereto by an applicable lessor or lessee, be deemed to be a Lien.</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“Liquidity Requirement” shall have the meaning assigned to such term in Section 7.15.</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“Loan” means the Advances made under this Agreement.</w:t>
      </w:r>
    </w:p>
    <w:p>
      <w:pPr>
        <w:spacing w:after="0" w:line="178" w:lineRule="exact"/>
        <w:rPr>
          <w:sz w:val="20"/>
          <w:szCs w:val="20"/>
          <w:color w:val="auto"/>
        </w:rPr>
      </w:pPr>
    </w:p>
    <w:p>
      <w:pPr>
        <w:jc w:val="both"/>
        <w:ind w:firstLine="1292"/>
        <w:spacing w:after="0" w:line="239" w:lineRule="auto"/>
        <w:rPr>
          <w:sz w:val="20"/>
          <w:szCs w:val="20"/>
          <w:color w:val="auto"/>
        </w:rPr>
      </w:pPr>
      <w:r>
        <w:rPr>
          <w:rFonts w:ascii="Arial" w:cs="Arial" w:eastAsia="Arial" w:hAnsi="Arial"/>
          <w:sz w:val="20"/>
          <w:szCs w:val="20"/>
          <w:color w:val="auto"/>
        </w:rPr>
        <w:t>“Loan Documents” means this Agreement, the Notes (if any), the ACH Authorization, the Account Control Agreements, the Joinder Agreements, all UCC Financing Statements, any subordination agreement, and any other documents executed in connection with the Secured Obligations or the transactions contemplated hereby, as the same may from time to time be amended, modified, supplemented or restated.</w:t>
      </w:r>
    </w:p>
    <w:p>
      <w:pPr>
        <w:spacing w:after="0" w:line="161" w:lineRule="exact"/>
        <w:rPr>
          <w:sz w:val="20"/>
          <w:szCs w:val="20"/>
          <w:color w:val="auto"/>
        </w:rPr>
      </w:pPr>
    </w:p>
    <w:p>
      <w:pPr>
        <w:jc w:val="both"/>
        <w:ind w:firstLine="1292"/>
        <w:spacing w:after="0" w:line="236" w:lineRule="auto"/>
        <w:rPr>
          <w:sz w:val="20"/>
          <w:szCs w:val="20"/>
          <w:color w:val="auto"/>
        </w:rPr>
      </w:pPr>
      <w:r>
        <w:rPr>
          <w:rFonts w:ascii="Arial" w:cs="Arial" w:eastAsia="Arial" w:hAnsi="Arial"/>
          <w:sz w:val="20"/>
          <w:szCs w:val="20"/>
          <w:color w:val="auto"/>
        </w:rPr>
        <w:t>“Material Adverse Effect” 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Lender to enforce any of its rights or remedies with respect to the Secured Obligations; or (iii) the Collateral or Agent’s Liens on the Collateral or the priority of such Liens.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“Maximum Rate” shall have the meaning assigned to such term in Section 2.3.</w:t>
      </w:r>
    </w:p>
    <w:p>
      <w:pPr>
        <w:spacing w:after="0" w:line="191" w:lineRule="exact"/>
        <w:rPr>
          <w:sz w:val="20"/>
          <w:szCs w:val="20"/>
          <w:color w:val="auto"/>
        </w:rPr>
      </w:pPr>
    </w:p>
    <w:p>
      <w:pPr>
        <w:ind w:right="260" w:firstLine="1292"/>
        <w:spacing w:after="0" w:line="249" w:lineRule="auto"/>
        <w:rPr>
          <w:sz w:val="20"/>
          <w:szCs w:val="20"/>
          <w:color w:val="auto"/>
        </w:rPr>
      </w:pPr>
      <w:r>
        <w:rPr>
          <w:rFonts w:ascii="Arial" w:cs="Arial" w:eastAsia="Arial" w:hAnsi="Arial"/>
          <w:sz w:val="22"/>
          <w:szCs w:val="22"/>
          <w:color w:val="auto"/>
        </w:rPr>
        <w:t>“Milestone Event” shall mean that (a) no Event of Default shall have occurred, and (b) Agent shall have confirmed, in Agent’s reasonable discretion, on or prior to September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232" w:name="page233"/>
    <w:bookmarkEnd w:id="232"/>
    <w:p>
      <w:pPr>
        <w:spacing w:after="0"/>
        <w:rPr>
          <w:sz w:val="20"/>
          <w:szCs w:val="20"/>
          <w:color w:val="auto"/>
        </w:rPr>
      </w:pPr>
      <w:r>
        <w:rPr>
          <w:rFonts w:ascii="Arial" w:cs="Arial" w:eastAsia="Arial" w:hAnsi="Arial"/>
          <w:sz w:val="19"/>
          <w:szCs w:val="19"/>
          <w:color w:val="auto"/>
        </w:rPr>
        <w:t>20, 2017, that Borrower has achieved the pre-specified primary endpoint in a Phase III clinical study evaluating the</w:t>
      </w:r>
    </w:p>
    <w:p>
      <w:pPr>
        <w:spacing w:after="0" w:line="42" w:lineRule="exact"/>
        <w:rPr>
          <w:sz w:val="20"/>
          <w:szCs w:val="20"/>
          <w:color w:val="auto"/>
        </w:rPr>
      </w:pPr>
    </w:p>
    <w:p>
      <w:pPr>
        <w:ind w:right="1000"/>
        <w:spacing w:after="0" w:line="236" w:lineRule="auto"/>
        <w:rPr>
          <w:sz w:val="20"/>
          <w:szCs w:val="20"/>
          <w:color w:val="auto"/>
        </w:rPr>
      </w:pPr>
      <w:r>
        <w:rPr>
          <w:rFonts w:ascii="Arial" w:cs="Arial" w:eastAsia="Arial" w:hAnsi="Arial"/>
          <w:sz w:val="22"/>
          <w:szCs w:val="22"/>
          <w:color w:val="auto"/>
        </w:rPr>
        <w:t>safety and efficacy of Duvelisib in the treatment of patients with relapsed/refractory chronic lymphocytic leukemia or small lymphocytic lymphoma.</w:t>
      </w:r>
    </w:p>
    <w:p>
      <w:pPr>
        <w:spacing w:after="0" w:line="184" w:lineRule="exact"/>
        <w:rPr>
          <w:sz w:val="20"/>
          <w:szCs w:val="20"/>
          <w:color w:val="auto"/>
        </w:rPr>
      </w:pPr>
    </w:p>
    <w:p>
      <w:pPr>
        <w:ind w:right="160" w:firstLine="1292"/>
        <w:spacing w:after="0" w:line="249" w:lineRule="auto"/>
        <w:rPr>
          <w:sz w:val="20"/>
          <w:szCs w:val="20"/>
          <w:color w:val="auto"/>
        </w:rPr>
      </w:pPr>
      <w:r>
        <w:rPr>
          <w:rFonts w:ascii="Arial" w:cs="Arial" w:eastAsia="Arial" w:hAnsi="Arial"/>
          <w:sz w:val="22"/>
          <w:szCs w:val="22"/>
          <w:color w:val="auto"/>
        </w:rPr>
        <w:t>“Note(s)” means a promissory note or promissory notes to evidence Lender’s Loans substantially in the form of Exhibit B.</w:t>
      </w:r>
    </w:p>
    <w:p>
      <w:pPr>
        <w:spacing w:after="0" w:line="161"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59"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59" w:lineRule="exact"/>
        <w:rPr>
          <w:sz w:val="20"/>
          <w:szCs w:val="20"/>
          <w:color w:val="auto"/>
        </w:rPr>
      </w:pPr>
    </w:p>
    <w:p>
      <w:pPr>
        <w:jc w:val="both"/>
        <w:ind w:firstLine="1292"/>
        <w:spacing w:after="0"/>
        <w:rPr>
          <w:sz w:val="20"/>
          <w:szCs w:val="20"/>
          <w:color w:val="auto"/>
        </w:rPr>
      </w:pPr>
      <w:r>
        <w:rPr>
          <w:rFonts w:ascii="Arial" w:cs="Arial" w:eastAsia="Arial" w:hAnsi="Arial"/>
          <w:sz w:val="19"/>
          <w:szCs w:val="19"/>
          <w:color w:val="auto"/>
        </w:rPr>
        <w:t>“Permitted Indebtedness” means: (i) Indebtedness of Borrower in favor of Lender or Agent arising under this Agreement or any other Loan Document; (ii) Indebtedness existing on the Closing Date which is disclosed in Schedule 1A; (iii) Indebtedness of up to Two Hundred Thousand Dollars ($200,000) outstanding at any time secured by a Lien described in clause (vii) of the defined term “Permitted Liens,” provided such Indebtedness does not exceed the cost of the Equipment financed with such Indebtedness; (iv) Indebtedness to trade creditors incurred in the ordinary course of business, and Indebtedness incurred in the ordinary course of business with corporate credit cards (including travel and entertainment expenses and similar expenses incurred in the ordinary course of business); (v) Indebtedness that also constitutes a Permitted Investment; (vi) Subordinated Indebtedness; (vii) reimbursement obligations in connection with letters of credit and cash management services (including credit cards, debit cards and similar instruments) that are secured by Cash and issued on behalf of the Borrower or a Subsidiary thereof in an amount not to exceed Three Hundred Thousand Dollars ($300,000) at any time outstanding, (viii) other unsecured Indebtedness in an amount not to exceed Two Hundred Thousand Dollars ($200,000) at any time outstanding, (ix) intercompany Indebtedness as long as either (A) each of the Subsidiary obligor and the Subsidiary obligee under such Indebtedness is a Qualified Subsidiary that has executed a Joinder Agreement or (B) neither the Subsidiary obligor nor the Subsidiary obligee under such Indebtedness is a Borrower, and (x) extensions, refinancings, renewals, modifications, amendments, restatements, or amendments and restatements of any items of Permitted Indebtedness, provided that the principal amount is not increased or the terms modified do not impose materially more burdensome terms upon Borrower or its Subsidiary, as the case may be.</w:t>
      </w:r>
    </w:p>
    <w:p>
      <w:pPr>
        <w:spacing w:after="0" w:line="159" w:lineRule="exact"/>
        <w:rPr>
          <w:sz w:val="20"/>
          <w:szCs w:val="20"/>
          <w:color w:val="auto"/>
        </w:rPr>
      </w:pPr>
    </w:p>
    <w:p>
      <w:pPr>
        <w:jc w:val="both"/>
        <w:ind w:firstLine="1292"/>
        <w:spacing w:after="0" w:line="233" w:lineRule="auto"/>
        <w:rPr>
          <w:sz w:val="20"/>
          <w:szCs w:val="20"/>
          <w:color w:val="auto"/>
        </w:rPr>
      </w:pPr>
      <w:r>
        <w:rPr>
          <w:rFonts w:ascii="Arial" w:cs="Arial" w:eastAsia="Arial" w:hAnsi="Arial"/>
          <w:sz w:val="20"/>
          <w:szCs w:val="20"/>
          <w:color w:val="auto"/>
        </w:rPr>
        <w:t>“Permitted Investment” means: (i) Investments existing on the Closing Date which are disclosed in Schedule 1B; (ii) (a) marketable direct obligations issued or unconditionally guaranteed by the United States of America or any agency or any State thereof maturing within one year from the date of acquisition thereof, (b) commercial paper maturing no more than one year from the date of creation thereof and currently having a rating of at least A-2 or P-2 from either Standard &amp; Poor’s Corporation or Moody’s Investors Service, (c) certificates of deposit issued by any bank with assets of at least Five Hundred Million Dollars ($500,000,000) maturing no more than one year from the date of investment therein, (d) money market accounts, and (e) such other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233" w:name="page234"/>
    <w:bookmarkEnd w:id="233"/>
    <w:p>
      <w:pPr>
        <w:jc w:val="both"/>
        <w:ind w:left="1"/>
        <w:spacing w:after="0" w:line="237" w:lineRule="auto"/>
        <w:rPr>
          <w:sz w:val="20"/>
          <w:szCs w:val="20"/>
          <w:color w:val="auto"/>
        </w:rPr>
      </w:pPr>
      <w:r>
        <w:rPr>
          <w:rFonts w:ascii="Arial" w:cs="Arial" w:eastAsia="Arial" w:hAnsi="Arial"/>
          <w:sz w:val="19"/>
          <w:szCs w:val="19"/>
          <w:color w:val="auto"/>
        </w:rPr>
        <w:t>Investments as are described in the Board-approved investment guidelines delivered to Agent prior to the Closing Date or with such changes as reasonably acceptable to Agent made after the Closing Date; (iii) Investments consisting of the endorsement of negotiable instruments for deposit or collection or similar transactions in the ordinary course of business; (iv) Investments accepted in connection with Permitted Transfers; (v) Investments (including debt obligations) received in connection with the bankruptcy or reorganization of customers or suppliers and in settlement of delinquent obligations of, and other disputes with, customers or suppliers arising in the ordinary course of Borrower’s business; (vi) Investments consisting of notes receivable of, or prepaid royalties and other credit extensions, to customers and suppliers who are not Affiliates, in the ordinary course of business, provided that this subparagraph (vi) shall not apply to Investments of Borrower in any Subsidiary; (vii) 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the Board; (viii) Investments consisting of travel advances in the ordinary course of business; (ix) Investments in newly-formed Domestic Subsidiaries, provided that each such Domestic Subsidiary enters into a Joinder Agreement promptly after its formation by Borrower or any Subsidiary and execute such other documents as shall be reasonably requested by Agent; (x) intercompany Investments as long as either</w:t>
      </w:r>
    </w:p>
    <w:p>
      <w:pPr>
        <w:spacing w:after="0" w:line="13" w:lineRule="exact"/>
        <w:rPr>
          <w:sz w:val="20"/>
          <w:szCs w:val="20"/>
          <w:color w:val="auto"/>
        </w:rPr>
      </w:pPr>
    </w:p>
    <w:p>
      <w:pPr>
        <w:jc w:val="both"/>
        <w:ind w:left="1" w:hanging="1"/>
        <w:spacing w:after="0" w:line="241" w:lineRule="auto"/>
        <w:tabs>
          <w:tab w:leader="none" w:pos="376" w:val="left"/>
        </w:tabs>
        <w:numPr>
          <w:ilvl w:val="0"/>
          <w:numId w:val="92"/>
        </w:numPr>
        <w:rPr>
          <w:rFonts w:ascii="Arial" w:cs="Arial" w:eastAsia="Arial" w:hAnsi="Arial"/>
          <w:sz w:val="19"/>
          <w:szCs w:val="19"/>
          <w:color w:val="auto"/>
        </w:rPr>
      </w:pPr>
      <w:r>
        <w:rPr>
          <w:rFonts w:ascii="Arial" w:cs="Arial" w:eastAsia="Arial" w:hAnsi="Arial"/>
          <w:sz w:val="19"/>
          <w:szCs w:val="19"/>
          <w:color w:val="auto"/>
        </w:rPr>
        <w:t>each of the Subsidiary investor and the Subsidiary investee under such Investments is a Qualified Subsidiary that has executed a Joinder Agreement or (B) neither the Subsidiary investor nor the Subsidiary investee under such Investment is a Borrower or an Excluded Subsidiary; (xi) Investments in Foreign Subsidiaries approved in advance in writing by Agent; (xii) joint ventures or strategic alliances in the ordinary course of Borrower’s business consisting of the nonexclusive licensing of technology, the development of technology or the providing of technical support, provided that any cash Investments by Borrower or any Subsidiary do not exceed Two Hundred Fifty Thousand Dollars ($250,000) in the aggregate in any fiscal year; (xiii) Investments in the Excluded Subsidiary, so long as an Event of Default does not exist at the time of such Investment and would not exist after giving effect to such Investment and provided that Borrower is, at all times, in compliance with the Liquidity Requirement; and (xiv) additional Investments that do not exceed Two Hundred Fifty Thousand Dollars ($250,000) in the aggregate.</w:t>
      </w:r>
    </w:p>
    <w:p>
      <w:pPr>
        <w:spacing w:after="0" w:line="137"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“Permitted Liens” means any and all of the following: (i) Liens in favor of Agent or Lender;</w:t>
      </w:r>
    </w:p>
    <w:p>
      <w:pPr>
        <w:jc w:val="both"/>
        <w:ind w:left="1" w:hanging="1"/>
        <w:spacing w:after="0" w:line="239" w:lineRule="auto"/>
        <w:tabs>
          <w:tab w:leader="none" w:pos="3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Liens existing on the Closing Date which are disclosed in Schedule 1C; (iii) Liens for taxes, fees, assessments or other governmental charges or levies, either (A) not delinquent or (B) being contested in good faith by appropriate proceedings and Borrower maintains adequate reserves therefor in accordance with GAAP (to the extent required thereby); (iv) Liens securing claims or demands of materialmen, artisans, mechanics, carriers, warehousemen, landlords and other like Persons arising in the ordinary course of Borrower’s business and imposed without action of such parties; provided, that the payment thereof is not yet required; (v) Liens arising from judgments, decrees or attachments in circumstances which do not constitute an Event of Default hereunder; (vi) deposits to secure the performance of obligations (including by way of deposits to secure letters of credit issued to secure the same) under commercial supply and/or manufacturing agreements in an amount not to exceed Five Hundred Thousand Dollars ($500,000) and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639254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234" w:name="page235"/>
    <w:bookmarkEnd w:id="234"/>
    <w:p>
      <w:pPr>
        <w:jc w:val="both"/>
        <w:ind w:left="1" w:right="20"/>
        <w:spacing w:after="0" w:line="234" w:lineRule="auto"/>
        <w:rPr>
          <w:sz w:val="20"/>
          <w:szCs w:val="20"/>
          <w:color w:val="auto"/>
        </w:rPr>
      </w:pPr>
      <w:r>
        <w:rPr>
          <w:rFonts w:ascii="Arial" w:cs="Arial" w:eastAsia="Arial" w:hAnsi="Arial"/>
          <w:sz w:val="20"/>
          <w:szCs w:val="20"/>
          <w:color w:val="auto"/>
        </w:rPr>
        <w:t>the repayment of borrowed money) or to secure statutory obligations (other than Liens arising under ERISA or environmental Liens) or surety or appeal bonds, or to secure indemnity, performance or other similar bonds;</w:t>
      </w:r>
    </w:p>
    <w:p>
      <w:pPr>
        <w:spacing w:after="0" w:line="1" w:lineRule="exact"/>
        <w:rPr>
          <w:sz w:val="20"/>
          <w:szCs w:val="20"/>
          <w:color w:val="auto"/>
        </w:rPr>
      </w:pPr>
    </w:p>
    <w:p>
      <w:pPr>
        <w:jc w:val="both"/>
        <w:ind w:left="1" w:hanging="1"/>
        <w:spacing w:after="0" w:line="238" w:lineRule="auto"/>
        <w:tabs>
          <w:tab w:leader="none" w:pos="436" w:val="left"/>
        </w:tabs>
        <w:numPr>
          <w:ilvl w:val="0"/>
          <w:numId w:val="94"/>
        </w:numPr>
        <w:rPr>
          <w:rFonts w:ascii="Arial" w:cs="Arial" w:eastAsia="Arial" w:hAnsi="Arial"/>
          <w:sz w:val="19"/>
          <w:szCs w:val="19"/>
          <w:color w:val="auto"/>
        </w:rPr>
      </w:pPr>
      <w:r>
        <w:rPr>
          <w:rFonts w:ascii="Arial" w:cs="Arial" w:eastAsia="Arial" w:hAnsi="Arial"/>
          <w:sz w:val="19"/>
          <w:szCs w:val="19"/>
          <w:color w:val="auto"/>
        </w:rPr>
        <w:t>Liens on Equipment or software or other intellectual property constituting purchase money Liens and Liens in connection with capital leases securing Indebtedness permitted in clause (iii) of “Permitted Indebtedness”; (viii) Liens incurred in connection with Subordinated Indebtedness; (ix) leasehold interests in leases, subleases, licenses or sublicenses granted in the ordinary course of business and not interfering in any material respect with the business of the licensor; (x) Liens in favor of customs and revenue authorities arising as a matter of law to secure payment of custom duties that are promptly paid on or before the date they become due; (xi) Liens on insurance proceeds securing the payment of financed insurance premiums that are promptly paid on or before the date they become due (provided that such Liens extend only to such insurance proceeds and not to any other property or assets); (xii) statutory and common law rights of set-off and other similar rights as to deposits of cash and securities in favor of banks, other depository institutions and brokerage firms; (xiii) easements, zoning restrictions, rights-of-way and similar encumbrances on real property imposed by law or arising in the ordinary course of business so long as they do not materially impair the value or marketability of the related property; (xiv) (A) Liens on Cash securing obligations permitted under clause (vii) of the definition of Permitted Indebtedness and (B) security deposits in connection with real property leases, the combination of (A) and (B) in an aggregate amount not to exceed Seven Hundred Thousand Dollars ($700,000) at any time; (xv) sales, transfers, licenses, sublicenses, leases, subleases or other dispositions of assets not prohibited by Section 7.8 and, in connection therewith, customary rights and restrictions contained in agreements relating to such transactions pending the completion thereof or during the term thereof, and any option or other agreement to sell, transfer, license, sublicense, lease, sublease or dispose of an asset not prohibited by Section 7.8 and (xvi) Liens incurred in connection with the extension, renewal or refinancing of the Indebtedness secured by Liens of the type described in clauses (i) through (xvi) above; provided, that any extension, renewal or replacement Lien shall be limited to the property encumbered by the existing Lien and the principal amount of the Indebtedness being extended, renewed or refinanced, modified, amended, restated or amended and restated (as may have been reduced by any payment thereon) does not increase.</w:t>
      </w:r>
    </w:p>
    <w:p>
      <w:pPr>
        <w:spacing w:after="0" w:line="167" w:lineRule="exact"/>
        <w:rPr>
          <w:sz w:val="20"/>
          <w:szCs w:val="20"/>
          <w:color w:val="auto"/>
        </w:rPr>
      </w:pPr>
    </w:p>
    <w:p>
      <w:pPr>
        <w:jc w:val="both"/>
        <w:ind w:left="1" w:right="20" w:firstLine="1292"/>
        <w:spacing w:after="0" w:line="229" w:lineRule="auto"/>
        <w:rPr>
          <w:sz w:val="20"/>
          <w:szCs w:val="20"/>
          <w:color w:val="auto"/>
        </w:rPr>
      </w:pPr>
      <w:r>
        <w:rPr>
          <w:rFonts w:ascii="Arial" w:cs="Arial" w:eastAsia="Arial" w:hAnsi="Arial"/>
          <w:sz w:val="20"/>
          <w:szCs w:val="20"/>
          <w:color w:val="auto"/>
        </w:rPr>
        <w:t>“Permitted Transfers” means (i) sales, transfers or other dispositions of Inventory in the ordinary course of business, (ii) licenses, sublicenses and similar arrangements for the use of Intellectual Property and related assets in the ordinary course of business and other licenses and sublicenses that could not result in a legal transfer of title of the licensed property, (iii) transfers expressly permitted under Section 7.5, 7.6 or 7.7, (iv) dispositions of worn-out, obsolete or surplus Equipment at fair market value in the ordinary course of business, (v) transfers by and among the Borrower and any of its Subsidiaries, provided that such Subsidiary has entered into a Joinder Agreement and such other documents as shall reasonably be required by Agent, (vi) transfers by and among Subsidiaries, provided that no Subsidiary involved in such transfer is a Borrower or an Excluded Subsidiary, (vii) the use or transfer of cash or cash equivalents in a manner that is not prohibited by the terms of this Agreement or the other Loan Documents and in the ordinary course of business, (viii) transfers consisting of Permitted Liens, and (ix) other Transfers of assets having a fair market value of not more than Two Hundred Fifty Thousand Dollars ($250,000) in the aggregate in any fiscal year.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639254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1"/>
          </w:cols>
          <w:pgMar w:left="919" w:top="104" w:right="899" w:bottom="1440" w:gutter="0" w:footer="0" w:header="0"/>
        </w:sectPr>
      </w:pPr>
    </w:p>
    <w:bookmarkStart w:id="235" w:name="page236"/>
    <w:bookmarkEnd w:id="235"/>
    <w:p>
      <w:pPr>
        <w:jc w:val="both"/>
        <w:ind w:firstLine="1292"/>
        <w:spacing w:after="0" w:line="271" w:lineRule="auto"/>
        <w:rPr>
          <w:sz w:val="20"/>
          <w:szCs w:val="20"/>
          <w:color w:val="auto"/>
        </w:rPr>
      </w:pPr>
      <w:r>
        <w:rPr>
          <w:rFonts w:ascii="Arial" w:cs="Arial" w:eastAsia="Arial" w:hAnsi="Arial"/>
          <w:sz w:val="20"/>
          <w:szCs w:val="20"/>
          <w:color w:val="auto"/>
        </w:rPr>
        <w:t>“Person” means any individual, sole proprietorship, partnership, joint venture, trust, unincorporated organization, association, corporation, limited liability company, institution, other entity or government.</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“Prepayment Charge” shall have the meaning assigned to such term in Section 2.4.</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“Prime Rate” is the “prime rate”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any successor publication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“Proposed Future Royalty Backed Indebtedness Transactions” is defined in Section 11.19 hereof.</w:t>
      </w:r>
    </w:p>
    <w:p>
      <w:pPr>
        <w:spacing w:after="0" w:line="214"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“Qualified Subsidiary” means any direct or indirect Domestic Subsidiary (other than the Excluded Subsidiary) or Eligible Foreign Subsidiary.</w:t>
      </w:r>
    </w:p>
    <w:p>
      <w:pPr>
        <w:spacing w:after="0" w:line="157"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“Register” shall have the meaning assigned to such term in Section 11.7(b).</w:t>
      </w:r>
    </w:p>
    <w:p>
      <w:pPr>
        <w:spacing w:after="0" w:line="178"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“Required Lenders” means at any time, the holders of more than 50% of the aggregate unpaid principal amount of the Term Loan Advances then outstanding.</w:t>
      </w:r>
    </w:p>
    <w:p>
      <w:pPr>
        <w:spacing w:after="0" w:line="157"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“Secured Obligations” means Borrower’s obligations under this Agreement and any Loan Document, including any obligation to pay any amount now owing or later arising.</w:t>
      </w:r>
    </w:p>
    <w:p>
      <w:pPr>
        <w:spacing w:after="0" w:line="157"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“SPE” means any Subsidiary formed for the sole purpose of effectuating a Proposed Future Royalty Backed Indebtedness Transactions.</w:t>
      </w:r>
    </w:p>
    <w:p>
      <w:pPr>
        <w:spacing w:after="0" w:line="157" w:lineRule="exact"/>
        <w:rPr>
          <w:sz w:val="20"/>
          <w:szCs w:val="20"/>
          <w:color w:val="auto"/>
        </w:rPr>
      </w:pPr>
    </w:p>
    <w:p>
      <w:pPr>
        <w:jc w:val="both"/>
        <w:ind w:firstLine="1292"/>
        <w:spacing w:after="0" w:line="270" w:lineRule="auto"/>
        <w:rPr>
          <w:sz w:val="20"/>
          <w:szCs w:val="20"/>
          <w:color w:val="auto"/>
        </w:rPr>
      </w:pPr>
      <w:r>
        <w:rPr>
          <w:rFonts w:ascii="Arial" w:cs="Arial" w:eastAsia="Arial" w:hAnsi="Arial"/>
          <w:sz w:val="20"/>
          <w:szCs w:val="20"/>
          <w:color w:val="auto"/>
        </w:rPr>
        <w:t>“Subordinated Indebtedness” means Indebtedness subordinated to the Secured Obligations in amounts and on terms and conditions satisfactory to Agent in its sole but reasonable discretion.</w:t>
      </w:r>
    </w:p>
    <w:p>
      <w:pPr>
        <w:spacing w:after="0" w:line="129"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“Subsidiary” means an entity, whether corporate, partnership, limited liability company, joint venture or otherwise, in which Borrower owns or controls 50% or more of the outstanding voting securities, including each entity listed on Schedule 1 hereto.</w:t>
      </w:r>
    </w:p>
    <w:p>
      <w:pPr>
        <w:spacing w:after="0" w:line="159"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“Tax” and “Taxes”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“Term Loan” shall have the meaning assigned to such term in the preamble to this Agreement.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“Term A Loan Advance” shall have the meaning assigned to such term in Section 2.1(a).</w:t>
      </w:r>
    </w:p>
    <w:p>
      <w:pPr>
        <w:spacing w:after="0" w:line="20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236" w:name="page237"/>
    <w:bookmarkEnd w:id="236"/>
    <w:p>
      <w:pPr>
        <w:ind w:left="1300"/>
        <w:spacing w:after="0"/>
        <w:rPr>
          <w:sz w:val="20"/>
          <w:szCs w:val="20"/>
          <w:color w:val="auto"/>
        </w:rPr>
      </w:pPr>
      <w:r>
        <w:rPr>
          <w:rFonts w:ascii="Arial" w:cs="Arial" w:eastAsia="Arial" w:hAnsi="Arial"/>
          <w:sz w:val="19"/>
          <w:szCs w:val="19"/>
          <w:color w:val="auto"/>
        </w:rPr>
        <w:t>“Term B Draw Period” means the period of time commencing upon the Closing Date, and continuing</w:t>
      </w:r>
    </w:p>
    <w:p>
      <w:pPr>
        <w:spacing w:after="0" w:line="42"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through the earliest to occur of (a) December 20, 2017, (b) the date that is ninety (90) days after the occurrence of the Milestone Event, or (c) an Event of Default.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“Term B Loan Advance” shall have the meaning assigned to such term in Section 2.1(a).</w:t>
      </w:r>
    </w:p>
    <w:p>
      <w:pPr>
        <w:spacing w:after="0" w:line="191" w:lineRule="exact"/>
        <w:rPr>
          <w:sz w:val="20"/>
          <w:szCs w:val="20"/>
          <w:color w:val="auto"/>
        </w:rPr>
      </w:pPr>
    </w:p>
    <w:p>
      <w:pPr>
        <w:jc w:val="both"/>
        <w:ind w:firstLine="1292"/>
        <w:spacing w:after="0" w:line="218" w:lineRule="auto"/>
        <w:rPr>
          <w:sz w:val="20"/>
          <w:szCs w:val="20"/>
          <w:color w:val="auto"/>
        </w:rPr>
      </w:pPr>
      <w:r>
        <w:rPr>
          <w:rFonts w:ascii="Arial" w:cs="Arial" w:eastAsia="Arial" w:hAnsi="Arial"/>
          <w:sz w:val="22"/>
          <w:szCs w:val="22"/>
          <w:color w:val="auto"/>
        </w:rPr>
        <w:t>“Term C Draw Period” means the period of time commencing upon the occurrence of each of (a) the Milestone Event and (b) Lender making both the Term A Loan Advance and the Term B Loan Advance, and continuing through the earliest to occur of (a) December 20, 2017, (b) the date that is ninety (90) days after the occurrence of the Milestone Event, or (c) an Event of Default.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“Term C Loan Advance” shall have the meaning assigned to such term in Section 2.1(a).</w:t>
      </w:r>
    </w:p>
    <w:p>
      <w:pPr>
        <w:spacing w:after="0" w:line="178"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“Term D Draw Period” means the period of time commencing upon the occurrence of the Lender making each of the Term A Loan Advance, the Term B Loan Advance and the Term C Loan Advance, and continuing through the earlier to occur of (a) June 30, 2018 or (b) an Event of Default.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“Term D Loan Advance” shall have the meaning assigned to such term in Section 2.1(a).</w:t>
      </w:r>
    </w:p>
    <w:p>
      <w:pPr>
        <w:spacing w:after="0" w:line="178"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“Term Loan Advance” and “Term Loan Advances” shall have the meaning assigned to such terms in</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Section 2.1(a).</w:t>
      </w:r>
    </w:p>
    <w:p>
      <w:pPr>
        <w:spacing w:after="0" w:line="173"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“Term Loan Interest Rate” means for any day a floating per annum rate of interest equal to the greater of either (a) 10.5% and (b) the lesser of (i) 12.75% and (ii) the sum of (x) 10.5% plus (y) (A) the Prime Rate minus (B) 4.5%.</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“Term Loan Maturity Date” means December 1, 2020.</w:t>
      </w:r>
    </w:p>
    <w:p>
      <w:pPr>
        <w:spacing w:after="0" w:line="178" w:lineRule="exact"/>
        <w:rPr>
          <w:sz w:val="20"/>
          <w:szCs w:val="20"/>
          <w:color w:val="auto"/>
        </w:rPr>
      </w:pPr>
    </w:p>
    <w:p>
      <w:pPr>
        <w:jc w:val="both"/>
        <w:ind w:firstLine="1292"/>
        <w:spacing w:after="0" w:line="222" w:lineRule="auto"/>
        <w:rPr>
          <w:sz w:val="20"/>
          <w:szCs w:val="20"/>
          <w:color w:val="auto"/>
        </w:rPr>
      </w:pPr>
      <w:r>
        <w:rPr>
          <w:rFonts w:ascii="Arial" w:cs="Arial" w:eastAsia="Arial" w:hAnsi="Arial"/>
          <w:sz w:val="22"/>
          <w:szCs w:val="22"/>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59" w:lineRule="exact"/>
        <w:rPr>
          <w:sz w:val="20"/>
          <w:szCs w:val="20"/>
          <w:color w:val="auto"/>
        </w:rPr>
      </w:pPr>
    </w:p>
    <w:p>
      <w:pPr>
        <w:jc w:val="both"/>
        <w:ind w:firstLine="1292"/>
        <w:spacing w:after="0" w:line="218" w:lineRule="auto"/>
        <w:rPr>
          <w:sz w:val="20"/>
          <w:szCs w:val="20"/>
          <w:color w:val="auto"/>
        </w:rPr>
      </w:pPr>
      <w:r>
        <w:rPr>
          <w:rFonts w:ascii="Arial" w:cs="Arial" w:eastAsia="Arial" w:hAnsi="Arial"/>
          <w:sz w:val="22"/>
          <w:szCs w:val="22"/>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58" w:lineRule="exact"/>
        <w:rPr>
          <w:sz w:val="20"/>
          <w:szCs w:val="20"/>
          <w:color w:val="auto"/>
        </w:rPr>
      </w:pPr>
    </w:p>
    <w:p>
      <w:pPr>
        <w:jc w:val="both"/>
        <w:ind w:firstLine="1292"/>
        <w:spacing w:after="0" w:line="232" w:lineRule="auto"/>
        <w:rPr>
          <w:sz w:val="20"/>
          <w:szCs w:val="20"/>
          <w:color w:val="auto"/>
        </w:rPr>
      </w:pPr>
      <w:r>
        <w:rPr>
          <w:rFonts w:ascii="Arial" w:cs="Arial" w:eastAsia="Arial" w:hAnsi="Arial"/>
          <w:sz w:val="22"/>
          <w:szCs w:val="22"/>
          <w:color w:val="auto"/>
        </w:rPr>
        <w:t>“UCC” means the Uniform Commercial Code as the same is, from time to time, in effect in the State of California; provided, that in the event that, by reason of mandatory provisions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237" w:name="page238"/>
    <w:bookmarkEnd w:id="237"/>
    <w:p>
      <w:pPr>
        <w:jc w:val="both"/>
        <w:spacing w:after="0" w:line="237" w:lineRule="auto"/>
        <w:rPr>
          <w:sz w:val="20"/>
          <w:szCs w:val="20"/>
          <w:color w:val="auto"/>
        </w:rPr>
      </w:pPr>
      <w:r>
        <w:rPr>
          <w:rFonts w:ascii="Arial" w:cs="Arial" w:eastAsia="Arial" w:hAnsi="Arial"/>
          <w:sz w:val="20"/>
          <w:szCs w:val="20"/>
          <w:color w:val="auto"/>
        </w:rPr>
        <w:t>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71"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9"/>
          <w:szCs w:val="19"/>
          <w:color w:val="auto"/>
        </w:rPr>
        <w:t>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Unless otherwise defined herein or in the other Loan Documents, terms that are used herein or in the other Loan Documents and defined in the UCC shall have the meanings given to them in the UCC.</w:t>
      </w:r>
    </w:p>
    <w:p>
      <w:pPr>
        <w:spacing w:after="0" w:line="146"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THE LOAN</w:t>
      </w:r>
    </w:p>
    <w:p>
      <w:pPr>
        <w:spacing w:after="0" w:line="211" w:lineRule="exact"/>
        <w:rPr>
          <w:sz w:val="20"/>
          <w:szCs w:val="20"/>
          <w:color w:val="auto"/>
        </w:rPr>
      </w:pPr>
    </w:p>
    <w:p>
      <w:pPr>
        <w:ind w:left="1120"/>
        <w:spacing w:after="0"/>
        <w:tabs>
          <w:tab w:leader="none" w:pos="18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Term Loan.</w:t>
      </w:r>
    </w:p>
    <w:p>
      <w:pPr>
        <w:spacing w:after="0" w:line="205" w:lineRule="exact"/>
        <w:rPr>
          <w:sz w:val="20"/>
          <w:szCs w:val="20"/>
          <w:color w:val="auto"/>
        </w:rPr>
      </w:pPr>
    </w:p>
    <w:p>
      <w:pPr>
        <w:jc w:val="both"/>
        <w:ind w:left="640" w:firstLine="651"/>
        <w:spacing w:after="0" w:line="268" w:lineRule="auto"/>
        <w:tabs>
          <w:tab w:leader="none" w:pos="1969" w:val="left"/>
        </w:tabs>
        <w:numPr>
          <w:ilvl w:val="0"/>
          <w:numId w:val="95"/>
        </w:numPr>
        <w:rPr>
          <w:rFonts w:ascii="Arial" w:cs="Arial" w:eastAsia="Arial" w:hAnsi="Arial"/>
          <w:sz w:val="19"/>
          <w:szCs w:val="19"/>
          <w:color w:val="auto"/>
        </w:rPr>
      </w:pPr>
      <w:r>
        <w:rPr>
          <w:rFonts w:ascii="Arial" w:cs="Arial" w:eastAsia="Arial" w:hAnsi="Arial"/>
          <w:sz w:val="19"/>
          <w:szCs w:val="19"/>
          <w:color w:val="auto"/>
        </w:rPr>
        <w:t>Term Loan Advances. Subject to the terms and conditions of this Agreement, Lender will severally (and not jointly) make in an amount not to exceed its respective Term Commitment, and Borrower agrees to draw, one (1) advance in a principal amount of Two Million Five Hundred Thousand Dollars ($2,500,000) on the Closing Date (the “Term A Loan Advance”). Subject to the terms and conditions of this Agreement, during the Term B Draw Period, upon Borrower’s written request in accordance with this Agreement, Lender will severally (and not jointly) make in an amount not to exceed its respective Term Commitment, one (1) advance in a principal amount of Two Million Five Hundred Thousand Dollars ($2,500,000) (the “Term B Loan Advance”). Subject to the terms and conditions of this Agreement, during the Term C Draw Period, upon Borrower’s written request in accordance with this Agreement and Borrower’s payment to Lender of a fully-earned non-refundable commitment fee equal to Twenty-Five Thousand Dollars ($25,000), Lender will severally (and not jointly) make in an amount not to exceed its respective Term Commitment, one (1) advance in a principal amount of Five Million Dollars ($5,000,000) (the “Term C Loan Advance”). Subject to the terms and conditions of this Agreement, during the Term D Draw Period, upon Borrower’s written request in accordance with this Agreement and Borrower’s payment to Lender of a fully-earned non-refundable commitment fee equal to one percent (1%) of the principal amount of each such advance, Lender may in its sole discretion elect to make or not make, in an amount not to exceed its respective Term Commitment, an advance or advances, each in a principal amount of greater than or equal to Five Million Dollars ($5,000,000) (each a “Term D Loan Advance”) but in an aggregate principal amount for all Term D Loan Advances not to exceed Fifteen Million Dollars. The Term A Loan Advance, the Term B Loan Advance, the Term C Loan Advance, and each Term D Loan Advance are hereinafter referred to individually as a “Term Loan Advance” and collectively as the “Term Loan Advances”. The aggregate outstanding principal amount of Term Loan Advances shall not exceed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238" w:name="page239"/>
    <w:bookmarkEnd w:id="238"/>
    <w:p>
      <w:pPr>
        <w:ind w:left="160"/>
        <w:spacing w:after="0" w:line="299" w:lineRule="auto"/>
        <w:rPr>
          <w:sz w:val="20"/>
          <w:szCs w:val="20"/>
          <w:color w:val="auto"/>
        </w:rPr>
      </w:pPr>
      <w:r>
        <w:rPr>
          <w:rFonts w:ascii="Arial" w:cs="Arial" w:eastAsia="Arial" w:hAnsi="Arial"/>
          <w:sz w:val="20"/>
          <w:szCs w:val="20"/>
          <w:color w:val="auto"/>
        </w:rPr>
        <w:t>Term Loan. Proceeds of any Term Loan Advance shall be deposited into an account that is subject to a first priority perfected security interest in favor of Agent perfected by an Account Control Agreement.</w:t>
      </w:r>
    </w:p>
    <w:p>
      <w:pPr>
        <w:spacing w:after="0" w:line="127" w:lineRule="exact"/>
        <w:rPr>
          <w:sz w:val="20"/>
          <w:szCs w:val="20"/>
          <w:color w:val="auto"/>
        </w:rPr>
      </w:pPr>
    </w:p>
    <w:p>
      <w:pPr>
        <w:jc w:val="both"/>
        <w:ind w:left="160" w:firstLine="651"/>
        <w:spacing w:after="0" w:line="275" w:lineRule="auto"/>
        <w:tabs>
          <w:tab w:leader="none" w:pos="1591" w:val="left"/>
        </w:tabs>
        <w:numPr>
          <w:ilvl w:val="1"/>
          <w:numId w:val="96"/>
        </w:numPr>
        <w:rPr>
          <w:rFonts w:ascii="Arial" w:cs="Arial" w:eastAsia="Arial" w:hAnsi="Arial"/>
          <w:sz w:val="19"/>
          <w:szCs w:val="19"/>
          <w:color w:val="auto"/>
        </w:rPr>
      </w:pPr>
      <w:r>
        <w:rPr>
          <w:rFonts w:ascii="Arial" w:cs="Arial" w:eastAsia="Arial" w:hAnsi="Arial"/>
          <w:sz w:val="19"/>
          <w:szCs w:val="19"/>
          <w:color w:val="auto"/>
        </w:rPr>
        <w:t>Advance Request. To obtain a Term Loan Advance, Borrower shall complete, sign and deliver to Agent an Advance Request (at least three (3) Business Days before the Advance Date other than</w:t>
      </w:r>
    </w:p>
    <w:p>
      <w:pPr>
        <w:spacing w:after="0" w:line="1" w:lineRule="exact"/>
        <w:rPr>
          <w:rFonts w:ascii="Arial" w:cs="Arial" w:eastAsia="Arial" w:hAnsi="Arial"/>
          <w:sz w:val="19"/>
          <w:szCs w:val="19"/>
          <w:color w:val="auto"/>
        </w:rPr>
      </w:pPr>
    </w:p>
    <w:p>
      <w:pPr>
        <w:jc w:val="both"/>
        <w:ind w:left="160" w:firstLine="5"/>
        <w:spacing w:after="0" w:line="233" w:lineRule="auto"/>
        <w:tabs>
          <w:tab w:leader="none" w:pos="45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Term A Loan Advance, which shall be at least one (1) Business Day, and (ii) any Term D Loan Advance, which shall be at least thirty (30) days). Lender shall fund the Term Loan Advance in the manner requested by the Advance Request provided that each of the conditions precedent to such Term Loan Advance is satisfied as of the requested Advance Date.</w:t>
      </w:r>
    </w:p>
    <w:p>
      <w:pPr>
        <w:spacing w:after="0" w:line="183" w:lineRule="exact"/>
        <w:rPr>
          <w:rFonts w:ascii="Arial" w:cs="Arial" w:eastAsia="Arial" w:hAnsi="Arial"/>
          <w:sz w:val="22"/>
          <w:szCs w:val="22"/>
          <w:color w:val="auto"/>
        </w:rPr>
      </w:pPr>
    </w:p>
    <w:p>
      <w:pPr>
        <w:jc w:val="both"/>
        <w:ind w:left="160" w:firstLine="651"/>
        <w:spacing w:after="0" w:line="237" w:lineRule="auto"/>
        <w:tabs>
          <w:tab w:leader="none" w:pos="1489" w:val="left"/>
        </w:tabs>
        <w:numPr>
          <w:ilvl w:val="1"/>
          <w:numId w:val="97"/>
        </w:numPr>
        <w:rPr>
          <w:rFonts w:ascii="Arial" w:cs="Arial" w:eastAsia="Arial" w:hAnsi="Arial"/>
          <w:sz w:val="22"/>
          <w:szCs w:val="22"/>
          <w:color w:val="auto"/>
        </w:rPr>
      </w:pPr>
      <w:r>
        <w:rPr>
          <w:rFonts w:ascii="Arial" w:cs="Arial" w:eastAsia="Arial" w:hAnsi="Arial"/>
          <w:sz w:val="22"/>
          <w:szCs w:val="22"/>
          <w:color w:val="auto"/>
        </w:rPr>
        <w:t>Interest. The principal balance of each Term Loan Advance shall bear interest thereon from such Advance Date at the Term Loan Interest Rate based on a year consisting of 360 days, with interest computed daily based on the actual number of days elapsed. The Term Loan Interest Rate will float and change on the day the Prime Rate changes from time to time.</w:t>
      </w:r>
    </w:p>
    <w:p>
      <w:pPr>
        <w:spacing w:after="0" w:line="185" w:lineRule="exact"/>
        <w:rPr>
          <w:rFonts w:ascii="Arial" w:cs="Arial" w:eastAsia="Arial" w:hAnsi="Arial"/>
          <w:sz w:val="22"/>
          <w:szCs w:val="22"/>
          <w:color w:val="auto"/>
        </w:rPr>
      </w:pPr>
    </w:p>
    <w:p>
      <w:pPr>
        <w:ind w:left="1500" w:hanging="689"/>
        <w:spacing w:after="0"/>
        <w:tabs>
          <w:tab w:leader="none" w:pos="1500" w:val="left"/>
        </w:tabs>
        <w:numPr>
          <w:ilvl w:val="1"/>
          <w:numId w:val="97"/>
        </w:numPr>
        <w:rPr>
          <w:rFonts w:ascii="Arial" w:cs="Arial" w:eastAsia="Arial" w:hAnsi="Arial"/>
          <w:sz w:val="22"/>
          <w:szCs w:val="22"/>
          <w:color w:val="auto"/>
        </w:rPr>
      </w:pPr>
      <w:r>
        <w:rPr>
          <w:rFonts w:ascii="Arial" w:cs="Arial" w:eastAsia="Arial" w:hAnsi="Arial"/>
          <w:sz w:val="22"/>
          <w:szCs w:val="22"/>
          <w:color w:val="auto"/>
        </w:rPr>
        <w:t>Payment.  Borrower will pay interest on each Term Loan Advance on the first (1</w:t>
      </w:r>
      <w:r>
        <w:rPr>
          <w:rFonts w:ascii="Arial" w:cs="Arial" w:eastAsia="Arial" w:hAnsi="Arial"/>
          <w:sz w:val="10"/>
          <w:szCs w:val="10"/>
          <w:color w:val="auto"/>
        </w:rPr>
        <w:t>st</w:t>
      </w:r>
      <w:r>
        <w:rPr>
          <w:rFonts w:ascii="Arial" w:cs="Arial" w:eastAsia="Arial" w:hAnsi="Arial"/>
          <w:sz w:val="22"/>
          <w:szCs w:val="22"/>
          <w:color w:val="auto"/>
        </w:rPr>
        <w:t>)</w:t>
      </w:r>
    </w:p>
    <w:p>
      <w:pPr>
        <w:spacing w:after="0" w:line="7" w:lineRule="exact"/>
        <w:rPr>
          <w:sz w:val="20"/>
          <w:szCs w:val="20"/>
          <w:color w:val="auto"/>
        </w:rPr>
      </w:pPr>
    </w:p>
    <w:p>
      <w:pPr>
        <w:jc w:val="both"/>
        <w:ind w:left="160" w:firstLine="93"/>
        <w:spacing w:after="0" w:line="254" w:lineRule="auto"/>
        <w:rPr>
          <w:sz w:val="20"/>
          <w:szCs w:val="20"/>
          <w:color w:val="auto"/>
        </w:rPr>
      </w:pPr>
      <w:r>
        <w:rPr>
          <w:rFonts w:ascii="Arial" w:cs="Arial" w:eastAsia="Arial" w:hAnsi="Arial"/>
          <w:sz w:val="20"/>
          <w:szCs w:val="20"/>
          <w:color w:val="auto"/>
        </w:rPr>
        <w:t>Business Day of each month, beginning the month after the Advance Date. Borrower shall repay the aggregate Term Loan principal balance that is outstanding on the day immediately preceding the Amortization Date, in equal monthly installments of principal and interest (mortgage style), based upon an amortization schedule of thirty (30) months, beginning on the Amortization Date and continuing on the first Business Day of each month thereafter until the Secured Obligations (other than inchoate indemnity obligations) are repaid. Notwithstanding the foregoing, the entire Term Loan principal balance and all accrued but unpaid interest hereunder and all other Secured Obligations with respect to Term Loan Advances, shall be due and payable on Term Loan Maturity Date. Borrower shall make all payments under this Agreement without setoff, recoupment or deduction and regardless of any counterclaim or defense. Lender will initiate debit entries to the Borrower’s account as authorized on the ACH Authorization (i) on each payment date of all periodic obligations payable to Lender under each Term Loan Advance and (ii) reasonable and invoiced out-of-pocket legal fees and costs incurred by Agent or Lender in connection with Section 11.11 of this Agreement. Once repaid, a Term Loan Advance or any portion thereof may not be reborrowed.</w:t>
      </w:r>
    </w:p>
    <w:p>
      <w:pPr>
        <w:spacing w:after="0" w:line="181"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2.2 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Lender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Lender’s accrued interest,</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39" w:name="page240"/>
    <w:bookmarkEnd w:id="239"/>
    <w:p>
      <w:pPr>
        <w:jc w:val="both"/>
        <w:spacing w:after="0" w:line="250" w:lineRule="auto"/>
        <w:rPr>
          <w:sz w:val="20"/>
          <w:szCs w:val="20"/>
          <w:color w:val="auto"/>
        </w:rPr>
      </w:pPr>
      <w:r>
        <w:rPr>
          <w:rFonts w:ascii="Arial" w:cs="Arial" w:eastAsia="Arial" w:hAnsi="Arial"/>
          <w:sz w:val="22"/>
          <w:szCs w:val="22"/>
          <w:color w:val="auto"/>
        </w:rPr>
        <w:t>costs, expenses, professional fees and any other Secured Obligations; and third, after all Secured Obligations are repaid, the excess (if any) shall be refunded to Borrower.</w:t>
      </w:r>
    </w:p>
    <w:p>
      <w:pPr>
        <w:spacing w:after="0" w:line="173"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2.3 Default Interest. In the event any payment is not paid on the scheduled payment date (or within three (3) Business Days of the scheduled payment date, provided that such late payment is due to an ACH Failure), an amount equal to five percent (5%) of the past due amount shall be payable on demand, provided that no such amount shall be payable if such nonpayment is due to Lender’s failure to initiate debt entries pursuant to the ACH Authorization. In addition, upon the occurrence and during the continuation of an Event of Default hereunder, all Secured Obligations, including principal, interest, compounded interest, and professional fees, shall bear interest at a rate per annum equal to the rate set forth in Section 2.1(c) plus five percent (5%) per annum. In the event any interest is not paid when due hereunder, delinquent interest shall be added to principal and shall bear interest on interest, compounded at the rate set forth in Section 2.1(c) or this Section 2.3, as applicable.</w:t>
      </w:r>
    </w:p>
    <w:p>
      <w:pPr>
        <w:spacing w:after="0" w:line="175"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20"/>
          <w:szCs w:val="20"/>
          <w:color w:val="auto"/>
        </w:rPr>
        <w:t>2.4 Prepayment. At its option upon at least seven (7) Business Days prior notice to Agent (or such shorter notice period as agreed by Agent), Borrower may prepay all or any portion of the outstanding Term Loan Advances by paying the entire principal balance (or any portion thereof) with respect to the principal balance being prepaid, all accrued and unpaid interest thereon, together with a prepayment charge equal to the following percentage of the Term Loan Advance amount being prepaid: if such Term Loan Advance amounts are prepaid in any of the first twelve (12) months following the Closing Date, three percent (3%); on or after twelve (12) months but prior to twenty-four (24) months, two percent (2%), and thereafter, one percent (1%) (each, a “Prepayment Charge”). Borrower agrees that the Prepayment Charge is a reasonable calculation of Lender’s lost profits in view of the difficulties and impracticality of determining actual damages resulting from an early repayment of the Term Loan Advances. Borrower shall prepay the outstanding amount of all principal and accrued interest through the prepayment date and the Prepayment Charge upon the occurrence of a Change in Control. Notwithstanding the foregoing, Agent and Lender agree to waive the Prepayment Charge if Agent and Lender (in its sole and absolute discretion) agree in writing to refinance the Term Loan Advances prior to the Maturity Date. Notwithstanding anything to the contrary contained in this Agreement, Borrower may rescind any notice of prepayment if such prepayment would have resulted from a refinancing of all or a portion of the Term Loan Advances, which refinancing shall not be consummated or shall otherwise be delayed.</w:t>
      </w:r>
    </w:p>
    <w:p>
      <w:pPr>
        <w:spacing w:after="0" w:line="180"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2.5 End of Term Charge. 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Borrower shall pay Lender a charge of four and one half of one percent (4.5%) of the greater of (a) Five Million Dollars ($5,000,000) and (b) the total principal amount of all Term Loan Advances made hereunder. Notwithstanding the required payment date of such charge, it shall be deemed earned by Lender as of the Closing Date.</w:t>
      </w:r>
    </w:p>
    <w:p>
      <w:pPr>
        <w:spacing w:after="0" w:line="167"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2.6 Notes. If so requested by Lender by written notice to Borrower, then Borrower shall execute and deliver to Lender (and/or, if applicable and if so specified in such</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40" w:name="page241"/>
    <w:bookmarkEnd w:id="240"/>
    <w:p>
      <w:pPr>
        <w:jc w:val="both"/>
        <w:spacing w:after="0" w:line="250" w:lineRule="auto"/>
        <w:rPr>
          <w:sz w:val="20"/>
          <w:szCs w:val="20"/>
          <w:color w:val="auto"/>
        </w:rPr>
      </w:pPr>
      <w:r>
        <w:rPr>
          <w:rFonts w:ascii="Arial" w:cs="Arial" w:eastAsia="Arial" w:hAnsi="Arial"/>
          <w:sz w:val="22"/>
          <w:szCs w:val="22"/>
          <w:color w:val="auto"/>
        </w:rPr>
        <w:t>notice, to any Person who is an assignee of Lender pursuant to Section 11.13) (promptly after the Borrower’s receipt of such notice) a Note or Notes to evidence Lender’s Loans.</w:t>
      </w:r>
    </w:p>
    <w:p>
      <w:pPr>
        <w:spacing w:after="0" w:line="173"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2.7 Pro Rata Treatment. Each payment (including prepayment) on account of any fee and any reduction of the Term Loan Advances shall be made pro rata according to the Term Commitments of the relevant Lender.</w:t>
      </w:r>
    </w:p>
    <w:p>
      <w:pPr>
        <w:spacing w:after="0" w:line="180"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b w:val="1"/>
          <w:bCs w:val="1"/>
          <w:u w:val="single" w:color="auto"/>
          <w:color w:val="auto"/>
        </w:rPr>
        <w:t>SECURITY INTEREST</w:t>
      </w:r>
    </w:p>
    <w:p>
      <w:pPr>
        <w:spacing w:after="0" w:line="211" w:lineRule="exact"/>
        <w:rPr>
          <w:sz w:val="20"/>
          <w:szCs w:val="20"/>
          <w:color w:val="auto"/>
        </w:rPr>
      </w:pPr>
    </w:p>
    <w:p>
      <w:pPr>
        <w:ind w:right="60" w:firstLine="646"/>
        <w:spacing w:after="0" w:line="254" w:lineRule="auto"/>
        <w:rPr>
          <w:sz w:val="20"/>
          <w:szCs w:val="20"/>
          <w:color w:val="auto"/>
        </w:rPr>
      </w:pPr>
      <w:r>
        <w:rPr>
          <w:rFonts w:ascii="Arial" w:cs="Arial" w:eastAsia="Arial" w:hAnsi="Arial"/>
          <w:sz w:val="20"/>
          <w:szCs w:val="20"/>
          <w:color w:val="auto"/>
        </w:rPr>
        <w:t xml:space="preserve">3.1 As security for the prompt and complete payment when due (whether on the payment dates or otherwise) of all the Secured Obligations, Borrower grants to Agent a security interest in all of Borrower’s right, title, and interest in and to the following personal property whether now owned or hereafter acquired (collectively, the “Collateral”): (a) Receivables; (b) Equipment; (c) Fixtures; (d) General Intangibles (other than Intellectual Property); (e) Inventory; (f) Investment Property; (g) Deposit Accounts; (h) Cash; (i) Goods; and all other tangible and intangible personal property of Borrower (other than Intellectual Property)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the Collateral shall include all Accounts and General Intangibles that consist of rights to payment and proceeds from the sale, licensing or disposition of all or any part, or rights in, the Intellectual Property (the “Rights to</w:t>
      </w:r>
    </w:p>
    <w:p>
      <w:pPr>
        <w:spacing w:after="0" w:line="4"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Payment”). Notwithstanding the foregoing, Borrower is not granting to Agent, and Agent is not receiving from Borrower, any grant of security interest in (a) any Excluded Account, (b) any of the outstanding capital stock or other equity interests of any owned (x) Foreign Subsidiary (other than an Eligible Foreign Subsidiary) or (y) Foreign Subsidiary HoldCo of Borrower in excess of sixty-five percent (65%) of the equity interests (as determined for U.S. federal income tax purposes) of such Subsidiary, (c) any of the outstanding capital stock or other equity interests of a Subsidiary owned by a Foreign Subsidiary HoldCo, (d) equipment financed by capital leases or purchase money financing, products, proceeds and insurance proceeds of the foregoing, but only to the extent and for so long as the agreements under which the equipment is financed prohibit granting a security interest therein to Lender, or (e) any particular asset if the pledge thereof or the security interest therein is prohibited or restricted by applicable law, rule or regulation (including any requirement to obtain the consent of any governmental authority, regulatory authority or third party), provided that the foregoing exclusion of this clause (e) shall in no way be construed (1) to apply to the extent that any described prohibition or restriction is unenforceable under Section 9-406, 9-407, 9-408, or 9-409 of the UCC or other applicable law or (2) to apply to the extent that any consent or waiver has been obtained, or is hereafter obtained, that would permit the Agent’s security interest or Lien notwithstanding the prohibition or restriction on the pledge of such asset.</w:t>
      </w:r>
    </w:p>
    <w:p>
      <w:pPr>
        <w:spacing w:after="0" w:line="179" w:lineRule="exact"/>
        <w:rPr>
          <w:sz w:val="20"/>
          <w:szCs w:val="20"/>
          <w:color w:val="auto"/>
        </w:rPr>
      </w:pPr>
    </w:p>
    <w:p>
      <w:pPr>
        <w:ind w:right="260" w:firstLine="646"/>
        <w:spacing w:after="0" w:line="237" w:lineRule="auto"/>
        <w:rPr>
          <w:sz w:val="20"/>
          <w:szCs w:val="20"/>
          <w:color w:val="auto"/>
        </w:rPr>
      </w:pPr>
      <w:r>
        <w:rPr>
          <w:rFonts w:ascii="Arial" w:cs="Arial" w:eastAsia="Arial" w:hAnsi="Arial"/>
          <w:sz w:val="22"/>
          <w:szCs w:val="22"/>
          <w:color w:val="auto"/>
        </w:rPr>
        <w:t>3.2 For the avoidance of doubt, without the written agreement of Borrower, the Excluded Subsidiary is not granting to Agent, and Agent is not receiving from the Excluded Subsidiary, any grant of a security interest in the Excluded Subsidiary’s property or assets, whether now owned or hereafter acquired. Notwithstanding the previous</w:t>
      </w:r>
    </w:p>
    <w:p>
      <w:pPr>
        <w:spacing w:after="0" w:line="18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41" w:name="page242"/>
    <w:bookmarkEnd w:id="241"/>
    <w:p>
      <w:pPr>
        <w:ind w:left="480"/>
        <w:spacing w:after="0" w:line="286" w:lineRule="auto"/>
        <w:rPr>
          <w:sz w:val="20"/>
          <w:szCs w:val="20"/>
          <w:color w:val="auto"/>
        </w:rPr>
      </w:pPr>
      <w:r>
        <w:rPr>
          <w:rFonts w:ascii="Arial" w:cs="Arial" w:eastAsia="Arial" w:hAnsi="Arial"/>
          <w:sz w:val="19"/>
          <w:szCs w:val="19"/>
          <w:color w:val="auto"/>
        </w:rPr>
        <w:t>sentence, nothing herein will limit the Agent’s (i) ability to require Borrower to completely liquidate the Excluded Subsidiary and transfer all proceeds of such liquidation to an account in the name of Borrower that is subject to an Account Control Agreement pursuant to the terms of Section 7.15 hereof, or (ii) rights and remedies under the Loan Documents upon the occurrence and during the continuance of an Event of Default</w:t>
      </w:r>
    </w:p>
    <w:p>
      <w:pPr>
        <w:spacing w:after="0" w:line="143" w:lineRule="exact"/>
        <w:rPr>
          <w:sz w:val="20"/>
          <w:szCs w:val="20"/>
          <w:color w:val="auto"/>
        </w:rPr>
      </w:pPr>
    </w:p>
    <w:p>
      <w:pPr>
        <w:jc w:val="both"/>
        <w:ind w:left="480" w:firstLine="646"/>
        <w:spacing w:after="0" w:line="261" w:lineRule="auto"/>
        <w:rPr>
          <w:sz w:val="20"/>
          <w:szCs w:val="20"/>
          <w:color w:val="auto"/>
        </w:rPr>
      </w:pPr>
      <w:r>
        <w:rPr>
          <w:rFonts w:ascii="Arial" w:cs="Arial" w:eastAsia="Arial" w:hAnsi="Arial"/>
          <w:sz w:val="20"/>
          <w:szCs w:val="20"/>
          <w:color w:val="auto"/>
        </w:rPr>
        <w:t>3.3 If this Agreement is terminated in accordance with its terms, Agent’s Lien in the Collateral shall continue until the Secured Obligations (other than inchoate indemnity obligations) are satisfied in full, and at such time Agent shall, at Borrower’s sole cost and expense, authorize Borrower to terminate its security interest in the Collateral and all rights therein shall automatically revert to Borrower. Agent shall execute such documents and take such other steps as are reasonably necessary for Borrower to accomplish the foregoing, all at Borrower’s sole cost and expense.</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 xml:space="preserve">SECTION 4. </w:t>
      </w:r>
      <w:r>
        <w:rPr>
          <w:rFonts w:ascii="Arial" w:cs="Arial" w:eastAsia="Arial" w:hAnsi="Arial"/>
          <w:sz w:val="22"/>
          <w:szCs w:val="22"/>
          <w:b w:val="1"/>
          <w:bCs w:val="1"/>
          <w:u w:val="single" w:color="auto"/>
          <w:color w:val="auto"/>
        </w:rPr>
        <w:t>CONDITIONS PRECEDENT TO LOAN</w:t>
      </w:r>
    </w:p>
    <w:p>
      <w:pPr>
        <w:spacing w:after="0" w:line="211" w:lineRule="exact"/>
        <w:rPr>
          <w:sz w:val="20"/>
          <w:szCs w:val="20"/>
          <w:color w:val="auto"/>
        </w:rPr>
      </w:pPr>
    </w:p>
    <w:p>
      <w:pPr>
        <w:ind w:firstLine="646"/>
        <w:spacing w:after="0" w:line="249" w:lineRule="auto"/>
        <w:rPr>
          <w:sz w:val="20"/>
          <w:szCs w:val="20"/>
          <w:color w:val="auto"/>
        </w:rPr>
      </w:pPr>
      <w:r>
        <w:rPr>
          <w:rFonts w:ascii="Arial" w:cs="Arial" w:eastAsia="Arial" w:hAnsi="Arial"/>
          <w:sz w:val="22"/>
          <w:szCs w:val="22"/>
          <w:color w:val="auto"/>
        </w:rPr>
        <w:t>The obligations of Lender to make the Term Loan Advances hereunder, in each case, are subject to the satisfaction by Borrower of the following conditions:</w:t>
      </w:r>
    </w:p>
    <w:p>
      <w:pPr>
        <w:spacing w:after="0" w:line="175" w:lineRule="exact"/>
        <w:rPr>
          <w:sz w:val="20"/>
          <w:szCs w:val="20"/>
          <w:color w:val="auto"/>
        </w:rPr>
      </w:pPr>
    </w:p>
    <w:p>
      <w:pPr>
        <w:ind w:left="480" w:firstLine="646"/>
        <w:spacing w:after="0" w:line="249" w:lineRule="auto"/>
        <w:rPr>
          <w:sz w:val="20"/>
          <w:szCs w:val="20"/>
          <w:color w:val="auto"/>
        </w:rPr>
      </w:pPr>
      <w:r>
        <w:rPr>
          <w:rFonts w:ascii="Arial" w:cs="Arial" w:eastAsia="Arial" w:hAnsi="Arial"/>
          <w:sz w:val="22"/>
          <w:szCs w:val="22"/>
          <w:color w:val="auto"/>
        </w:rPr>
        <w:t>4.1 Initial Advance. On or prior to the Closing Date, Borrower shall have delivered to Agent the following:</w:t>
      </w:r>
    </w:p>
    <w:p>
      <w:pPr>
        <w:spacing w:after="0" w:line="175" w:lineRule="exact"/>
        <w:rPr>
          <w:sz w:val="20"/>
          <w:szCs w:val="20"/>
          <w:color w:val="auto"/>
        </w:rPr>
      </w:pPr>
    </w:p>
    <w:p>
      <w:pPr>
        <w:jc w:val="both"/>
        <w:ind w:left="640" w:firstLine="651"/>
        <w:spacing w:after="0" w:line="268" w:lineRule="auto"/>
        <w:tabs>
          <w:tab w:leader="none" w:pos="1969" w:val="left"/>
        </w:tabs>
        <w:numPr>
          <w:ilvl w:val="0"/>
          <w:numId w:val="98"/>
        </w:numPr>
        <w:rPr>
          <w:rFonts w:ascii="Arial" w:cs="Arial" w:eastAsia="Arial" w:hAnsi="Arial"/>
          <w:sz w:val="20"/>
          <w:szCs w:val="20"/>
          <w:color w:val="auto"/>
        </w:rPr>
      </w:pPr>
      <w:r>
        <w:rPr>
          <w:rFonts w:ascii="Arial" w:cs="Arial" w:eastAsia="Arial" w:hAnsi="Arial"/>
          <w:sz w:val="20"/>
          <w:szCs w:val="20"/>
          <w:color w:val="auto"/>
        </w:rPr>
        <w:t>executed copies of the Loan Documents, Account Control Agreements, a legal opinion of Borrower’s counsel,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57" w:lineRule="exact"/>
        <w:rPr>
          <w:rFonts w:ascii="Arial" w:cs="Arial" w:eastAsia="Arial" w:hAnsi="Arial"/>
          <w:sz w:val="20"/>
          <w:szCs w:val="20"/>
          <w:color w:val="auto"/>
        </w:rPr>
      </w:pPr>
    </w:p>
    <w:p>
      <w:pPr>
        <w:ind w:left="640" w:firstLine="651"/>
        <w:spacing w:after="0" w:line="249" w:lineRule="auto"/>
        <w:tabs>
          <w:tab w:leader="none" w:pos="1981" w:val="left"/>
        </w:tabs>
        <w:numPr>
          <w:ilvl w:val="0"/>
          <w:numId w:val="98"/>
        </w:numPr>
        <w:rPr>
          <w:rFonts w:ascii="Arial" w:cs="Arial" w:eastAsia="Arial" w:hAnsi="Arial"/>
          <w:sz w:val="22"/>
          <w:szCs w:val="22"/>
          <w:color w:val="auto"/>
        </w:rPr>
      </w:pPr>
      <w:r>
        <w:rPr>
          <w:rFonts w:ascii="Arial" w:cs="Arial" w:eastAsia="Arial" w:hAnsi="Arial"/>
          <w:sz w:val="22"/>
          <w:szCs w:val="22"/>
          <w:color w:val="auto"/>
        </w:rPr>
        <w:t>certified copy of resolutions of the Board evidencing approval of the Loan and other transactions evidenced by the Loan Documents;</w:t>
      </w:r>
    </w:p>
    <w:p>
      <w:pPr>
        <w:spacing w:after="0" w:line="174" w:lineRule="exact"/>
        <w:rPr>
          <w:rFonts w:ascii="Arial" w:cs="Arial" w:eastAsia="Arial" w:hAnsi="Arial"/>
          <w:sz w:val="22"/>
          <w:szCs w:val="22"/>
          <w:color w:val="auto"/>
        </w:rPr>
      </w:pPr>
    </w:p>
    <w:p>
      <w:pPr>
        <w:ind w:left="640" w:firstLine="651"/>
        <w:spacing w:after="0" w:line="249" w:lineRule="auto"/>
        <w:tabs>
          <w:tab w:leader="none" w:pos="1969" w:val="left"/>
        </w:tabs>
        <w:numPr>
          <w:ilvl w:val="0"/>
          <w:numId w:val="98"/>
        </w:numPr>
        <w:rPr>
          <w:rFonts w:ascii="Arial" w:cs="Arial" w:eastAsia="Arial" w:hAnsi="Arial"/>
          <w:sz w:val="22"/>
          <w:szCs w:val="22"/>
          <w:color w:val="auto"/>
        </w:rPr>
      </w:pPr>
      <w:r>
        <w:rPr>
          <w:rFonts w:ascii="Arial" w:cs="Arial" w:eastAsia="Arial" w:hAnsi="Arial"/>
          <w:sz w:val="22"/>
          <w:szCs w:val="22"/>
          <w:color w:val="auto"/>
        </w:rPr>
        <w:t>certified copies of the Certificate of Incorporation and the Bylaws, as amended through the Closing Date, of Borrower;</w:t>
      </w:r>
    </w:p>
    <w:p>
      <w:pPr>
        <w:spacing w:after="0" w:line="174" w:lineRule="exact"/>
        <w:rPr>
          <w:rFonts w:ascii="Arial" w:cs="Arial" w:eastAsia="Arial" w:hAnsi="Arial"/>
          <w:sz w:val="22"/>
          <w:szCs w:val="22"/>
          <w:color w:val="auto"/>
        </w:rPr>
      </w:pPr>
    </w:p>
    <w:p>
      <w:pPr>
        <w:jc w:val="both"/>
        <w:ind w:left="640" w:firstLine="651"/>
        <w:spacing w:after="0" w:line="239" w:lineRule="auto"/>
        <w:tabs>
          <w:tab w:leader="none" w:pos="1981" w:val="left"/>
        </w:tabs>
        <w:numPr>
          <w:ilvl w:val="0"/>
          <w:numId w:val="98"/>
        </w:numPr>
        <w:rPr>
          <w:rFonts w:ascii="Arial" w:cs="Arial" w:eastAsia="Arial" w:hAnsi="Arial"/>
          <w:sz w:val="22"/>
          <w:szCs w:val="22"/>
          <w:color w:val="auto"/>
        </w:rPr>
      </w:pPr>
      <w:r>
        <w:rPr>
          <w:rFonts w:ascii="Arial" w:cs="Arial" w:eastAsia="Arial" w:hAnsi="Arial"/>
          <w:sz w:val="22"/>
          <w:szCs w:val="22"/>
          <w:color w:val="auto"/>
        </w:rPr>
        <w:t>a certificate of good standing for Borrower from its state of incorporation and similar certificates from all other jurisdictions in which it does business and where the failure to be qualified would have a Material Adverse Effect;</w:t>
      </w:r>
    </w:p>
    <w:p>
      <w:pPr>
        <w:spacing w:after="0" w:line="186" w:lineRule="exact"/>
        <w:rPr>
          <w:rFonts w:ascii="Arial" w:cs="Arial" w:eastAsia="Arial" w:hAnsi="Arial"/>
          <w:sz w:val="22"/>
          <w:szCs w:val="22"/>
          <w:color w:val="auto"/>
        </w:rPr>
      </w:pPr>
    </w:p>
    <w:p>
      <w:pPr>
        <w:jc w:val="both"/>
        <w:ind w:left="640" w:firstLine="651"/>
        <w:spacing w:after="0" w:line="239" w:lineRule="auto"/>
        <w:tabs>
          <w:tab w:leader="none" w:pos="1969" w:val="left"/>
        </w:tabs>
        <w:numPr>
          <w:ilvl w:val="0"/>
          <w:numId w:val="98"/>
        </w:numPr>
        <w:rPr>
          <w:rFonts w:ascii="Arial" w:cs="Arial" w:eastAsia="Arial" w:hAnsi="Arial"/>
          <w:sz w:val="22"/>
          <w:szCs w:val="22"/>
          <w:color w:val="auto"/>
        </w:rPr>
      </w:pPr>
      <w:r>
        <w:rPr>
          <w:rFonts w:ascii="Arial" w:cs="Arial" w:eastAsia="Arial" w:hAnsi="Arial"/>
          <w:sz w:val="22"/>
          <w:szCs w:val="22"/>
          <w:color w:val="auto"/>
        </w:rPr>
        <w:t>payment of the Due Diligence Fee, the Facility Charge and reimbursement of Agent’s and Lender’s current expenses reimbursable pursuant to this Agreement, which amounts may be deducted from the initial Advance;</w:t>
      </w:r>
    </w:p>
    <w:p>
      <w:pPr>
        <w:spacing w:after="0" w:line="186" w:lineRule="exact"/>
        <w:rPr>
          <w:rFonts w:ascii="Arial" w:cs="Arial" w:eastAsia="Arial" w:hAnsi="Arial"/>
          <w:sz w:val="22"/>
          <w:szCs w:val="22"/>
          <w:color w:val="auto"/>
        </w:rPr>
      </w:pPr>
    </w:p>
    <w:p>
      <w:pPr>
        <w:ind w:left="1960" w:hanging="669"/>
        <w:spacing w:after="0"/>
        <w:tabs>
          <w:tab w:leader="none" w:pos="1960" w:val="left"/>
        </w:tabs>
        <w:numPr>
          <w:ilvl w:val="0"/>
          <w:numId w:val="98"/>
        </w:numPr>
        <w:rPr>
          <w:rFonts w:ascii="Arial" w:cs="Arial" w:eastAsia="Arial" w:hAnsi="Arial"/>
          <w:sz w:val="19"/>
          <w:szCs w:val="19"/>
          <w:color w:val="auto"/>
        </w:rPr>
      </w:pPr>
      <w:r>
        <w:rPr>
          <w:rFonts w:ascii="Arial" w:cs="Arial" w:eastAsia="Arial" w:hAnsi="Arial"/>
          <w:sz w:val="19"/>
          <w:szCs w:val="19"/>
          <w:color w:val="auto"/>
        </w:rPr>
        <w:t>an executed copy of a legal opinion of Borrower’s counsel dated as of the Closing Date; and</w:t>
      </w:r>
    </w:p>
    <w:p>
      <w:pPr>
        <w:spacing w:after="0" w:line="239" w:lineRule="exact"/>
        <w:rPr>
          <w:rFonts w:ascii="Arial" w:cs="Arial" w:eastAsia="Arial" w:hAnsi="Arial"/>
          <w:sz w:val="19"/>
          <w:szCs w:val="19"/>
          <w:color w:val="auto"/>
        </w:rPr>
      </w:pPr>
    </w:p>
    <w:p>
      <w:pPr>
        <w:ind w:left="1980" w:hanging="689"/>
        <w:spacing w:after="0"/>
        <w:tabs>
          <w:tab w:leader="none" w:pos="19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such other documents as Agent may reasonably request.</w:t>
      </w:r>
    </w:p>
    <w:p>
      <w:pPr>
        <w:spacing w:after="0" w:line="205" w:lineRule="exact"/>
        <w:rPr>
          <w:sz w:val="20"/>
          <w:szCs w:val="20"/>
          <w:color w:val="auto"/>
        </w:rPr>
      </w:pPr>
    </w:p>
    <w:p>
      <w:pPr>
        <w:ind w:left="1120"/>
        <w:spacing w:after="0"/>
        <w:tabs>
          <w:tab w:leader="none" w:pos="18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0"/>
          <w:szCs w:val="20"/>
          <w:color w:val="auto"/>
        </w:rPr>
        <w:t>All Advances. On each Advance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242" w:name="page243"/>
    <w:bookmarkEnd w:id="242"/>
    <w:p>
      <w:pPr>
        <w:jc w:val="both"/>
        <w:ind w:left="160" w:firstLine="651"/>
        <w:spacing w:after="0" w:line="239" w:lineRule="auto"/>
        <w:tabs>
          <w:tab w:leader="none" w:pos="1489" w:val="left"/>
        </w:tabs>
        <w:numPr>
          <w:ilvl w:val="0"/>
          <w:numId w:val="99"/>
        </w:numPr>
        <w:rPr>
          <w:rFonts w:ascii="Arial" w:cs="Arial" w:eastAsia="Arial" w:hAnsi="Arial"/>
          <w:sz w:val="22"/>
          <w:szCs w:val="22"/>
          <w:color w:val="auto"/>
        </w:rPr>
      </w:pPr>
      <w:r>
        <w:rPr>
          <w:rFonts w:ascii="Arial" w:cs="Arial" w:eastAsia="Arial" w:hAnsi="Arial"/>
          <w:sz w:val="22"/>
          <w:szCs w:val="22"/>
          <w:color w:val="auto"/>
        </w:rPr>
        <w:t>Agent shall have received (i) an Advance Request for the relevant Advance as required by Section 2.1(b), duly executed by Borrower’s Chief Executive Officer or Chief Financial Officer, and (ii) any other documents Agent may reasonably request.</w:t>
      </w:r>
    </w:p>
    <w:p>
      <w:pPr>
        <w:spacing w:after="0" w:line="186" w:lineRule="exact"/>
        <w:rPr>
          <w:rFonts w:ascii="Arial" w:cs="Arial" w:eastAsia="Arial" w:hAnsi="Arial"/>
          <w:sz w:val="22"/>
          <w:szCs w:val="22"/>
          <w:color w:val="auto"/>
        </w:rPr>
      </w:pPr>
    </w:p>
    <w:p>
      <w:pPr>
        <w:jc w:val="both"/>
        <w:ind w:left="160" w:firstLine="651"/>
        <w:spacing w:after="0" w:line="286" w:lineRule="auto"/>
        <w:tabs>
          <w:tab w:leader="none" w:pos="1501"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142" w:lineRule="exact"/>
        <w:rPr>
          <w:rFonts w:ascii="Arial" w:cs="Arial" w:eastAsia="Arial" w:hAnsi="Arial"/>
          <w:sz w:val="19"/>
          <w:szCs w:val="19"/>
          <w:color w:val="auto"/>
        </w:rPr>
      </w:pPr>
    </w:p>
    <w:p>
      <w:pPr>
        <w:jc w:val="both"/>
        <w:ind w:left="160" w:firstLine="651"/>
        <w:spacing w:after="0" w:line="275" w:lineRule="auto"/>
        <w:tabs>
          <w:tab w:leader="none" w:pos="1489" w:val="left"/>
        </w:tabs>
        <w:numPr>
          <w:ilvl w:val="0"/>
          <w:numId w:val="99"/>
        </w:numPr>
        <w:rPr>
          <w:rFonts w:ascii="Arial" w:cs="Arial" w:eastAsia="Arial" w:hAnsi="Arial"/>
          <w:sz w:val="20"/>
          <w:szCs w:val="20"/>
          <w:color w:val="auto"/>
        </w:rPr>
      </w:pPr>
      <w:r>
        <w:rPr>
          <w:rFonts w:ascii="Arial" w:cs="Arial" w:eastAsia="Arial" w:hAnsi="Arial"/>
          <w:sz w:val="20"/>
          <w:szCs w:val="20"/>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 and</w:t>
      </w:r>
    </w:p>
    <w:p>
      <w:pPr>
        <w:spacing w:after="0" w:line="151" w:lineRule="exact"/>
        <w:rPr>
          <w:rFonts w:ascii="Arial" w:cs="Arial" w:eastAsia="Arial" w:hAnsi="Arial"/>
          <w:sz w:val="20"/>
          <w:szCs w:val="20"/>
          <w:color w:val="auto"/>
        </w:rPr>
      </w:pPr>
    </w:p>
    <w:p>
      <w:pPr>
        <w:jc w:val="both"/>
        <w:ind w:left="160" w:firstLine="651"/>
        <w:spacing w:after="0" w:line="239" w:lineRule="auto"/>
        <w:tabs>
          <w:tab w:leader="none" w:pos="1501"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86"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4.3 No Default. As of the Closing Date and each Advance Date, (i) no fact or condition exists that would (or would, with the passage of time, the giving of notice, or both) constitute an Event of Default and (ii) no event that has had or could reasonably be expected to have a Material Adverse Effect has occurred and is continuing.</w:t>
      </w:r>
    </w:p>
    <w:p>
      <w:pPr>
        <w:spacing w:after="0" w:line="179" w:lineRule="exact"/>
        <w:rPr>
          <w:sz w:val="20"/>
          <w:szCs w:val="20"/>
          <w:color w:val="auto"/>
        </w:rPr>
      </w:pPr>
    </w:p>
    <w:p>
      <w:pPr>
        <w:ind w:left="160" w:right="360" w:firstLine="1938"/>
        <w:spacing w:after="0" w:line="436" w:lineRule="auto"/>
        <w:rPr>
          <w:sz w:val="20"/>
          <w:szCs w:val="20"/>
          <w:color w:val="auto"/>
        </w:rPr>
      </w:pPr>
      <w:r>
        <w:rPr>
          <w:rFonts w:ascii="Arial" w:cs="Arial" w:eastAsia="Arial" w:hAnsi="Arial"/>
          <w:sz w:val="22"/>
          <w:szCs w:val="22"/>
          <w:b w:val="1"/>
          <w:bCs w:val="1"/>
          <w:color w:val="auto"/>
        </w:rPr>
        <w:t>SECTION 5</w:t>
      </w:r>
      <w:r>
        <w:rPr>
          <w:rFonts w:ascii="Arial" w:cs="Arial" w:eastAsia="Arial" w:hAnsi="Arial"/>
          <w:sz w:val="22"/>
          <w:szCs w:val="22"/>
          <w:b w:val="1"/>
          <w:bCs w:val="1"/>
          <w:u w:val="single" w:color="auto"/>
          <w:color w:val="auto"/>
        </w:rPr>
        <w:t>. REPRESENTATIONS AND WARRANTIES OF BORROWER</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represents and warrants that:</w:t>
      </w:r>
    </w:p>
    <w:p>
      <w:pPr>
        <w:spacing w:after="0" w:line="2"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5.1 Corporate Status. Borrower is a corporation duly organized, legally existing and in good standing under the laws of the State of Delaware, and is duly qualified as a foreign corporation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Exhibit C, as may be updated by Borrower in a written notice (including any Compliance Certificate) provided to Agent after the Closing Date.</w:t>
      </w:r>
    </w:p>
    <w:p>
      <w:pPr>
        <w:spacing w:after="0" w:line="200" w:lineRule="exact"/>
        <w:rPr>
          <w:sz w:val="20"/>
          <w:szCs w:val="20"/>
          <w:color w:val="auto"/>
        </w:rPr>
      </w:pPr>
    </w:p>
    <w:p>
      <w:pPr>
        <w:spacing w:after="0" w:line="209"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5.2 Collateral. Borrower owns the Collateral and the Intellectual Property, free of all Liens, except for Permitted Liens. Borrower has the power and authority to grant to Agent a Lien in the Collateral as security for the Secured Obligations.</w:t>
      </w:r>
    </w:p>
    <w:p>
      <w:pPr>
        <w:spacing w:after="0" w:line="186"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5.3 Consents. Borrower’s execution, delivery and performance of this Agreement and all other Loan Documents (i) have been duly authorized by all necessary corporate action of Borrower, (ii) will not result in the creation or imposition of any Lien upon the Collateral, other than Permitted Liens and the Liens created by this Agreement and</w:t>
      </w:r>
    </w:p>
    <w:p>
      <w:pPr>
        <w:spacing w:after="0" w:line="18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43" w:name="page244"/>
    <w:bookmarkEnd w:id="243"/>
    <w:p>
      <w:pPr>
        <w:jc w:val="both"/>
        <w:spacing w:after="0" w:line="234" w:lineRule="auto"/>
        <w:rPr>
          <w:sz w:val="20"/>
          <w:szCs w:val="20"/>
          <w:color w:val="auto"/>
        </w:rPr>
      </w:pPr>
      <w:r>
        <w:rPr>
          <w:rFonts w:ascii="Arial" w:cs="Arial" w:eastAsia="Arial" w:hAnsi="Arial"/>
          <w:sz w:val="22"/>
          <w:szCs w:val="22"/>
          <w:color w:val="auto"/>
        </w:rPr>
        <w:t>the other Loan Documents, (iii) do not violate any provisions of Borrower’s Certificate or Articles of Incorporation (as applicable), bylaws, or any, law, regulation, order, injunction, judgment, decree or writ to which Borrower is subject and (iv) except as described on Schedule 5.3, do not violate any contract or agreement or require the consent or approval of any other Person which has not already been obtained, except for consents and approvals the failure of which to obtain could not reasonably be expected to have a material adverse effect on Borrower’s business. The individual or individuals executing the Loan Documents are duly authorized to do so.</w:t>
      </w:r>
    </w:p>
    <w:p>
      <w:pPr>
        <w:spacing w:after="0" w:line="185"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5.4 Material Adverse Effect. No event that has had or could reasonably be expected to have a Material Adverse Effect has occurred and is continuing.</w:t>
      </w:r>
    </w:p>
    <w:p>
      <w:pPr>
        <w:spacing w:after="0" w:line="175"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5.5 Actions Before Governmental Authorities. There are no actions, suits or proceedings at law or in equity or by or before any governmental authority now pending or, to the knowledge of Borrower, threatened against or affecting Borrower or its property, that is reasonably expected to result in a Material Adverse Effect.</w:t>
      </w:r>
    </w:p>
    <w:p>
      <w:pPr>
        <w:spacing w:after="0" w:line="185"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9"/>
          <w:szCs w:val="19"/>
          <w:color w:val="auto"/>
        </w:rPr>
        <w:t>5.6 Laws. Borrower is not in violation of any law, rule or regulation, or in default with respect to any judgment, writ, injunction or decree of any governmental authority, where such violation or default is reasonably expected to result in a Material Adverse Effect. Borrower is not in default in any manner under any provision of any agreement or instrument evidencing material Indebtedness in excess of One Hundred Fifty Thousand Dollars ($150,000), or any other material agreement to which it is a party or by which it is bound, which default could reasonably be expected to have a material adverse effect on Borrower’s business.</w:t>
      </w:r>
    </w:p>
    <w:p>
      <w:pPr>
        <w:spacing w:after="0" w:line="2" w:lineRule="exact"/>
        <w:rPr>
          <w:sz w:val="20"/>
          <w:szCs w:val="20"/>
          <w:color w:val="auto"/>
        </w:rPr>
      </w:pPr>
    </w:p>
    <w:p>
      <w:pPr>
        <w:jc w:val="both"/>
        <w:ind w:firstLine="55"/>
        <w:spacing w:after="0" w:line="279" w:lineRule="auto"/>
        <w:rPr>
          <w:sz w:val="20"/>
          <w:szCs w:val="20"/>
          <w:color w:val="auto"/>
        </w:rPr>
      </w:pPr>
      <w:r>
        <w:rPr>
          <w:rFonts w:ascii="Arial" w:cs="Arial" w:eastAsia="Arial" w:hAnsi="Arial"/>
          <w:sz w:val="19"/>
          <w:szCs w:val="19"/>
          <w:color w:val="auto"/>
        </w:rPr>
        <w:t>Borrower, its Subsidiaries and, to the knowledge of the Borrower and its Subsidiaries, any agent or other party acting on behalf of Borrower or its Subsidiaries are in compliance with all applicable anti-money laundering, economic sanctions and anti-bribery laws and regulations, and none of the funds to be provided under this Agreement will be used, directly or indirectly, for any activities in violation of such laws and regulations.</w:t>
      </w:r>
    </w:p>
    <w:p>
      <w:pPr>
        <w:spacing w:after="0" w:line="150"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0"/>
          <w:szCs w:val="20"/>
          <w:color w:val="auto"/>
        </w:rPr>
        <w:t>5.7 Information Correct and Current. No information, report, Advance Request, financial statement, exhibit or schedule furnished, by or on behalf of Borrower to Agent in connection with any Loan Document or included therein or delivered pursuant thereto contained, or, when taken as a whole,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and (ii) the most current of such projections provided to the Board (it being understood that such projections are subject to significant uncertainties and contingencies, many of which are beyond the control of Borrower, that no assurance is given that any particular projections will be realized, that actual results may differ).</w:t>
      </w:r>
    </w:p>
    <w:p>
      <w:pPr>
        <w:spacing w:after="0" w:line="179"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5.8 Tax Matters. Except as described on Schedule 5.8 and except those being contested in good faith with adequate reserves under GAAP, (a) Borrower has filed all</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44" w:name="page245"/>
    <w:bookmarkEnd w:id="244"/>
    <w:p>
      <w:pPr>
        <w:jc w:val="both"/>
        <w:ind w:right="20"/>
        <w:spacing w:after="0" w:line="262" w:lineRule="auto"/>
        <w:rPr>
          <w:sz w:val="20"/>
          <w:szCs w:val="20"/>
          <w:color w:val="auto"/>
        </w:rPr>
      </w:pPr>
      <w:r>
        <w:rPr>
          <w:rFonts w:ascii="Arial" w:cs="Arial" w:eastAsia="Arial" w:hAnsi="Arial"/>
          <w:sz w:val="20"/>
          <w:szCs w:val="20"/>
          <w:color w:val="auto"/>
        </w:rPr>
        <w:t>material federal, state and local tax returns that it is required to file, (b) Borrower has duly paid or fully reserved for all taxes or installments thereof (including any interest or penalties) as and when due, which have become due pursuant to such returns, and (c) Borrower has paid or fully reserved for any tax assessment received by Borrower for the three (3) years preceding the Closing Date, if any (including any taxes being contested in good faith and by appropriate proceedings) in each case, other than with respect to taxes that do not exceed Fifty Thousand Dollars ($50,000) in the aggregate.</w:t>
      </w:r>
    </w:p>
    <w:p>
      <w:pPr>
        <w:spacing w:after="0" w:line="163"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0"/>
          <w:szCs w:val="20"/>
          <w:color w:val="auto"/>
        </w:rPr>
        <w:t>5.9 Intellectual Property Claims. Borrower is the sole owner of, or otherwise has the right to use, the Intellectual Property material to Borrower’s business. Except as described on Schedule 5.9, (i) each of the Copyrights, Trademarks and Patents is valid and enforceable, (ii) no part of the Intellectual Property has been judged invalid or unenforceable, in whole or in part, and (iii) to the best of Borrower’s knowledge, no claim has been made to Borrower that any part of the Intellectual Property violates the rights of any third party which could reasonably be expected to have a material adverse effect on Borrower’s business. Exhibit D is a true, correct and complete list of each of Borrower’s Patents, registered Trademarks, registered Copyrights, and material agreements under which Borrower licenses Intellectual Property from third parties (other than shrink-wrap software licenses), together with application or registration numbers, as applicable, owned by Borrower or any Subsidiary, in each case as of the Closing Date. Borrower is not in breach of, nor has Borrower failed to perform any obligations under, any of the foregoing contracts, licenses or agreements and, to Borrower’s knowledge, no third party to any such contract, license or agreement is in breach thereof or has failed to perform any obligations thereunder, in each case, to the extent such breach could be reasonably expected to have a material adverse effect on Borrower’s business.</w:t>
      </w:r>
    </w:p>
    <w:p>
      <w:pPr>
        <w:spacing w:after="0" w:line="172" w:lineRule="exact"/>
        <w:rPr>
          <w:sz w:val="20"/>
          <w:szCs w:val="20"/>
          <w:color w:val="auto"/>
        </w:rPr>
      </w:pPr>
    </w:p>
    <w:p>
      <w:pPr>
        <w:jc w:val="both"/>
        <w:ind w:right="20" w:firstLine="646"/>
        <w:spacing w:after="0" w:line="256" w:lineRule="auto"/>
        <w:rPr>
          <w:sz w:val="20"/>
          <w:szCs w:val="20"/>
          <w:color w:val="auto"/>
        </w:rPr>
      </w:pPr>
      <w:r>
        <w:rPr>
          <w:rFonts w:ascii="Arial" w:cs="Arial" w:eastAsia="Arial" w:hAnsi="Arial"/>
          <w:sz w:val="20"/>
          <w:szCs w:val="20"/>
          <w:color w:val="auto"/>
        </w:rPr>
        <w:t>5.10 Intellectual Property. To Borrower’s knowledge, except as described on Schedule 5.10, Borrower has all material rights with respect to Intellectual Property necessary in the operation or conduct of Borrower’s business as currently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that are material to Borrower’s business except customary covenants in inbound license agreements, equipment and real property leases where Borrower is the licensee or lessee.</w:t>
      </w:r>
    </w:p>
    <w:p>
      <w:pPr>
        <w:spacing w:after="0" w:line="176" w:lineRule="exact"/>
        <w:rPr>
          <w:sz w:val="20"/>
          <w:szCs w:val="20"/>
          <w:color w:val="auto"/>
        </w:rPr>
      </w:pPr>
    </w:p>
    <w:p>
      <w:pPr>
        <w:jc w:val="both"/>
        <w:ind w:right="20" w:firstLine="646"/>
        <w:spacing w:after="0" w:line="237" w:lineRule="auto"/>
        <w:rPr>
          <w:sz w:val="20"/>
          <w:szCs w:val="20"/>
          <w:color w:val="auto"/>
        </w:rPr>
      </w:pPr>
      <w:r>
        <w:rPr>
          <w:rFonts w:ascii="Arial" w:cs="Arial" w:eastAsia="Arial" w:hAnsi="Arial"/>
          <w:sz w:val="22"/>
          <w:szCs w:val="22"/>
          <w:color w:val="auto"/>
        </w:rPr>
        <w:t>5.11 Borrower Products. Except as described on Schedule 5.11, no Intellectual Property owned by Borrower or Borrower Product has been or is subject to any actual or, to the knowledge of Borrower, threatened in writing litigation, proceeding (including any proceeding in the United States Patent and Trademark Office or any corresponding foreign</w:t>
      </w:r>
    </w:p>
    <w:p>
      <w:pPr>
        <w:spacing w:after="0" w:line="185"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600"/>
          </w:cols>
          <w:pgMar w:left="1400" w:top="118" w:right="899" w:bottom="1440" w:gutter="0" w:footer="0" w:header="0"/>
        </w:sectPr>
      </w:pPr>
    </w:p>
    <w:bookmarkStart w:id="245" w:name="page246"/>
    <w:bookmarkEnd w:id="245"/>
    <w:p>
      <w:pPr>
        <w:jc w:val="both"/>
        <w:spacing w:after="0" w:line="256" w:lineRule="auto"/>
        <w:rPr>
          <w:sz w:val="20"/>
          <w:szCs w:val="20"/>
          <w:color w:val="auto"/>
        </w:rPr>
      </w:pPr>
      <w:r>
        <w:rPr>
          <w:rFonts w:ascii="Arial" w:cs="Arial" w:eastAsia="Arial" w:hAnsi="Arial"/>
          <w:sz w:val="20"/>
          <w:szCs w:val="20"/>
          <w:color w:val="auto"/>
        </w:rPr>
        <w:t>office or agency) or outstanding decree, order, judgment, settlement agreement or stipulation that restricts in any manner Borrower’s use, transfer or licensing thereof or that may affect the validity, use or enforceability thereof, in each case, which could reasonably be expected to have a material adverse effect on Borrower’s business.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Except as set forth on the Compliance Certificate, Borrower has not received any written notice or claim, or, to the knowledge of Borrower, oral notice or claim, challenging or questioning Borrower’s ownership in any Intellectual Property material to Borrower’s business (or written notice of any claim challenging or questioning the ownership in any licensed Intellectual Property material to Borrower’s business of the owner thereof) or suggesting that any third party has any claim of legal or beneficial ownership with respect thereto nor, to Borrower’s knowledge, in each case, is there a reasonable basis for any such claim. Neither Borrower’s use of its Intellectual Property material to Borrower’s business nor the production and sale of Borrower Products material to Borrower’s business infringes the Intellectual Property or other rights of others.</w:t>
      </w:r>
    </w:p>
    <w:p>
      <w:pPr>
        <w:spacing w:after="0" w:line="170" w:lineRule="exact"/>
        <w:rPr>
          <w:sz w:val="20"/>
          <w:szCs w:val="20"/>
          <w:color w:val="auto"/>
        </w:rPr>
      </w:pPr>
    </w:p>
    <w:p>
      <w:pPr>
        <w:jc w:val="both"/>
        <w:ind w:firstLine="646"/>
        <w:spacing w:after="0" w:line="261" w:lineRule="auto"/>
        <w:rPr>
          <w:sz w:val="20"/>
          <w:szCs w:val="20"/>
          <w:color w:val="auto"/>
        </w:rPr>
      </w:pPr>
      <w:r>
        <w:rPr>
          <w:rFonts w:ascii="Arial" w:cs="Arial" w:eastAsia="Arial" w:hAnsi="Arial"/>
          <w:sz w:val="20"/>
          <w:szCs w:val="20"/>
          <w:color w:val="auto"/>
        </w:rPr>
        <w:t>5.12 Financial Accounts. Exhibit E, as may be updated by the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68"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5.13 Employee Loans. Except as permitted by Section 7.7(a), Borrower has no outstanding loans to any employee, officer or director of the Borrower nor has Borrower guaranteed the payment of any loan made to an employee, officer or director of the Borrower by a third party.</w:t>
      </w:r>
    </w:p>
    <w:p>
      <w:pPr>
        <w:spacing w:after="0" w:line="186"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5.14 Capitalization and Subsidiaries. Borrower does not own any stock, partnership interest or other securities of any Person, except for Permitted Investments. Attached as Schedule 5.14, as may be updated by Borrower in a written notice provided after the Closing Date, is a true, correct and complete list of each Subsidiary.</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b w:val="1"/>
          <w:bCs w:val="1"/>
          <w:u w:val="single" w:color="auto"/>
          <w:color w:val="auto"/>
        </w:rPr>
        <w:t>INSURANCE; INDEMNIFICATION</w:t>
      </w:r>
    </w:p>
    <w:p>
      <w:pPr>
        <w:spacing w:after="0" w:line="211"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6.1 Coverage.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Section 6.3. Borrower must maintain a minimum of Two Million Dollars ($2,000,000) of commercial general liability insurance for each occurrence; any combination of primary and umbrella liability policies may be utilized in order to maintain this limit. Borrower has and agrees to maintain a minimum of Two</w:t>
      </w:r>
    </w:p>
    <w:p>
      <w:pPr>
        <w:spacing w:after="0" w:line="167"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46" w:name="page247"/>
    <w:bookmarkEnd w:id="246"/>
    <w:p>
      <w:pPr>
        <w:jc w:val="both"/>
        <w:spacing w:after="0" w:line="234" w:lineRule="auto"/>
        <w:rPr>
          <w:sz w:val="20"/>
          <w:szCs w:val="20"/>
          <w:color w:val="auto"/>
        </w:rPr>
      </w:pPr>
      <w:r>
        <w:rPr>
          <w:rFonts w:ascii="Arial" w:cs="Arial" w:eastAsia="Arial" w:hAnsi="Arial"/>
          <w:sz w:val="22"/>
          <w:szCs w:val="22"/>
          <w:color w:val="auto"/>
        </w:rPr>
        <w:t>Million Dollars ($2,000,000) of directors’ and officers’ insurance for each occurrence and Five Million Dollars ($5,000,000) in the aggregate. So long as there are any Secured Obligations outstanding (other than inchoate indemnity obligations),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w:t>
      </w:r>
    </w:p>
    <w:p>
      <w:pPr>
        <w:spacing w:after="0" w:line="189" w:lineRule="exact"/>
        <w:rPr>
          <w:sz w:val="20"/>
          <w:szCs w:val="20"/>
          <w:color w:val="auto"/>
        </w:rPr>
      </w:pPr>
    </w:p>
    <w:p>
      <w:pPr>
        <w:ind w:right="60" w:firstLine="646"/>
        <w:spacing w:after="0" w:line="268" w:lineRule="auto"/>
        <w:rPr>
          <w:sz w:val="20"/>
          <w:szCs w:val="20"/>
          <w:color w:val="auto"/>
        </w:rPr>
      </w:pPr>
      <w:r>
        <w:rPr>
          <w:rFonts w:ascii="Arial" w:cs="Arial" w:eastAsia="Arial" w:hAnsi="Arial"/>
          <w:sz w:val="19"/>
          <w:szCs w:val="19"/>
          <w:color w:val="auto"/>
        </w:rPr>
        <w:t>6.2 Certificates. Borrower shall deliver to Agent certificates of insurance for its global master insurance policies, which shall evidence Borrower’s compliance with its insurance obligations in Section 6.1 and the obligations contained in this Section 6.2. Borrower’s insurance certificate shall state Agent (shown as “Hercules Capital, Inc., as Agent”) is an additional insured for its global master commercial general liability insurance policies, a loss payee for all global master risk property damage insurance policies, subject to the insurer’s approval, and a loss payee for its global master property insurance policies and additional insured for liability insurance for any future global master insurance that Borrower may acquire from such</w:t>
      </w:r>
    </w:p>
    <w:p>
      <w:pPr>
        <w:spacing w:after="0" w:line="6"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insurer. Attached to the certificates of insurance will be additional insured endorsements for global master liability and lender’s loss payable endorsements for all global master risk property damage insurance. All such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Borrower shall provide Agent with a copy of each global master insurance policy, and upon entering or amending any such global master insurance policy required hereunder, Borrower shall provide Agent with a copy of such global master insurance policies and shall promptly deliver to Agent updated insurance certificates with respect to such global master insurance policies.</w:t>
      </w:r>
    </w:p>
    <w:p>
      <w:pPr>
        <w:spacing w:after="0" w:line="176" w:lineRule="exact"/>
        <w:rPr>
          <w:sz w:val="20"/>
          <w:szCs w:val="20"/>
          <w:color w:val="auto"/>
        </w:rPr>
      </w:pPr>
    </w:p>
    <w:p>
      <w:pPr>
        <w:ind w:right="40" w:firstLine="646"/>
        <w:spacing w:after="0" w:line="270" w:lineRule="auto"/>
        <w:rPr>
          <w:sz w:val="20"/>
          <w:szCs w:val="20"/>
          <w:color w:val="auto"/>
        </w:rPr>
      </w:pPr>
      <w:r>
        <w:rPr>
          <w:rFonts w:ascii="Arial" w:cs="Arial" w:eastAsia="Arial" w:hAnsi="Arial"/>
          <w:sz w:val="19"/>
          <w:szCs w:val="19"/>
          <w:color w:val="auto"/>
        </w:rPr>
        <w:t>6.3 Indemnity. Borrower agrees to indemnify and hold Agent, Lender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and invoiced out-of-pocket costs (including attorneys’ fees) and disbursements and other costs of investigation or defense within ten (10) days of receipt of such invoice (which ten (10) day period shall not apply to costs, expenses, damages and liabilities, out-of-pocket costs (including attorneys’ fees) and disbursements and other costs of investigation or defense (including those incurred upon any appeal) due on the Term Loan Maturity Date or in connection with a payoff in full of the Secured Obligations)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or willful misconduct. Borrower agrees to pay, and</w:t>
      </w:r>
    </w:p>
    <w:p>
      <w:pPr>
        <w:spacing w:after="0" w:line="162"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47" w:name="page248"/>
    <w:bookmarkEnd w:id="247"/>
    <w:p>
      <w:pPr>
        <w:ind w:right="120"/>
        <w:spacing w:after="0" w:line="274" w:lineRule="auto"/>
        <w:rPr>
          <w:sz w:val="20"/>
          <w:szCs w:val="20"/>
          <w:color w:val="auto"/>
        </w:rPr>
      </w:pPr>
      <w:r>
        <w:rPr>
          <w:rFonts w:ascii="Arial" w:cs="Arial" w:eastAsia="Arial" w:hAnsi="Arial"/>
          <w:sz w:val="19"/>
          <w:szCs w:val="19"/>
          <w:color w:val="auto"/>
        </w:rPr>
        <w:t>to save Agent and Lender harmless from, any and all liabilities with respect to, or resulting from any delay in paying, any and all excise, sales or other similar taxes (excluding taxes imposed on or measured by the net income of Agent or Lender) that may be payable or determined to be payable with respect to any of the Collateral or this Agreement.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the Loan Agreement. This Section 6.3 shall not apply with respect to Taxes other than any Taxes that represent losses, claims, damages, etc. arising from any non-Tax claim.</w:t>
      </w:r>
    </w:p>
    <w:p>
      <w:pPr>
        <w:spacing w:after="0" w:line="152" w:lineRule="exact"/>
        <w:rPr>
          <w:sz w:val="20"/>
          <w:szCs w:val="20"/>
          <w:color w:val="auto"/>
        </w:rPr>
      </w:pPr>
    </w:p>
    <w:p>
      <w:pPr>
        <w:ind w:left="160" w:right="3120" w:firstLine="1938"/>
        <w:spacing w:after="0" w:line="436" w:lineRule="auto"/>
        <w:rPr>
          <w:sz w:val="20"/>
          <w:szCs w:val="20"/>
          <w:color w:val="auto"/>
        </w:rPr>
      </w:pPr>
      <w:r>
        <w:rPr>
          <w:rFonts w:ascii="Arial" w:cs="Arial" w:eastAsia="Arial" w:hAnsi="Arial"/>
          <w:sz w:val="22"/>
          <w:szCs w:val="22"/>
          <w:b w:val="1"/>
          <w:bCs w:val="1"/>
          <w:color w:val="auto"/>
        </w:rPr>
        <w:t xml:space="preserve">SECTION 7. </w:t>
      </w:r>
      <w:r>
        <w:rPr>
          <w:rFonts w:ascii="Arial" w:cs="Arial" w:eastAsia="Arial" w:hAnsi="Arial"/>
          <w:sz w:val="22"/>
          <w:szCs w:val="22"/>
          <w:b w:val="1"/>
          <w:bCs w:val="1"/>
          <w:u w:val="single" w:color="auto"/>
          <w:color w:val="auto"/>
        </w:rPr>
        <w:t>COVENANTS OF BORROWER</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agrees as follows:</w:t>
      </w:r>
    </w:p>
    <w:p>
      <w:pPr>
        <w:spacing w:after="0" w:line="2" w:lineRule="exact"/>
        <w:rPr>
          <w:sz w:val="20"/>
          <w:szCs w:val="20"/>
          <w:color w:val="auto"/>
        </w:rPr>
      </w:pPr>
    </w:p>
    <w:p>
      <w:pPr>
        <w:ind w:firstLine="646"/>
        <w:spacing w:after="0" w:line="249" w:lineRule="auto"/>
        <w:rPr>
          <w:sz w:val="20"/>
          <w:szCs w:val="20"/>
          <w:color w:val="auto"/>
        </w:rPr>
      </w:pPr>
      <w:r>
        <w:rPr>
          <w:rFonts w:ascii="Arial" w:cs="Arial" w:eastAsia="Arial" w:hAnsi="Arial"/>
          <w:sz w:val="22"/>
          <w:szCs w:val="22"/>
          <w:color w:val="auto"/>
        </w:rPr>
        <w:t>7.1 Financial Reports. Borrower shall furnish to Agent the financial statements and reports listed hereinafter (the “Financial Statements”):</w:t>
      </w:r>
    </w:p>
    <w:p>
      <w:pPr>
        <w:spacing w:after="0" w:line="175" w:lineRule="exact"/>
        <w:rPr>
          <w:sz w:val="20"/>
          <w:szCs w:val="20"/>
          <w:color w:val="auto"/>
        </w:rPr>
      </w:pPr>
    </w:p>
    <w:p>
      <w:pPr>
        <w:ind w:left="160" w:firstLine="651"/>
        <w:spacing w:after="0" w:line="257" w:lineRule="auto"/>
        <w:tabs>
          <w:tab w:leader="none" w:pos="1489"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as soon as practicable (and in any event within 30 days) after the end of each calendar month (commencing with the month ending March 31, 2017), unaudited interim and year-to-date financial statements as of the end of such month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would reasonably be expected to have a Material Adverse Effect, all certified by Borrower’s Chief Executive Officer or Chief Financial Officer to the effect that they have been prepared in a manner consistent with past practice by management, except (i) for the absence of footnotes, (ii) that they are subject to normal year end adjustments, and (iii) they do not contain certain non-cash items that are customarily included in quarterly and annual financial statements;</w:t>
      </w:r>
    </w:p>
    <w:p>
      <w:pPr>
        <w:spacing w:after="0" w:line="175" w:lineRule="exact"/>
        <w:rPr>
          <w:rFonts w:ascii="Arial" w:cs="Arial" w:eastAsia="Arial" w:hAnsi="Arial"/>
          <w:sz w:val="20"/>
          <w:szCs w:val="20"/>
          <w:color w:val="auto"/>
        </w:rPr>
      </w:pPr>
    </w:p>
    <w:p>
      <w:pPr>
        <w:jc w:val="both"/>
        <w:ind w:left="160" w:firstLine="651"/>
        <w:spacing w:after="0" w:line="258" w:lineRule="auto"/>
        <w:tabs>
          <w:tab w:leader="none" w:pos="1501"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as soon as practicable (and in any event within forty-five (45) days) after the end of the last day of each of the first three fiscal quarters of each fiscal year, unaudited interim and year-to-date financial statements as of the end of such calendar quarter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would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 end adjustments;</w:t>
      </w:r>
    </w:p>
    <w:p>
      <w:pPr>
        <w:spacing w:after="0" w:line="170" w:lineRule="exact"/>
        <w:rPr>
          <w:rFonts w:ascii="Arial" w:cs="Arial" w:eastAsia="Arial" w:hAnsi="Arial"/>
          <w:sz w:val="20"/>
          <w:szCs w:val="20"/>
          <w:color w:val="auto"/>
        </w:rPr>
      </w:pPr>
    </w:p>
    <w:p>
      <w:pPr>
        <w:jc w:val="both"/>
        <w:ind w:left="160" w:firstLine="651"/>
        <w:spacing w:after="0" w:line="237" w:lineRule="auto"/>
        <w:tabs>
          <w:tab w:leader="none" w:pos="148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 as soon as practicable (and in any event within ninety (90) days) after the end of each fiscal year, unqualified (other than a going concern qualification solely with respect to the maturity of any outstanding Term Loan Advances) audited financial statements as of the end of such year (prepared on a consolidated and consolidating basis,</w:t>
      </w:r>
    </w:p>
    <w:p>
      <w:pPr>
        <w:spacing w:after="0" w:line="18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48" w:name="page249"/>
    <w:bookmarkEnd w:id="248"/>
    <w:p>
      <w:pPr>
        <w:jc w:val="both"/>
        <w:ind w:left="120"/>
        <w:spacing w:after="0" w:line="262" w:lineRule="auto"/>
        <w:rPr>
          <w:sz w:val="20"/>
          <w:szCs w:val="20"/>
          <w:color w:val="auto"/>
        </w:rPr>
      </w:pPr>
      <w:r>
        <w:rPr>
          <w:rFonts w:ascii="Arial" w:cs="Arial" w:eastAsia="Arial" w:hAnsi="Arial"/>
          <w:sz w:val="20"/>
          <w:szCs w:val="20"/>
          <w:color w:val="auto"/>
        </w:rPr>
        <w:t>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(it being understood that any nationally recognized big four accounting firm is reasonably acceptable to Agent) and (ii) as soon as practical (and in any event within ten (10) days after delivery of the financial statements in the foregoing clause (i), any management report from such accountants;</w:t>
      </w:r>
    </w:p>
    <w:p>
      <w:pPr>
        <w:spacing w:after="0" w:line="163" w:lineRule="exact"/>
        <w:rPr>
          <w:sz w:val="20"/>
          <w:szCs w:val="20"/>
          <w:color w:val="auto"/>
        </w:rPr>
      </w:pPr>
    </w:p>
    <w:p>
      <w:pPr>
        <w:ind w:left="120" w:firstLine="651"/>
        <w:spacing w:after="0" w:line="249" w:lineRule="auto"/>
        <w:tabs>
          <w:tab w:leader="none" w:pos="154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as soon as practicable (and in any event within 30 days) after the end of each month, a Compliance Certificate in the form of Exhibit F;</w:t>
      </w:r>
    </w:p>
    <w:p>
      <w:pPr>
        <w:spacing w:after="0" w:line="174" w:lineRule="exact"/>
        <w:rPr>
          <w:rFonts w:ascii="Arial" w:cs="Arial" w:eastAsia="Arial" w:hAnsi="Arial"/>
          <w:sz w:val="22"/>
          <w:szCs w:val="22"/>
          <w:color w:val="auto"/>
        </w:rPr>
      </w:pPr>
    </w:p>
    <w:p>
      <w:pPr>
        <w:ind w:left="1460" w:hanging="689"/>
        <w:spacing w:after="0"/>
        <w:tabs>
          <w:tab w:leader="none" w:pos="14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at Agent’s written request, a report showing agings of accounts receivable and accounts</w:t>
      </w:r>
    </w:p>
    <w:p>
      <w:pPr>
        <w:spacing w:after="0" w:line="30" w:lineRule="exact"/>
        <w:rPr>
          <w:rFonts w:ascii="Arial" w:cs="Arial" w:eastAsia="Arial" w:hAnsi="Arial"/>
          <w:sz w:val="20"/>
          <w:szCs w:val="20"/>
          <w:color w:val="auto"/>
        </w:rPr>
      </w:pPr>
    </w:p>
    <w:p>
      <w:pPr>
        <w:ind w:left="120"/>
        <w:spacing w:after="0"/>
        <w:rPr>
          <w:rFonts w:ascii="Arial" w:cs="Arial" w:eastAsia="Arial" w:hAnsi="Arial"/>
          <w:sz w:val="20"/>
          <w:szCs w:val="20"/>
          <w:color w:val="auto"/>
        </w:rPr>
      </w:pPr>
      <w:r>
        <w:rPr>
          <w:rFonts w:ascii="Arial" w:cs="Arial" w:eastAsia="Arial" w:hAnsi="Arial"/>
          <w:sz w:val="22"/>
          <w:szCs w:val="22"/>
          <w:color w:val="auto"/>
        </w:rPr>
        <w:t>payable;</w:t>
      </w:r>
    </w:p>
    <w:p>
      <w:pPr>
        <w:spacing w:after="0" w:line="186" w:lineRule="exact"/>
        <w:rPr>
          <w:rFonts w:ascii="Arial" w:cs="Arial" w:eastAsia="Arial" w:hAnsi="Arial"/>
          <w:sz w:val="20"/>
          <w:szCs w:val="20"/>
          <w:color w:val="auto"/>
        </w:rPr>
      </w:pPr>
    </w:p>
    <w:p>
      <w:pPr>
        <w:jc w:val="both"/>
        <w:ind w:left="120" w:firstLine="651"/>
        <w:spacing w:after="0" w:line="235" w:lineRule="auto"/>
        <w:tabs>
          <w:tab w:leader="none" w:pos="142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promptly after the sending or filing thereof, as the case may be, copies of any proxy statements, financial statements or reports that Borrower has made available to holders of Verastem’s Common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88" w:lineRule="exact"/>
        <w:rPr>
          <w:rFonts w:ascii="Arial" w:cs="Arial" w:eastAsia="Arial" w:hAnsi="Arial"/>
          <w:sz w:val="22"/>
          <w:szCs w:val="22"/>
          <w:color w:val="auto"/>
        </w:rPr>
      </w:pPr>
    </w:p>
    <w:p>
      <w:pPr>
        <w:jc w:val="both"/>
        <w:ind w:left="120" w:firstLine="651"/>
        <w:spacing w:after="0" w:line="234" w:lineRule="auto"/>
        <w:tabs>
          <w:tab w:leader="none" w:pos="146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financial and business projections promptly following their approval by the Board, and in any event, within sixty (60) days subsequent to the end of Borrower’s fiscal year, as well as budgets, operating plans and other financial information reasonably requested by Agent (provided that Borrower and its Subsidiaries shall not be obligated to disclose pursuant to this Section 7.1(g) any privileged attorney-client communication, or information that Borrower is not permitted by statute, regulation, or court order to disclose).</w:t>
      </w:r>
    </w:p>
    <w:p>
      <w:pPr>
        <w:spacing w:after="0" w:line="189" w:lineRule="exact"/>
        <w:rPr>
          <w:sz w:val="20"/>
          <w:szCs w:val="20"/>
          <w:color w:val="auto"/>
        </w:rPr>
      </w:pPr>
    </w:p>
    <w:p>
      <w:pPr>
        <w:jc w:val="both"/>
        <w:ind w:left="120"/>
        <w:spacing w:after="0" w:line="264" w:lineRule="auto"/>
        <w:rPr>
          <w:sz w:val="20"/>
          <w:szCs w:val="20"/>
          <w:color w:val="auto"/>
        </w:rPr>
      </w:pPr>
      <w:r>
        <w:rPr>
          <w:rFonts w:ascii="Arial" w:cs="Arial" w:eastAsia="Arial" w:hAnsi="Arial"/>
          <w:sz w:val="20"/>
          <w:szCs w:val="20"/>
          <w:color w:val="auto"/>
        </w:rPr>
        <w:t>Borrower shall not make any material change in its (a) accounting policies or reporting practices except for any change required by GAAP through the mandate of new procedures, unless Borrower used commercially reasonable efforts to notify Agent within thirty (30) days in advance of such change, or (b) fiscal years or fiscal quarters, unless Borrower shall have notified Agent in writing within thirty (30) days in advance of such change. The fiscal year of Borrower shall end on December 31.</w:t>
      </w:r>
    </w:p>
    <w:p>
      <w:pPr>
        <w:spacing w:after="0" w:line="162" w:lineRule="exact"/>
        <w:rPr>
          <w:sz w:val="20"/>
          <w:szCs w:val="20"/>
          <w:color w:val="auto"/>
        </w:rPr>
      </w:pPr>
    </w:p>
    <w:p>
      <w:pPr>
        <w:jc w:val="both"/>
        <w:ind w:left="120"/>
        <w:spacing w:after="0" w:line="264" w:lineRule="auto"/>
        <w:rPr>
          <w:sz w:val="20"/>
          <w:szCs w:val="20"/>
          <w:color w:val="auto"/>
        </w:rPr>
      </w:pPr>
      <w:r>
        <w:rPr>
          <w:rFonts w:ascii="Arial" w:cs="Arial" w:eastAsia="Arial" w:hAnsi="Arial"/>
          <w:sz w:val="20"/>
          <w:szCs w:val="20"/>
          <w:color w:val="auto"/>
        </w:rPr>
        <w:t>The executed Compliance Certificate may be sent via email to Agent at legal@herculestech.com. All Financial Statements required to be delivered pursuant to clauses (a), (b) and (c) shall be sent via e-mail to financialstatements@herculestech.com with a copy to legal@herculestech.com provided, that if e-mail is not available or sending such Financial Statements via e-mail is not possible, they shall be sent to Agent at: legal@herculestech.com, attention Chief Credit Officer.</w:t>
      </w:r>
    </w:p>
    <w:p>
      <w:pPr>
        <w:spacing w:after="0" w:line="54" w:lineRule="exact"/>
        <w:rPr>
          <w:sz w:val="20"/>
          <w:szCs w:val="20"/>
          <w:color w:val="auto"/>
        </w:rPr>
      </w:pPr>
    </w:p>
    <w:p>
      <w:pPr>
        <w:jc w:val="both"/>
        <w:ind w:left="120"/>
        <w:spacing w:after="0" w:line="237" w:lineRule="auto"/>
        <w:rPr>
          <w:sz w:val="20"/>
          <w:szCs w:val="20"/>
          <w:color w:val="auto"/>
        </w:rPr>
      </w:pPr>
      <w:r>
        <w:rPr>
          <w:rFonts w:ascii="Arial" w:cs="Arial" w:eastAsia="Arial" w:hAnsi="Arial"/>
          <w:sz w:val="22"/>
          <w:szCs w:val="22"/>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emails a link thereto to Agent; provided that</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143510</wp:posOffset>
            </wp:positionV>
            <wp:extent cx="639254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40"/>
          </w:cols>
          <w:pgMar w:left="1440" w:top="118" w:right="919" w:bottom="1440" w:gutter="0" w:footer="0" w:header="0"/>
        </w:sectPr>
      </w:pPr>
    </w:p>
    <w:bookmarkStart w:id="249" w:name="page250"/>
    <w:bookmarkEnd w:id="249"/>
    <w:p>
      <w:pPr>
        <w:jc w:val="both"/>
        <w:spacing w:after="0" w:line="250" w:lineRule="auto"/>
        <w:rPr>
          <w:sz w:val="20"/>
          <w:szCs w:val="20"/>
          <w:color w:val="auto"/>
        </w:rPr>
      </w:pPr>
      <w:r>
        <w:rPr>
          <w:rFonts w:ascii="Arial" w:cs="Arial" w:eastAsia="Arial" w:hAnsi="Arial"/>
          <w:sz w:val="22"/>
          <w:szCs w:val="22"/>
          <w:color w:val="auto"/>
        </w:rPr>
        <w:t xml:space="preserve">Borrower shall directly provide Agent all Financial Statements required to be delivered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hereunder.</w:t>
      </w:r>
    </w:p>
    <w:p>
      <w:pPr>
        <w:spacing w:after="0" w:line="66"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9"/>
          <w:szCs w:val="19"/>
          <w:color w:val="auto"/>
        </w:rPr>
        <w:t xml:space="preserve">7.2 Management Rights. Borrower shall permit any representative that Agent or Lender authorizes, including its attorneys and accountants, to inspect the Collateral and examine and make copies and abstracts of the books of account and records of Borrower at reasonable times and upon reasonable notice during normal business hours;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so long as no Event of Default has occurred and is continuing, such examinations shall be limited to no more often than once per fiscal year. In addition, any such representative shall have the right to meet with management and officers of Borrower to discuss such books of account and records at reasonable times and upon reasonable notice during normal business hours. In addition, Agent or Lender shall be entitled at reasonable times and intervals acceptable to Borrower to consult with and advise the management and officers of Borrower concerning significant business issues affecting Borrower; provided that management and officers of Borrower shall not be bound to accept any such advisement. Such consultations shall not unreasonably interfere with Borrower’s business operations. The parties intend that the rights granted Agent and Lender shall constitute “management rights” within the meaning of 29 C.F.R. Section 2510.3-101(d)(3)(ii), but that any advice, recommendations or participation by Agent or Lender with respect to any business issues shall not be deemed to give Agent or Lender, nor be deemed an exercise by Agent or Lender of, control over Borrower’s management or policies.</w:t>
      </w:r>
    </w:p>
    <w:p>
      <w:pPr>
        <w:spacing w:after="0" w:line="162"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9"/>
          <w:szCs w:val="19"/>
          <w:color w:val="auto"/>
        </w:rPr>
        <w:t>7.3 Further Assurances. Borrower shall from time to time execute, deliver and file, alone or with Agent, any financing statements, security agreements, collateral assignments, notices, control agreements, or other documents to perfect or give the highest priority to Agent’s Lien on the Collateral (subject only to Permitted Liens that have superior priority to Agent’s Lien under this Agreement).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p>
    <w:p>
      <w:pPr>
        <w:spacing w:after="0" w:line="157"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7.4 Indebtedness. Borrower shall not create, incur, assume, guarantee or be or remain liable with respect to any Indebtedness, or permit any Subsidiary to do so, other than Permitted Indebtedness, or prepay any Indebtedness (other than in connection with refinancings thereof; provided that the principal amount of such Indebtedness is not increased) or take any actions which impose on Borrower an obligation to prepay any Indebtedness, except for (a) the conversion of Indebtedness into equity securities and the payment of cash in lieu of fractional shares in connection with such conversion, (b) purchase money Indebtedness pursuant to its then applicable payment schedule, (c) prepayment by</w:t>
      </w:r>
    </w:p>
    <w:p>
      <w:pPr>
        <w:spacing w:after="0" w:line="167"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50" w:name="page251"/>
    <w:bookmarkEnd w:id="250"/>
    <w:p>
      <w:pPr>
        <w:jc w:val="both"/>
        <w:spacing w:after="0" w:line="275" w:lineRule="auto"/>
        <w:rPr>
          <w:sz w:val="20"/>
          <w:szCs w:val="20"/>
          <w:color w:val="auto"/>
        </w:rPr>
      </w:pPr>
      <w:r>
        <w:rPr>
          <w:rFonts w:ascii="Arial" w:cs="Arial" w:eastAsia="Arial" w:hAnsi="Arial"/>
          <w:sz w:val="20"/>
          <w:szCs w:val="20"/>
          <w:color w:val="auto"/>
        </w:rPr>
        <w:t>any Subsidiary of (i) inter-company Indebtedness owed by such Subsidiary to any Borrower, or (ii) if such Subsidiary is not a Borrower, intercompany Indebtedness owed by such Subsidiary to another Subsidiary that is not a Borrower or (d) as otherwise permitted hereunder or approved in writing by Agent.</w:t>
      </w:r>
    </w:p>
    <w:p>
      <w:pPr>
        <w:spacing w:after="0" w:line="152"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20"/>
          <w:szCs w:val="20"/>
          <w:color w:val="auto"/>
        </w:rPr>
        <w:t>7.5 Collateral. Borrower shall at all times keep the Collateral, the Intellectual Property and all other property and assets used in Borrower’s business or in which Borrower now or hereafter holds any interest free and clear from any legal process or Liens whatsoever (except for Permitted Liens), and shall give Agent prompt written notice of any legal process affecting the Collateral, the Intellectual Property, such other property and assets, or any Liens thereon, provided however, that the Collateral and such other property and assets may be subject to Permitted Liens except that there shall be no Liens whatsoever on Intellectual Property. Borrower shall not agree with any Person other than Agent or Lender not to encumber its property other than (i) as is otherwise permitted in the definitions of “Permitted Transfers” and “Permitted Liens” and</w:t>
      </w:r>
    </w:p>
    <w:p>
      <w:pPr>
        <w:spacing w:after="0" w:line="1" w:lineRule="exact"/>
        <w:rPr>
          <w:sz w:val="20"/>
          <w:szCs w:val="20"/>
          <w:color w:val="auto"/>
        </w:rPr>
      </w:pPr>
    </w:p>
    <w:p>
      <w:pPr>
        <w:jc w:val="both"/>
        <w:ind w:firstLine="3"/>
        <w:spacing w:after="0" w:line="254" w:lineRule="auto"/>
        <w:tabs>
          <w:tab w:leader="none" w:pos="38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restrictions by reason of customary provisions restricting assignment, subletting or other transfers contained in leases, licenses and similar agreements entered into in the ordinary course of business (provided that such restrictions are limited to the property or assets secured by such Liens or the property or assets subject to such leases, licenses or similar agreements as the case may be). Borrower shall not enter into or suffer to exist or become effective any agreement that prohibits or limits the ability of any Borrower to create, incur, assume or suffer to exist any Lien upon any of its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legal process or Liens whatsoever (except for Permitted Liens, provided however, that there shall be no Liens whatsoever on Intellectual Property), and shall give Agent prompt written notice of any legal process affecting such Subsidiary’s assets.</w:t>
      </w:r>
    </w:p>
    <w:p>
      <w:pPr>
        <w:spacing w:after="0" w:line="179" w:lineRule="exact"/>
        <w:rPr>
          <w:sz w:val="20"/>
          <w:szCs w:val="20"/>
          <w:color w:val="auto"/>
        </w:rPr>
      </w:pPr>
    </w:p>
    <w:p>
      <w:pPr>
        <w:jc w:val="both"/>
        <w:ind w:firstLine="646"/>
        <w:spacing w:after="0" w:line="298" w:lineRule="auto"/>
        <w:rPr>
          <w:sz w:val="20"/>
          <w:szCs w:val="20"/>
          <w:color w:val="auto"/>
        </w:rPr>
      </w:pPr>
      <w:r>
        <w:rPr>
          <w:rFonts w:ascii="Arial" w:cs="Arial" w:eastAsia="Arial" w:hAnsi="Arial"/>
          <w:sz w:val="20"/>
          <w:szCs w:val="20"/>
          <w:color w:val="auto"/>
        </w:rPr>
        <w:t>7.6 Investments. Borrower shall not directly or indirectly acquire or own, or make any Investment in or to any Person, or permit any of its Subsidiaries so to do, other than Permitted Investments.</w:t>
      </w:r>
    </w:p>
    <w:p>
      <w:pPr>
        <w:spacing w:after="0" w:line="129"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20"/>
          <w:szCs w:val="20"/>
          <w:color w:val="auto"/>
        </w:rPr>
        <w:t>7.7 Distributions. Borrower shall not, and shall not allow any Subsidiary to, (a) repurchase or redeem any class of stock or other equity interest other than pursuant to employee, director or consultant repurchase plans or other similar agreements, provided, however, in each case the repurchase or redemption price does not exceed the original consideration paid for such stock or equity interest and such repurchases or redemptions are in an aggregate amount not to exceed Two Hundred Fifty Thousand Dollars ($250,000) in any fiscal year, provided that no Event of Default has occurred, is continuing or would exist after giving effect to the repurchases, or (b) declare or pay any cash dividend or make a cash distribution on any class of stock or other equity interest, except that a Subsidiary may pay</w:t>
      </w:r>
    </w:p>
    <w:p>
      <w:pPr>
        <w:spacing w:after="0" w:line="168"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51" w:name="page252"/>
    <w:bookmarkEnd w:id="251"/>
    <w:p>
      <w:pPr>
        <w:jc w:val="both"/>
        <w:spacing w:after="0" w:line="286" w:lineRule="auto"/>
        <w:rPr>
          <w:sz w:val="20"/>
          <w:szCs w:val="20"/>
          <w:color w:val="auto"/>
        </w:rPr>
      </w:pPr>
      <w:r>
        <w:rPr>
          <w:rFonts w:ascii="Arial" w:cs="Arial" w:eastAsia="Arial" w:hAnsi="Arial"/>
          <w:sz w:val="19"/>
          <w:szCs w:val="19"/>
          <w:color w:val="auto"/>
        </w:rPr>
        <w:t>dividends or make distributions to Borrower, or (c) lend money to any employees, officers or directors or guarantee the payment of any such loans granted by a third party in excess of One Hundred Fifty Thousand Dollars ($150,000) in the aggregate or (d) waive, release or forgive any Indebtedness owed by any employees, officers or directors in excess of One Hundred Fifty Thousand Dollars ($150,000) in the aggregate.</w:t>
      </w:r>
    </w:p>
    <w:p>
      <w:pPr>
        <w:spacing w:after="0" w:line="143"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7.8 Transfers. Except for Permitted Transfers, Borrower shall not, and shall not allow any Subsidiary to, voluntarily or involuntarily transfer, sell, lease, license, lend or in any other manner convey any equitable, beneficial or legal interest in any material portion of its assets.</w:t>
      </w:r>
    </w:p>
    <w:p>
      <w:pPr>
        <w:spacing w:after="0" w:line="186" w:lineRule="exact"/>
        <w:rPr>
          <w:sz w:val="20"/>
          <w:szCs w:val="20"/>
          <w:color w:val="auto"/>
        </w:rPr>
      </w:pPr>
    </w:p>
    <w:p>
      <w:pPr>
        <w:jc w:val="both"/>
        <w:ind w:firstLine="646"/>
        <w:spacing w:after="0" w:line="264" w:lineRule="auto"/>
        <w:rPr>
          <w:sz w:val="20"/>
          <w:szCs w:val="20"/>
          <w:color w:val="auto"/>
        </w:rPr>
      </w:pPr>
      <w:r>
        <w:rPr>
          <w:rFonts w:ascii="Arial" w:cs="Arial" w:eastAsia="Arial" w:hAnsi="Arial"/>
          <w:sz w:val="20"/>
          <w:szCs w:val="20"/>
          <w:color w:val="auto"/>
        </w:rPr>
        <w:t>7.9 Mergers or Acquisitions.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 or acquire, or permit any of its Subsidiaries to acquire, all or substantially all of the capital stock or property of another Person without the prior written consent of Agent.</w:t>
      </w:r>
    </w:p>
    <w:p>
      <w:pPr>
        <w:spacing w:after="0" w:line="162"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8"/>
          <w:szCs w:val="18"/>
          <w:color w:val="auto"/>
        </w:rPr>
        <w:t>Taxes.</w:t>
      </w:r>
    </w:p>
    <w:p>
      <w:pPr>
        <w:spacing w:after="0" w:line="205" w:lineRule="exact"/>
        <w:rPr>
          <w:sz w:val="20"/>
          <w:szCs w:val="20"/>
          <w:color w:val="auto"/>
        </w:rPr>
      </w:pPr>
    </w:p>
    <w:p>
      <w:pPr>
        <w:jc w:val="both"/>
        <w:ind w:left="160" w:right="80" w:firstLine="651"/>
        <w:spacing w:after="0" w:line="235" w:lineRule="auto"/>
        <w:tabs>
          <w:tab w:leader="none" w:pos="148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Borrower and its Subsidiaries shall pay when due all material taxes, fees or other charges of any nature whatsoever (together with any related interest or penalties) now or hereafter imposed or assessed against Borrower, Agent, Lender or the Collateral or upon Borrower’s ownership, possession, use, operation or disposition thereof or upon Borrower’s rents, receipts or earnings arising therefrom (other than Excluded Taxes).</w:t>
      </w:r>
    </w:p>
    <w:p>
      <w:pPr>
        <w:spacing w:after="0" w:line="188" w:lineRule="exact"/>
        <w:rPr>
          <w:rFonts w:ascii="Arial" w:cs="Arial" w:eastAsia="Arial" w:hAnsi="Arial"/>
          <w:sz w:val="22"/>
          <w:szCs w:val="22"/>
          <w:color w:val="auto"/>
        </w:rPr>
      </w:pPr>
    </w:p>
    <w:p>
      <w:pPr>
        <w:ind w:left="160" w:right="40" w:firstLine="651"/>
        <w:spacing w:after="0" w:line="256" w:lineRule="auto"/>
        <w:tabs>
          <w:tab w:leader="none" w:pos="150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Lender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Lender, if reasonably requested by Borrower or Agent, shall deliver such other documentation prescribed by applicable law or reasonably requested by Borrower or Agent as will enable Borrower and Agent to determine whether or not Lender is subject to backup withholding or information reporting requirements. Notwithstanding anything to the contrary in the preceding two sentences, the completion, execution and submission of such documentation (other than Internal Revenue Service Form W-9 or the relevant Internal Revenue Service Form W-8) shall not be required if in Lender’s reasonable judgment such completion, execution or submission would subject Lender to any material unreimbursed cost or expense or would materially prejudice the legal or commercial position of Lender.</w:t>
      </w:r>
    </w:p>
    <w:p>
      <w:pPr>
        <w:spacing w:after="0" w:line="175" w:lineRule="exact"/>
        <w:rPr>
          <w:rFonts w:ascii="Arial" w:cs="Arial" w:eastAsia="Arial" w:hAnsi="Arial"/>
          <w:sz w:val="20"/>
          <w:szCs w:val="20"/>
          <w:color w:val="auto"/>
        </w:rPr>
      </w:pPr>
    </w:p>
    <w:p>
      <w:pPr>
        <w:ind w:left="160" w:right="40" w:firstLine="651"/>
        <w:spacing w:after="0" w:line="235" w:lineRule="auto"/>
        <w:tabs>
          <w:tab w:leader="none" w:pos="148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if a payment made to a Lender would be subject to U.S. federal withholding Tax imposed by FATCA if Lender were to fail to comply with the applicable reporting requirements of FATCA (including those contained in Section 1471(b) or 1472(b) of the Code, as applicable), Lender shall deliver to Borrower and Agent at the time or times prescribed by law and at such time or</w:t>
      </w:r>
    </w:p>
    <w:p>
      <w:pPr>
        <w:spacing w:after="0" w:line="188"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52" w:name="page253"/>
    <w:bookmarkEnd w:id="252"/>
    <w:p>
      <w:pPr>
        <w:ind w:left="160" w:right="100"/>
        <w:spacing w:after="0" w:line="262" w:lineRule="auto"/>
        <w:rPr>
          <w:sz w:val="20"/>
          <w:szCs w:val="20"/>
          <w:color w:val="auto"/>
        </w:rPr>
      </w:pPr>
      <w:r>
        <w:rPr>
          <w:rFonts w:ascii="Arial" w:cs="Arial" w:eastAsia="Arial" w:hAnsi="Arial"/>
          <w:sz w:val="20"/>
          <w:szCs w:val="20"/>
          <w:color w:val="auto"/>
        </w:rPr>
        <w:t>times reasonably requested by Borrower or Agent such documentation prescribed by applicable law (including as prescribed by Section 1471(b)(3)(C)(i) of the Code) and such additional documentation reasonably requested by Borrower or Agent as may be necessary for Borrower and Agent to comply with its obligations under FATCA and to determine that Lender has complied with Lender’s obligations under FATCA or to determine the amount to deduct and withhold from such payment. Solely for purposes of this clause (c), “FATCA” shall include any amendments made to FATCA after the date hereof.</w:t>
      </w:r>
    </w:p>
    <w:p>
      <w:pPr>
        <w:spacing w:after="0" w:line="163" w:lineRule="exact"/>
        <w:rPr>
          <w:sz w:val="20"/>
          <w:szCs w:val="20"/>
          <w:color w:val="auto"/>
        </w:rPr>
      </w:pPr>
    </w:p>
    <w:p>
      <w:pPr>
        <w:ind w:left="160" w:right="140" w:firstLine="651"/>
        <w:spacing w:after="0" w:line="237" w:lineRule="auto"/>
        <w:tabs>
          <w:tab w:leader="none" w:pos="150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Borrower shall file on or before the due date therefor all personal property tax returns in respect of the Collateral. Notwithstanding the foregoing, Borrower may contest, in good faith and by appropriate proceedings, taxes for which Borrower maintains adequate reserves therefor in accordance with GAAP.</w:t>
      </w:r>
    </w:p>
    <w:p>
      <w:pPr>
        <w:spacing w:after="0" w:line="185"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20"/>
          <w:szCs w:val="20"/>
          <w:color w:val="auto"/>
        </w:rPr>
        <w:t>7.11 Corporate Changes. Neither Borrower nor any Subsidiary shall change its corporate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shall be within the continental United States of America. Neither Borrower nor any Qualified Subsidiary shall relocate any item of Collateral (other than (w) Permitted Transfers, (x) movements of Inventory and/or clinical pharmaceutical compounds and/or drugs to, from and between storage depots and clinical sites in the ordinary course of business, (y) relocations of Equipment having an aggregate value of up to Two Hundred Thousand Dollars ($200,000) in any fiscal year, and (z) relocations of Collateral from a location described on Exhibit C to another location described on Exhibit C) unless (i) it has provided prompt written notice to Agent, (ii) such relocation is within the continental United States of America and, (iii) if such relocation is to a third party bailee, and such relocated (x) Collateral (other than clinical pharmaceutical compounds and/or drug) has an aggregate value in excess of Five Hundred Thousand Dollars ($500,000), or (y) clinical pharmaceutical compounds and/or drugs has an aggregate value in excess of One Million Dollars ($1,000,000), it has used its commercially reasonable efforts to deliver a bailee agreement in form and substance reasonably acceptable to Agent.</w:t>
      </w:r>
    </w:p>
    <w:p>
      <w:pPr>
        <w:spacing w:after="0" w:line="182"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7.12 Deposit Accounts. Neither Borrower nor any Qualified Subsidiary shall maintain any Deposit Accounts, or accounts holding Investment Property, except with respect to which Agent has an Account Control Agreement; provided that no Account Control Agreement shall be required for any (i) accounts securing Borrower’s reimbursement obligations under letters of credit permitted under subsections (vi) and (xiv) of Permitted Liens and (ii) Excluded Accounts.</w:t>
      </w:r>
    </w:p>
    <w:p>
      <w:pPr>
        <w:spacing w:after="0" w:line="188" w:lineRule="exact"/>
        <w:rPr>
          <w:sz w:val="20"/>
          <w:szCs w:val="20"/>
          <w:color w:val="auto"/>
        </w:rPr>
      </w:pPr>
    </w:p>
    <w:p>
      <w:pPr>
        <w:jc w:val="both"/>
        <w:ind w:firstLine="646"/>
        <w:spacing w:after="0" w:line="239" w:lineRule="auto"/>
        <w:rPr>
          <w:sz w:val="20"/>
          <w:szCs w:val="20"/>
          <w:color w:val="auto"/>
        </w:rPr>
      </w:pPr>
      <w:r>
        <w:rPr>
          <w:rFonts w:ascii="Arial" w:cs="Arial" w:eastAsia="Arial" w:hAnsi="Arial"/>
          <w:sz w:val="22"/>
          <w:szCs w:val="22"/>
          <w:color w:val="auto"/>
        </w:rPr>
        <w:t>7.13 Subsidiaries. Borrower shall notify Agent of each Subsidiary formed subsequent to the Closing Date and, within twenty (20) days of formation, shall cause any such Qualified Subsidiary to execute and deliver to Agent a Joinder Agreement.</w:t>
      </w:r>
    </w:p>
    <w:p>
      <w:pPr>
        <w:spacing w:after="0" w:line="186"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53" w:name="page254"/>
    <w:bookmarkEnd w:id="253"/>
    <w:p>
      <w:pPr>
        <w:jc w:val="both"/>
        <w:ind w:firstLine="646"/>
        <w:spacing w:after="0" w:line="250" w:lineRule="auto"/>
        <w:rPr>
          <w:sz w:val="20"/>
          <w:szCs w:val="20"/>
          <w:color w:val="auto"/>
        </w:rPr>
      </w:pPr>
      <w:r>
        <w:rPr>
          <w:rFonts w:ascii="Arial" w:cs="Arial" w:eastAsia="Arial" w:hAnsi="Arial"/>
          <w:sz w:val="22"/>
          <w:szCs w:val="22"/>
          <w:color w:val="auto"/>
        </w:rPr>
        <w:t>7.14 Notification of Event of Default. Borrower shall notify Agent immediately of the occurrence of any Event of Default.</w:t>
      </w:r>
    </w:p>
    <w:p>
      <w:pPr>
        <w:spacing w:after="0" w:line="173"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7.15 Liquidity Requirement. Borrower shall at all times maintain in accounts of Borrower that are subject to an Account Control Agreement, unrestricted and unencumbered (other than as a result of this Agreement) Cash in an aggregate amount greater than or equal to the lesser of (a) one hundred twenty-five percent (125%) of the aggregate outstanding Advances and (b) one hundred percent (100%) of all Cash of Borrower maintained in any accounts (other than Cash held in Excluded Accounts) (the “Liquidity Requirement”). In addition to and without limiting the foregoing, if at any time Borrower’s unrestricted and unencumbered Cash maintained in accounts of Borrower that are subject to an Account Control Agreement is less than one hundred twenty-five percent (125%) of the aggregate outstanding Advances, Borrower shall immediately completely liquidate the Excluded Subsidiary and transfer all proceeds of such liquidation to an account in the name of Borrower that is subject to an Account Control Agreement.</w:t>
      </w:r>
    </w:p>
    <w:p>
      <w:pPr>
        <w:spacing w:after="0" w:line="175" w:lineRule="exact"/>
        <w:rPr>
          <w:sz w:val="20"/>
          <w:szCs w:val="20"/>
          <w:color w:val="auto"/>
        </w:rPr>
      </w:pPr>
    </w:p>
    <w:p>
      <w:pPr>
        <w:ind w:right="220" w:firstLine="646"/>
        <w:spacing w:after="0" w:line="268" w:lineRule="auto"/>
        <w:rPr>
          <w:sz w:val="20"/>
          <w:szCs w:val="20"/>
          <w:color w:val="auto"/>
        </w:rPr>
      </w:pPr>
      <w:r>
        <w:rPr>
          <w:rFonts w:ascii="Arial" w:cs="Arial" w:eastAsia="Arial" w:hAnsi="Arial"/>
          <w:sz w:val="20"/>
          <w:szCs w:val="20"/>
          <w:color w:val="auto"/>
        </w:rPr>
        <w:t>7.16 Post-Closing Deliverables. Borrower shall deliver to Agent within thirty (30) Business Days after the Closing Date, endorsements to Borrower’s global master property and liability policies, which endorsements shall name Agent as lender loss payee or additional insured, as applicable and provide that Agent shall receive prior notice of cancellation of such property and liability policies.</w:t>
      </w:r>
    </w:p>
    <w:p>
      <w:pPr>
        <w:spacing w:after="0" w:line="151"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 xml:space="preserve">SECTION 8. </w:t>
      </w:r>
      <w:r>
        <w:rPr>
          <w:rFonts w:ascii="Arial" w:cs="Arial" w:eastAsia="Arial" w:hAnsi="Arial"/>
          <w:sz w:val="22"/>
          <w:szCs w:val="22"/>
          <w:b w:val="1"/>
          <w:bCs w:val="1"/>
          <w:u w:val="single" w:color="auto"/>
          <w:color w:val="auto"/>
        </w:rPr>
        <w:t>[RESERVED]</w:t>
      </w:r>
    </w:p>
    <w:p>
      <w:pPr>
        <w:spacing w:after="0" w:line="205"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 xml:space="preserve">SECTION 9. </w:t>
      </w:r>
      <w:r>
        <w:rPr>
          <w:rFonts w:ascii="Arial" w:cs="Arial" w:eastAsia="Arial" w:hAnsi="Arial"/>
          <w:sz w:val="22"/>
          <w:szCs w:val="22"/>
          <w:b w:val="1"/>
          <w:bCs w:val="1"/>
          <w:u w:val="single" w:color="auto"/>
          <w:color w:val="auto"/>
        </w:rPr>
        <w:t>EVENTS OF DEFAULT</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occurrence of any one or more of the following events shall be an Event of Default:</w:t>
      </w:r>
    </w:p>
    <w:p>
      <w:pPr>
        <w:spacing w:after="0" w:line="205" w:lineRule="exact"/>
        <w:rPr>
          <w:sz w:val="20"/>
          <w:szCs w:val="20"/>
          <w:color w:val="auto"/>
        </w:rPr>
      </w:pPr>
    </w:p>
    <w:p>
      <w:pPr>
        <w:jc w:val="both"/>
        <w:ind w:firstLine="646"/>
        <w:spacing w:after="0" w:line="264" w:lineRule="auto"/>
        <w:rPr>
          <w:sz w:val="20"/>
          <w:szCs w:val="20"/>
          <w:color w:val="auto"/>
        </w:rPr>
      </w:pPr>
      <w:r>
        <w:rPr>
          <w:rFonts w:ascii="Arial" w:cs="Arial" w:eastAsia="Arial" w:hAnsi="Arial"/>
          <w:sz w:val="20"/>
          <w:szCs w:val="20"/>
          <w:color w:val="auto"/>
        </w:rPr>
        <w:t>9.1 Payments. Borrower fails to pay any amount due under this Agreement or any of the other Loan Documents on the due date; provided, however, that an Event of Default shall not occur on account of a failure to pay due solely to an administrative or operational error of Agent or Lender or Borrower’s bank if Borrower had the funds to make the payment when due and makes the payment within three (3) Business Days following Borrower’s knowledge of such failure to pay; or</w:t>
      </w:r>
    </w:p>
    <w:p>
      <w:pPr>
        <w:spacing w:after="0" w:line="162"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9.2 Covenants. Borrower breaches or defaults in the performance of any covenant or Secured Obligation under this Agreement, or any of the other Loan Documents or any other agreement among Borrower, Agent and Lender, and (a) with respect to a default under any covenant under this Agreement (other than under Sections 6 (other than delivery of certificates of insurance pursuant to Section 6.2), 7.4, 7.5, 7.6, 7.7, 7.8, 7.9, 7.14, 7.15, and 7.16 any other Loan Document or any other agreement among Borrower, Agent and Lender, such default continues for more than fifteen (15) days after the earlier of the date on which (i) Agent or Lender has given notice of such default to Borrower and (ii) Borrower has actual knowledge of such default or (b) with respect to a default under any of Sections 6 (other than delivery of certificates of insurance pursuant to Section 6.2), 7.4, 7.5, 7.6, 7.7, 7.8, 7.9, 7.14 7.15, and 7.16 (provided, however for (i) Section 6.2 Borrower fails</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54" w:name="page255"/>
    <w:bookmarkEnd w:id="254"/>
    <w:p>
      <w:pPr>
        <w:ind w:right="620"/>
        <w:spacing w:after="0" w:line="250" w:lineRule="auto"/>
        <w:rPr>
          <w:sz w:val="20"/>
          <w:szCs w:val="20"/>
          <w:color w:val="auto"/>
        </w:rPr>
      </w:pPr>
      <w:r>
        <w:rPr>
          <w:rFonts w:ascii="Arial" w:cs="Arial" w:eastAsia="Arial" w:hAnsi="Arial"/>
          <w:sz w:val="22"/>
          <w:szCs w:val="22"/>
          <w:color w:val="auto"/>
        </w:rPr>
        <w:t>to cure such default within fifteen (15) Business Days, and (ii) Section 7.15, Borrower fails to cure such default within one (1) Business Day), the occurrence of such default; or</w:t>
      </w:r>
    </w:p>
    <w:p>
      <w:pPr>
        <w:spacing w:after="0" w:line="173"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9.3 Material Adverse Effect. A circumstance has occurred that would reasonably be expected to have a Material Adverse Effect; or</w:t>
      </w:r>
    </w:p>
    <w:p>
      <w:pPr>
        <w:spacing w:after="0" w:line="175" w:lineRule="exact"/>
        <w:rPr>
          <w:sz w:val="20"/>
          <w:szCs w:val="20"/>
          <w:color w:val="auto"/>
        </w:rPr>
      </w:pPr>
    </w:p>
    <w:p>
      <w:pPr>
        <w:jc w:val="both"/>
        <w:ind w:firstLine="646"/>
        <w:spacing w:after="0" w:line="298" w:lineRule="auto"/>
        <w:rPr>
          <w:sz w:val="20"/>
          <w:szCs w:val="20"/>
          <w:color w:val="auto"/>
        </w:rPr>
      </w:pPr>
      <w:r>
        <w:rPr>
          <w:rFonts w:ascii="Arial" w:cs="Arial" w:eastAsia="Arial" w:hAnsi="Arial"/>
          <w:sz w:val="20"/>
          <w:szCs w:val="20"/>
          <w:color w:val="auto"/>
        </w:rPr>
        <w:t>9.4 Representations. Any representation or warranty made by Borrower in any Loan Document shall have been false or misleading in any material respect when made or when deemed made; or</w:t>
      </w:r>
    </w:p>
    <w:p>
      <w:pPr>
        <w:spacing w:after="0" w:line="129"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20"/>
          <w:szCs w:val="20"/>
          <w:color w:val="auto"/>
        </w:rPr>
        <w:t>9.5 Insolvency. Borrower (A) (i) shall make an assignment for the benefit of creditors; or (ii) shall be unable to pay its debts as 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operations of its business as its business has normally been conducted, or terminate substantially all of its employees; or (vii) Borrower or the Board or majority shareholders shall take any action initiating any of the foregoing actions described in clauses (i) through (vi); or (B) either (i) forty-five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w:t>
      </w:r>
    </w:p>
    <w:p>
      <w:pPr>
        <w:spacing w:after="0" w:line="1" w:lineRule="exact"/>
        <w:rPr>
          <w:sz w:val="20"/>
          <w:szCs w:val="20"/>
          <w:color w:val="auto"/>
        </w:rPr>
      </w:pPr>
    </w:p>
    <w:p>
      <w:pPr>
        <w:jc w:val="both"/>
        <w:ind w:firstLine="3"/>
        <w:spacing w:after="0" w:line="231" w:lineRule="auto"/>
        <w:tabs>
          <w:tab w:leader="none" w:pos="41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90"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9.6 Attachments; Judgments.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Two Hundred Thousand Dollars ($200,000), or Borrower is enjoined or in any way prevented by court order from conducting any part of its business, and such attachment, seizure, levy, judgment or enjoinment is not, within fifteen (15) days after the occurrence thereof, discharged or stayed (whether through the posting of a bond or otherwise); or</w:t>
      </w:r>
    </w:p>
    <w:p>
      <w:pPr>
        <w:spacing w:after="0" w:line="167"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9.7 Other Obligations. The occurrence of any default under any agreement or obligation of Borrower involving any Indebtedness in excess of Two Hundred Thousand</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55" w:name="page256"/>
    <w:bookmarkEnd w:id="255"/>
    <w:p>
      <w:pPr>
        <w:jc w:val="both"/>
        <w:spacing w:after="0" w:line="250" w:lineRule="auto"/>
        <w:rPr>
          <w:sz w:val="20"/>
          <w:szCs w:val="20"/>
          <w:color w:val="auto"/>
        </w:rPr>
      </w:pPr>
      <w:r>
        <w:rPr>
          <w:rFonts w:ascii="Arial" w:cs="Arial" w:eastAsia="Arial" w:hAnsi="Arial"/>
          <w:sz w:val="22"/>
          <w:szCs w:val="22"/>
          <w:color w:val="auto"/>
        </w:rPr>
        <w:t>Dollars ($200,000), after giving effect to any applicable grace period thereunder, which has resulted in a right by a third party to accelerate the maturity of such Indebtedness.</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 xml:space="preserve">SECTION 10. </w:t>
      </w:r>
      <w:r>
        <w:rPr>
          <w:rFonts w:ascii="Arial" w:cs="Arial" w:eastAsia="Arial" w:hAnsi="Arial"/>
          <w:sz w:val="22"/>
          <w:szCs w:val="22"/>
          <w:b w:val="1"/>
          <w:bCs w:val="1"/>
          <w:u w:val="single" w:color="auto"/>
          <w:color w:val="auto"/>
        </w:rPr>
        <w:t>REMEDIES</w:t>
      </w:r>
    </w:p>
    <w:p>
      <w:pPr>
        <w:spacing w:after="0" w:line="211"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9"/>
          <w:szCs w:val="19"/>
          <w:color w:val="auto"/>
        </w:rPr>
        <w:t>10.1 General. Upon and during the continuance of any one or more Events of Default, (i) Agent may, and at the direction of the Required Lenders shall,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shall automatically be accelerated and made due and payable, in each case without any further notice or act), (ii) Agent may, at its option, sign and file in Borrower’s name any and all collateral assignments, notices, control agreements, security agreements and other documents it deems necessary or appropriate to perfect or protect the repayment of the Secured Obligations, and in furtherance thereof, Borrower hereby grants Agent an irrevocable power of attorney coupled with an interest, and (iii) Agent may notify any of Borrower’s account debtors to make payment directly to Agent, compromise the amount of any such account on Borrower’s behalf and endorse Agent’s name without recourse on any such payment for deposit directly to Agent’s account.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59"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10.2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75" w:lineRule="exact"/>
        <w:rPr>
          <w:sz w:val="20"/>
          <w:szCs w:val="20"/>
          <w:color w:val="auto"/>
        </w:rPr>
      </w:pPr>
    </w:p>
    <w:p>
      <w:pPr>
        <w:jc w:val="both"/>
        <w:ind w:left="820"/>
        <w:spacing w:after="0" w:line="298" w:lineRule="auto"/>
        <w:rPr>
          <w:sz w:val="20"/>
          <w:szCs w:val="20"/>
          <w:color w:val="auto"/>
        </w:rPr>
      </w:pPr>
      <w:r>
        <w:rPr>
          <w:rFonts w:ascii="Arial" w:cs="Arial" w:eastAsia="Arial" w:hAnsi="Arial"/>
          <w:sz w:val="20"/>
          <w:szCs w:val="20"/>
          <w:color w:val="auto"/>
        </w:rPr>
        <w:t>First, to Agent and Lender in an amount sufficient to pay in full Agent’s and Lender’s reasonable costs and professionals’ and advisors’ fees and expenses as described in Section 11.11;</w:t>
      </w:r>
    </w:p>
    <w:p>
      <w:pPr>
        <w:spacing w:after="0" w:line="21" w:lineRule="exact"/>
        <w:rPr>
          <w:sz w:val="20"/>
          <w:szCs w:val="20"/>
          <w:color w:val="auto"/>
        </w:rPr>
      </w:pPr>
    </w:p>
    <w:p>
      <w:pPr>
        <w:jc w:val="both"/>
        <w:ind w:left="820"/>
        <w:spacing w:after="0" w:line="239" w:lineRule="auto"/>
        <w:rPr>
          <w:sz w:val="20"/>
          <w:szCs w:val="20"/>
          <w:color w:val="auto"/>
        </w:rPr>
      </w:pPr>
      <w:r>
        <w:rPr>
          <w:rFonts w:ascii="Arial" w:cs="Arial" w:eastAsia="Arial" w:hAnsi="Arial"/>
          <w:sz w:val="22"/>
          <w:szCs w:val="22"/>
          <w:color w:val="auto"/>
        </w:rPr>
        <w:t>Second, to Lender in an amount equal to the then unpaid amount of the Secured Obligations (including principal, interest, and default rate interest pursuant to Section 2.3), in such order and priority as Agent may choose in its sole discretion; and</w:t>
      </w:r>
    </w:p>
    <w:p>
      <w:pPr>
        <w:spacing w:after="0" w:line="186"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56" w:name="page257"/>
    <w:bookmarkEnd w:id="256"/>
    <w:p>
      <w:pPr>
        <w:jc w:val="both"/>
        <w:ind w:left="1300"/>
        <w:spacing w:after="0" w:line="239" w:lineRule="auto"/>
        <w:rPr>
          <w:sz w:val="20"/>
          <w:szCs w:val="20"/>
          <w:color w:val="auto"/>
        </w:rPr>
      </w:pPr>
      <w:r>
        <w:rPr>
          <w:rFonts w:ascii="Arial" w:cs="Arial" w:eastAsia="Arial" w:hAnsi="Arial"/>
          <w:sz w:val="22"/>
          <w:szCs w:val="22"/>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79"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Agent shall be deemed to have acted reasonably in the custody, preservation and disposition of any of the Collateral if it complies with the obligations of a secured party under the UCC.</w:t>
      </w:r>
    </w:p>
    <w:p>
      <w:pPr>
        <w:spacing w:after="0" w:line="175" w:lineRule="exact"/>
        <w:rPr>
          <w:sz w:val="20"/>
          <w:szCs w:val="20"/>
          <w:color w:val="auto"/>
        </w:rPr>
      </w:pPr>
    </w:p>
    <w:p>
      <w:pPr>
        <w:jc w:val="both"/>
        <w:ind w:left="480" w:firstLine="646"/>
        <w:spacing w:after="0" w:line="239" w:lineRule="auto"/>
        <w:rPr>
          <w:sz w:val="20"/>
          <w:szCs w:val="20"/>
          <w:color w:val="auto"/>
        </w:rPr>
      </w:pPr>
      <w:r>
        <w:rPr>
          <w:rFonts w:ascii="Arial" w:cs="Arial" w:eastAsia="Arial" w:hAnsi="Arial"/>
          <w:sz w:val="22"/>
          <w:szCs w:val="22"/>
          <w:color w:val="auto"/>
        </w:rPr>
        <w:t>10.3 No Waiver. Agent shall be under no obligation to marshal any of the Collateral for the benefit of Borrower or any other Person, and Borrower expressly waives all rights, if any, to require Agent to marshal any Collateral.</w:t>
      </w:r>
    </w:p>
    <w:p>
      <w:pPr>
        <w:spacing w:after="0" w:line="186" w:lineRule="exact"/>
        <w:rPr>
          <w:sz w:val="20"/>
          <w:szCs w:val="20"/>
          <w:color w:val="auto"/>
        </w:rPr>
      </w:pPr>
    </w:p>
    <w:p>
      <w:pPr>
        <w:jc w:val="both"/>
        <w:ind w:left="480" w:firstLine="646"/>
        <w:spacing w:after="0" w:line="268" w:lineRule="auto"/>
        <w:rPr>
          <w:sz w:val="20"/>
          <w:szCs w:val="20"/>
          <w:color w:val="auto"/>
        </w:rPr>
      </w:pPr>
      <w:r>
        <w:rPr>
          <w:rFonts w:ascii="Arial" w:cs="Arial" w:eastAsia="Arial" w:hAnsi="Arial"/>
          <w:sz w:val="20"/>
          <w:szCs w:val="20"/>
          <w:color w:val="auto"/>
        </w:rPr>
        <w:t>10.4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51"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b w:val="1"/>
          <w:bCs w:val="1"/>
          <w:u w:val="single" w:color="auto"/>
          <w:color w:val="auto"/>
        </w:rPr>
        <w:t>MISCELLANEOUS</w:t>
      </w:r>
    </w:p>
    <w:p>
      <w:pPr>
        <w:spacing w:after="0" w:line="211" w:lineRule="exact"/>
        <w:rPr>
          <w:sz w:val="20"/>
          <w:szCs w:val="20"/>
          <w:color w:val="auto"/>
        </w:rPr>
      </w:pPr>
    </w:p>
    <w:p>
      <w:pPr>
        <w:jc w:val="both"/>
        <w:ind w:left="480" w:firstLine="646"/>
        <w:spacing w:after="0" w:line="235" w:lineRule="auto"/>
        <w:rPr>
          <w:sz w:val="20"/>
          <w:szCs w:val="20"/>
          <w:color w:val="auto"/>
        </w:rPr>
      </w:pPr>
      <w:r>
        <w:rPr>
          <w:rFonts w:ascii="Arial" w:cs="Arial" w:eastAsia="Arial" w:hAnsi="Arial"/>
          <w:sz w:val="22"/>
          <w:szCs w:val="22"/>
          <w:color w:val="auto"/>
        </w:rPr>
        <w:t>11.1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88" w:lineRule="exact"/>
        <w:rPr>
          <w:sz w:val="20"/>
          <w:szCs w:val="20"/>
          <w:color w:val="auto"/>
        </w:rPr>
      </w:pPr>
    </w:p>
    <w:p>
      <w:pPr>
        <w:jc w:val="both"/>
        <w:ind w:left="480" w:firstLine="646"/>
        <w:spacing w:after="0" w:line="259" w:lineRule="auto"/>
        <w:rPr>
          <w:sz w:val="20"/>
          <w:szCs w:val="20"/>
          <w:color w:val="auto"/>
        </w:rPr>
      </w:pPr>
      <w:r>
        <w:rPr>
          <w:rFonts w:ascii="Arial" w:cs="Arial" w:eastAsia="Arial" w:hAnsi="Arial"/>
          <w:sz w:val="20"/>
          <w:szCs w:val="20"/>
          <w:color w:val="auto"/>
        </w:rPr>
        <w:t>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68" w:lineRule="exact"/>
        <w:rPr>
          <w:sz w:val="20"/>
          <w:szCs w:val="20"/>
          <w:color w:val="auto"/>
        </w:rPr>
      </w:pPr>
    </w:p>
    <w:p>
      <w:pPr>
        <w:ind w:left="1980" w:hanging="689"/>
        <w:spacing w:after="0"/>
        <w:tabs>
          <w:tab w:leader="none" w:pos="19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If to Agent:</w:t>
      </w:r>
    </w:p>
    <w:p>
      <w:pPr>
        <w:spacing w:after="0" w:line="205"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HERCULES CAPITAL, INC.</w:t>
      </w:r>
    </w:p>
    <w:p>
      <w:pPr>
        <w:ind w:left="1940"/>
        <w:spacing w:after="0" w:line="236" w:lineRule="auto"/>
        <w:rPr>
          <w:sz w:val="20"/>
          <w:szCs w:val="20"/>
          <w:color w:val="auto"/>
        </w:rPr>
      </w:pPr>
      <w:r>
        <w:rPr>
          <w:rFonts w:ascii="Arial" w:cs="Arial" w:eastAsia="Arial" w:hAnsi="Arial"/>
          <w:sz w:val="22"/>
          <w:szCs w:val="22"/>
          <w:color w:val="auto"/>
        </w:rPr>
        <w:t>Legal Department</w:t>
      </w:r>
    </w:p>
    <w:p>
      <w:pPr>
        <w:ind w:left="1940"/>
        <w:spacing w:after="0" w:line="230" w:lineRule="auto"/>
        <w:rPr>
          <w:sz w:val="20"/>
          <w:szCs w:val="20"/>
          <w:color w:val="auto"/>
        </w:rPr>
      </w:pPr>
      <w:r>
        <w:rPr>
          <w:rFonts w:ascii="Arial" w:cs="Arial" w:eastAsia="Arial" w:hAnsi="Arial"/>
          <w:sz w:val="22"/>
          <w:szCs w:val="22"/>
          <w:color w:val="auto"/>
        </w:rPr>
        <w:t>Attention: Chief Legal Officer</w:t>
      </w:r>
    </w:p>
    <w:p>
      <w:pPr>
        <w:ind w:left="1940"/>
        <w:spacing w:after="0" w:line="230" w:lineRule="auto"/>
        <w:rPr>
          <w:sz w:val="20"/>
          <w:szCs w:val="20"/>
          <w:color w:val="auto"/>
        </w:rPr>
      </w:pPr>
      <w:r>
        <w:rPr>
          <w:rFonts w:ascii="Arial" w:cs="Arial" w:eastAsia="Arial" w:hAnsi="Arial"/>
          <w:sz w:val="22"/>
          <w:szCs w:val="22"/>
          <w:color w:val="auto"/>
        </w:rPr>
        <w:t>400 Hamilton Avenue, Suite 310</w:t>
      </w:r>
    </w:p>
    <w:p>
      <w:pPr>
        <w:ind w:left="1940"/>
        <w:spacing w:after="0" w:line="230" w:lineRule="auto"/>
        <w:rPr>
          <w:sz w:val="20"/>
          <w:szCs w:val="20"/>
          <w:color w:val="auto"/>
        </w:rPr>
      </w:pPr>
      <w:r>
        <w:rPr>
          <w:rFonts w:ascii="Arial" w:cs="Arial" w:eastAsia="Arial" w:hAnsi="Arial"/>
          <w:sz w:val="22"/>
          <w:szCs w:val="22"/>
          <w:color w:val="auto"/>
        </w:rPr>
        <w:t>Palo Alto, CA 94301</w:t>
      </w:r>
    </w:p>
    <w:p>
      <w:pPr>
        <w:ind w:left="1940"/>
        <w:spacing w:after="0" w:line="230" w:lineRule="auto"/>
        <w:rPr>
          <w:sz w:val="20"/>
          <w:szCs w:val="20"/>
          <w:color w:val="auto"/>
        </w:rPr>
      </w:pPr>
      <w:r>
        <w:rPr>
          <w:rFonts w:ascii="Arial" w:cs="Arial" w:eastAsia="Arial" w:hAnsi="Arial"/>
          <w:sz w:val="22"/>
          <w:szCs w:val="22"/>
          <w:color w:val="auto"/>
        </w:rPr>
        <w:t>email: legal@herculestech.com</w:t>
      </w:r>
    </w:p>
    <w:p>
      <w:pPr>
        <w:ind w:left="1940"/>
        <w:spacing w:after="0"/>
        <w:rPr>
          <w:sz w:val="20"/>
          <w:szCs w:val="20"/>
          <w:color w:val="auto"/>
        </w:rPr>
      </w:pPr>
      <w:r>
        <w:rPr>
          <w:rFonts w:ascii="Arial" w:cs="Arial" w:eastAsia="Arial" w:hAnsi="Arial"/>
          <w:sz w:val="22"/>
          <w:szCs w:val="22"/>
          <w:color w:val="auto"/>
        </w:rPr>
        <w:t>Telephone: 650-289-3060</w:t>
      </w:r>
    </w:p>
    <w:p>
      <w:pPr>
        <w:spacing w:after="0" w:line="187" w:lineRule="exact"/>
        <w:rPr>
          <w:sz w:val="20"/>
          <w:szCs w:val="20"/>
          <w:color w:val="auto"/>
        </w:rPr>
      </w:pPr>
    </w:p>
    <w:p>
      <w:pPr>
        <w:ind w:left="1980" w:hanging="689"/>
        <w:spacing w:after="0"/>
        <w:tabs>
          <w:tab w:leader="none" w:pos="19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If to Lender: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257" w:name="page258"/>
    <w:bookmarkEnd w:id="257"/>
    <w:p>
      <w:pPr>
        <w:ind w:left="1420"/>
        <w:spacing w:after="0"/>
        <w:rPr>
          <w:sz w:val="20"/>
          <w:szCs w:val="20"/>
          <w:color w:val="auto"/>
        </w:rPr>
      </w:pPr>
      <w:r>
        <w:rPr>
          <w:rFonts w:ascii="Arial" w:cs="Arial" w:eastAsia="Arial" w:hAnsi="Arial"/>
          <w:sz w:val="22"/>
          <w:szCs w:val="22"/>
          <w:color w:val="auto"/>
        </w:rPr>
        <w:t>HERCULES CAPITAL, INC.</w:t>
      </w:r>
    </w:p>
    <w:p>
      <w:pPr>
        <w:ind w:left="1420"/>
        <w:spacing w:after="0" w:line="237" w:lineRule="auto"/>
        <w:rPr>
          <w:sz w:val="20"/>
          <w:szCs w:val="20"/>
          <w:color w:val="auto"/>
        </w:rPr>
      </w:pPr>
      <w:r>
        <w:rPr>
          <w:rFonts w:ascii="Arial" w:cs="Arial" w:eastAsia="Arial" w:hAnsi="Arial"/>
          <w:sz w:val="22"/>
          <w:szCs w:val="22"/>
          <w:color w:val="auto"/>
        </w:rPr>
        <w:t>Legal Department</w:t>
      </w:r>
    </w:p>
    <w:p>
      <w:pPr>
        <w:ind w:left="1420"/>
        <w:spacing w:after="0" w:line="230" w:lineRule="auto"/>
        <w:rPr>
          <w:sz w:val="20"/>
          <w:szCs w:val="20"/>
          <w:color w:val="auto"/>
        </w:rPr>
      </w:pPr>
      <w:r>
        <w:rPr>
          <w:rFonts w:ascii="Arial" w:cs="Arial" w:eastAsia="Arial" w:hAnsi="Arial"/>
          <w:sz w:val="22"/>
          <w:szCs w:val="22"/>
          <w:color w:val="auto"/>
        </w:rPr>
        <w:t>Attention: Chief Legal Officer</w:t>
      </w:r>
    </w:p>
    <w:p>
      <w:pPr>
        <w:ind w:left="1420"/>
        <w:spacing w:after="0" w:line="229" w:lineRule="auto"/>
        <w:rPr>
          <w:sz w:val="20"/>
          <w:szCs w:val="20"/>
          <w:color w:val="auto"/>
        </w:rPr>
      </w:pPr>
      <w:r>
        <w:rPr>
          <w:rFonts w:ascii="Arial" w:cs="Arial" w:eastAsia="Arial" w:hAnsi="Arial"/>
          <w:sz w:val="22"/>
          <w:szCs w:val="22"/>
          <w:color w:val="auto"/>
        </w:rPr>
        <w:t>400 Hamilton Avenue, Suite 310</w:t>
      </w:r>
    </w:p>
    <w:p>
      <w:pPr>
        <w:ind w:left="1420"/>
        <w:spacing w:after="0" w:line="230" w:lineRule="auto"/>
        <w:rPr>
          <w:sz w:val="20"/>
          <w:szCs w:val="20"/>
          <w:color w:val="auto"/>
        </w:rPr>
      </w:pPr>
      <w:r>
        <w:rPr>
          <w:rFonts w:ascii="Arial" w:cs="Arial" w:eastAsia="Arial" w:hAnsi="Arial"/>
          <w:sz w:val="22"/>
          <w:szCs w:val="22"/>
          <w:color w:val="auto"/>
        </w:rPr>
        <w:t>Palo Alto, CA 94301</w:t>
      </w:r>
    </w:p>
    <w:p>
      <w:pPr>
        <w:ind w:left="1420"/>
        <w:spacing w:after="0" w:line="230" w:lineRule="auto"/>
        <w:rPr>
          <w:sz w:val="20"/>
          <w:szCs w:val="20"/>
          <w:color w:val="auto"/>
        </w:rPr>
      </w:pPr>
      <w:r>
        <w:rPr>
          <w:rFonts w:ascii="Arial" w:cs="Arial" w:eastAsia="Arial" w:hAnsi="Arial"/>
          <w:sz w:val="22"/>
          <w:szCs w:val="22"/>
          <w:color w:val="auto"/>
        </w:rPr>
        <w:t>email: legal@herculestech.com</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Telephone: 650-289-3060</w:t>
      </w:r>
    </w:p>
    <w:p>
      <w:pPr>
        <w:spacing w:after="0" w:line="187" w:lineRule="exact"/>
        <w:rPr>
          <w:sz w:val="20"/>
          <w:szCs w:val="20"/>
          <w:color w:val="auto"/>
        </w:rPr>
      </w:pPr>
    </w:p>
    <w:p>
      <w:pPr>
        <w:ind w:left="1460" w:hanging="689"/>
        <w:spacing w:after="0"/>
        <w:tabs>
          <w:tab w:leader="none" w:pos="14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If to Borrower:</w:t>
      </w:r>
    </w:p>
    <w:p>
      <w:pPr>
        <w:spacing w:after="0" w:line="204" w:lineRule="exact"/>
        <w:rPr>
          <w:rFonts w:ascii="Arial" w:cs="Arial" w:eastAsia="Arial" w:hAnsi="Arial"/>
          <w:sz w:val="22"/>
          <w:szCs w:val="22"/>
          <w:color w:val="auto"/>
        </w:rPr>
      </w:pPr>
    </w:p>
    <w:p>
      <w:pPr>
        <w:ind w:left="1420"/>
        <w:spacing w:after="0"/>
        <w:rPr>
          <w:rFonts w:ascii="Arial" w:cs="Arial" w:eastAsia="Arial" w:hAnsi="Arial"/>
          <w:sz w:val="22"/>
          <w:szCs w:val="22"/>
          <w:color w:val="auto"/>
        </w:rPr>
      </w:pPr>
      <w:r>
        <w:rPr>
          <w:rFonts w:ascii="Arial" w:cs="Arial" w:eastAsia="Arial" w:hAnsi="Arial"/>
          <w:sz w:val="22"/>
          <w:szCs w:val="22"/>
          <w:color w:val="auto"/>
        </w:rPr>
        <w:t>VERASTEM, INC.</w:t>
      </w:r>
    </w:p>
    <w:p>
      <w:pPr>
        <w:spacing w:after="0" w:line="20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Attention: Joseph Chiapponi</w:t>
      </w:r>
    </w:p>
    <w:p>
      <w:pPr>
        <w:ind w:left="1420"/>
        <w:spacing w:after="0" w:line="236" w:lineRule="auto"/>
        <w:rPr>
          <w:sz w:val="20"/>
          <w:szCs w:val="20"/>
          <w:color w:val="auto"/>
        </w:rPr>
      </w:pPr>
      <w:r>
        <w:rPr>
          <w:rFonts w:ascii="Arial" w:cs="Arial" w:eastAsia="Arial" w:hAnsi="Arial"/>
          <w:sz w:val="22"/>
          <w:szCs w:val="22"/>
          <w:color w:val="auto"/>
        </w:rPr>
        <w:t>117 Kendrick Street, Suite 500</w:t>
      </w:r>
    </w:p>
    <w:p>
      <w:pPr>
        <w:ind w:left="1420"/>
        <w:spacing w:after="0" w:line="230" w:lineRule="auto"/>
        <w:rPr>
          <w:sz w:val="20"/>
          <w:szCs w:val="20"/>
          <w:color w:val="auto"/>
        </w:rPr>
      </w:pPr>
      <w:r>
        <w:rPr>
          <w:rFonts w:ascii="Arial" w:cs="Arial" w:eastAsia="Arial" w:hAnsi="Arial"/>
          <w:sz w:val="22"/>
          <w:szCs w:val="22"/>
          <w:color w:val="auto"/>
        </w:rPr>
        <w:t>Needham, MA 02494</w:t>
      </w:r>
    </w:p>
    <w:p>
      <w:pPr>
        <w:ind w:left="1420"/>
        <w:spacing w:after="0" w:line="230" w:lineRule="auto"/>
        <w:rPr>
          <w:sz w:val="20"/>
          <w:szCs w:val="20"/>
          <w:color w:val="auto"/>
        </w:rPr>
      </w:pPr>
      <w:r>
        <w:rPr>
          <w:rFonts w:ascii="Arial" w:cs="Arial" w:eastAsia="Arial" w:hAnsi="Arial"/>
          <w:sz w:val="22"/>
          <w:szCs w:val="22"/>
          <w:color w:val="auto"/>
        </w:rPr>
        <w:t>email: jchiapponi@verastem.com</w:t>
      </w:r>
    </w:p>
    <w:p>
      <w:pPr>
        <w:ind w:left="1420"/>
        <w:spacing w:after="0"/>
        <w:rPr>
          <w:sz w:val="20"/>
          <w:szCs w:val="20"/>
          <w:color w:val="auto"/>
        </w:rPr>
      </w:pPr>
      <w:r>
        <w:rPr>
          <w:rFonts w:ascii="Arial" w:cs="Arial" w:eastAsia="Arial" w:hAnsi="Arial"/>
          <w:sz w:val="22"/>
          <w:szCs w:val="22"/>
          <w:color w:val="auto"/>
        </w:rPr>
        <w:t>Telephone: (781) 292-4213</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or to such other address as each party may designate for itself by like notice.</w:t>
      </w:r>
    </w:p>
    <w:p>
      <w:pPr>
        <w:spacing w:after="0" w:line="97"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Entire Agreement; Amendments.</w:t>
      </w:r>
    </w:p>
    <w:p>
      <w:pPr>
        <w:spacing w:after="0" w:line="205" w:lineRule="exact"/>
        <w:rPr>
          <w:sz w:val="20"/>
          <w:szCs w:val="20"/>
          <w:color w:val="auto"/>
        </w:rPr>
      </w:pPr>
    </w:p>
    <w:p>
      <w:pPr>
        <w:jc w:val="both"/>
        <w:ind w:left="120" w:firstLine="651"/>
        <w:spacing w:after="0" w:line="264" w:lineRule="auto"/>
        <w:tabs>
          <w:tab w:leader="none" w:pos="1449"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December 2, 2016).</w:t>
      </w:r>
    </w:p>
    <w:p>
      <w:pPr>
        <w:spacing w:after="0" w:line="161" w:lineRule="exact"/>
        <w:rPr>
          <w:rFonts w:ascii="Arial" w:cs="Arial" w:eastAsia="Arial" w:hAnsi="Arial"/>
          <w:sz w:val="20"/>
          <w:szCs w:val="20"/>
          <w:color w:val="auto"/>
        </w:rPr>
      </w:pPr>
    </w:p>
    <w:p>
      <w:pPr>
        <w:jc w:val="both"/>
        <w:ind w:left="120" w:firstLine="651"/>
        <w:spacing w:after="0" w:line="255" w:lineRule="auto"/>
        <w:tabs>
          <w:tab w:leader="none" w:pos="1461"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Neither this Agreement, any other Loan Document, nor any terms hereof or thereof may be amended,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Advance,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w:t>
      </w:r>
    </w:p>
    <w:p>
      <w:pPr>
        <w:spacing w:after="0" w:line="1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143510</wp:posOffset>
            </wp:positionV>
            <wp:extent cx="639254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40"/>
          </w:cols>
          <w:pgMar w:left="1440" w:top="118" w:right="919" w:bottom="1440" w:gutter="0" w:footer="0" w:header="0"/>
        </w:sectPr>
      </w:pPr>
    </w:p>
    <w:bookmarkStart w:id="258" w:name="page259"/>
    <w:bookmarkEnd w:id="258"/>
    <w:p>
      <w:pPr>
        <w:jc w:val="both"/>
        <w:ind w:left="160"/>
        <w:spacing w:after="0" w:line="278" w:lineRule="auto"/>
        <w:rPr>
          <w:sz w:val="20"/>
          <w:szCs w:val="20"/>
          <w:color w:val="auto"/>
        </w:rPr>
      </w:pPr>
      <w:r>
        <w:rPr>
          <w:rFonts w:ascii="Arial" w:cs="Arial" w:eastAsia="Arial" w:hAnsi="Arial"/>
          <w:sz w:val="19"/>
          <w:szCs w:val="19"/>
          <w:color w:val="auto"/>
        </w:rPr>
        <w:t>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11.17 without the written consent of the Agent. Any such waiver and any such amendment, supplement or modification shall apply equally to each Lender and shall be binding upon Borrower, the Lender, the Agent and all future holders of the Loans.</w:t>
      </w:r>
    </w:p>
    <w:p>
      <w:pPr>
        <w:spacing w:after="0" w:line="151" w:lineRule="exact"/>
        <w:rPr>
          <w:sz w:val="20"/>
          <w:szCs w:val="20"/>
          <w:color w:val="auto"/>
        </w:rPr>
      </w:pPr>
    </w:p>
    <w:p>
      <w:pPr>
        <w:jc w:val="both"/>
        <w:ind w:firstLine="646"/>
        <w:spacing w:after="0" w:line="286" w:lineRule="auto"/>
        <w:rPr>
          <w:sz w:val="20"/>
          <w:szCs w:val="20"/>
          <w:color w:val="auto"/>
        </w:rPr>
      </w:pPr>
      <w:r>
        <w:rPr>
          <w:rFonts w:ascii="Arial" w:cs="Arial" w:eastAsia="Arial" w:hAnsi="Arial"/>
          <w:sz w:val="19"/>
          <w:szCs w:val="19"/>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43"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20"/>
          <w:szCs w:val="20"/>
          <w:color w:val="auto"/>
        </w:rPr>
        <w:t>11.5 No Waiver. The powers conferred upon Agent and Lender by this Agreement are solely to protect its rights hereunder and under the other Loan Documents and its interest in the Collateral and shall not impose any duty upon Agent or Lender to exercise any such powers. No omission or delay by Agent or Lender at any time to enforce any right or remedy reserved to it, or to require performance of any of the terms, covenants or provisions hereof by Borrower at any time designated, shall be a waiver of any such right or remedy to which Agent or Lender is entitled, nor shall it in any way affect the right of Agent or Lender to enforce such provisions thereafter.</w:t>
      </w:r>
    </w:p>
    <w:p>
      <w:pPr>
        <w:spacing w:after="0" w:line="167"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11.6 Survival. All agreements, representations and warranties contained in this Agreement and the other Loan Documents or in any document delivered pursuant hereto or thereto shall be for the benefit of Agent and Lender and shall survive the execution and delivery of this Agreement. Sections 6.3 and 8.1 shall survive the termination of this Agreement.</w:t>
      </w:r>
    </w:p>
    <w:p>
      <w:pPr>
        <w:spacing w:after="0" w:line="185"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8"/>
          <w:szCs w:val="18"/>
          <w:color w:val="auto"/>
        </w:rPr>
        <w:t>Successors and Assigns.</w:t>
      </w:r>
    </w:p>
    <w:p>
      <w:pPr>
        <w:spacing w:after="0" w:line="205" w:lineRule="exact"/>
        <w:rPr>
          <w:sz w:val="20"/>
          <w:szCs w:val="20"/>
          <w:color w:val="auto"/>
        </w:rPr>
      </w:pPr>
    </w:p>
    <w:p>
      <w:pPr>
        <w:ind w:left="160" w:firstLine="651"/>
        <w:spacing w:after="0" w:line="257" w:lineRule="auto"/>
        <w:tabs>
          <w:tab w:leader="none" w:pos="1489"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Lender may assign, transfer, or endorse its rights hereunder and under the other Loan Documents without prior notice to Borrower, and all of such rights shall inure to the benefit of Agent’s and Lender’s successors and assigns; provided that as long as no Event of Default has occurred and is continuing, neither Agent nor any Lender may assign, transfer or endorse its rights hereunder or under the Loan Documents to any party that is a direct competitor of Borrower (as reasonably determined by Agent), it being acknowledged that in all cases, any transfer to an Affiliate of any Lender or Agent shall be allowed.</w:t>
      </w:r>
    </w:p>
    <w:p>
      <w:pPr>
        <w:spacing w:after="0" w:line="175" w:lineRule="exact"/>
        <w:rPr>
          <w:rFonts w:ascii="Arial" w:cs="Arial" w:eastAsia="Arial" w:hAnsi="Arial"/>
          <w:sz w:val="20"/>
          <w:szCs w:val="20"/>
          <w:color w:val="auto"/>
        </w:rPr>
      </w:pPr>
    </w:p>
    <w:p>
      <w:pPr>
        <w:ind w:left="160" w:right="180" w:firstLine="651"/>
        <w:spacing w:after="0" w:line="249" w:lineRule="auto"/>
        <w:tabs>
          <w:tab w:leader="none" w:pos="150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Agent, acting solely for this purpose as an agent of the Borrower, shall maintain a copy of each assignment and assumption delivered to it and a register for</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59" w:name="page260"/>
    <w:bookmarkEnd w:id="259"/>
    <w:p>
      <w:pPr>
        <w:ind w:left="160" w:right="60"/>
        <w:spacing w:after="0" w:line="260" w:lineRule="auto"/>
        <w:rPr>
          <w:sz w:val="20"/>
          <w:szCs w:val="20"/>
          <w:color w:val="auto"/>
        </w:rPr>
      </w:pPr>
      <w:r>
        <w:rPr>
          <w:rFonts w:ascii="Arial" w:cs="Arial" w:eastAsia="Arial" w:hAnsi="Arial"/>
          <w:sz w:val="20"/>
          <w:szCs w:val="20"/>
          <w:color w:val="auto"/>
        </w:rPr>
        <w:t>the recordation of the names and addresses of the Lender, and the commitments of, and principal amounts (and stated interest) of the Term Loans owing to, each Lender pursuant to the terms hereof from time to time (the “Register”). The entries in the Register shall be conclusive absent manifest error, and the Borrower, the Agent and the Lender shall treat each Person whose name is recorded in the Register pursuant to the terms hereof as a Lender hereunder for all purposes of the Loan Documents. The Register shall be available for inspection by the Borrower and any Lender, at any reasonable time and from time to time upon reasonable prior notice.</w:t>
      </w:r>
    </w:p>
    <w:p>
      <w:pPr>
        <w:spacing w:after="0" w:line="168" w:lineRule="exact"/>
        <w:rPr>
          <w:sz w:val="20"/>
          <w:szCs w:val="20"/>
          <w:color w:val="auto"/>
        </w:rPr>
      </w:pPr>
    </w:p>
    <w:p>
      <w:pPr>
        <w:jc w:val="both"/>
        <w:ind w:firstLine="646"/>
        <w:spacing w:after="0" w:line="261" w:lineRule="auto"/>
        <w:rPr>
          <w:sz w:val="20"/>
          <w:szCs w:val="20"/>
          <w:color w:val="auto"/>
        </w:rPr>
      </w:pPr>
      <w:r>
        <w:rPr>
          <w:rFonts w:ascii="Arial" w:cs="Arial" w:eastAsia="Arial" w:hAnsi="Arial"/>
          <w:sz w:val="20"/>
          <w:szCs w:val="20"/>
          <w:color w:val="auto"/>
        </w:rPr>
        <w:t>11.8 Governing Law. This Agreement and the other Loan Documents have been negotiated and delivered to Agent and Lender in the State of California, and shall have been accepted by Agent and Lender in the State of California. Payment to Agent and Lender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68"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9"/>
          <w:szCs w:val="19"/>
          <w:color w:val="auto"/>
        </w:rPr>
        <w:t>11.9 Consent to Jurisdiction and Venue. All judicial proceedings (to the extent that the reference requirement of Section 11.10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62"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Mutual Waiver of Jury Trial / Judicial Reference.</w:t>
      </w:r>
    </w:p>
    <w:p>
      <w:pPr>
        <w:spacing w:after="0" w:line="205" w:lineRule="exact"/>
        <w:rPr>
          <w:sz w:val="20"/>
          <w:szCs w:val="20"/>
          <w:color w:val="auto"/>
        </w:rPr>
      </w:pPr>
    </w:p>
    <w:p>
      <w:pPr>
        <w:jc w:val="both"/>
        <w:ind w:left="160" w:firstLine="651"/>
        <w:spacing w:after="0" w:line="272" w:lineRule="auto"/>
        <w:tabs>
          <w:tab w:leader="none" w:pos="148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LENDER SPECIFICALLY WAIVES ANY RIGHT IT MAY HAVE TO TRIAL BY JURY OF ANY CAUSE OF ACTION, CLAIM, CROSS-CLAIM, COUNTERCLAIM, THIRD PARTY CLAIM OR ANY OTHER CLAIM (COLLECTIVELY, “CLAIMS”) ASSERTED BY BORROWER AGAINST AGENT, LENDER OR THEIR RESPECTIVE ASSIGNEE OR BY AGENT, LENDER OR THEIR RESPECTIVE ASSIGNEE AGAINST BORROWER. This waiver extends to all such Claims, including Claims that involve Persons other than Agent, Borrower and Lender; Claims that arise out of or are in any way connected to the relationship among</w:t>
      </w:r>
    </w:p>
    <w:p>
      <w:pPr>
        <w:spacing w:after="0" w:line="162"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60" w:name="page261"/>
    <w:bookmarkEnd w:id="260"/>
    <w:p>
      <w:pPr>
        <w:ind w:left="160"/>
        <w:spacing w:after="0" w:line="299" w:lineRule="auto"/>
        <w:rPr>
          <w:sz w:val="20"/>
          <w:szCs w:val="20"/>
          <w:color w:val="auto"/>
        </w:rPr>
      </w:pPr>
      <w:r>
        <w:rPr>
          <w:rFonts w:ascii="Arial" w:cs="Arial" w:eastAsia="Arial" w:hAnsi="Arial"/>
          <w:sz w:val="20"/>
          <w:szCs w:val="20"/>
          <w:color w:val="auto"/>
        </w:rPr>
        <w:t>Borrower, Agent and Lender; and any Claims for damages, breach of contract, tort, specific performance, or any equitable or legal relief of any kind, arising out of this Agreement, any other Loan Document.</w:t>
      </w:r>
    </w:p>
    <w:p>
      <w:pPr>
        <w:spacing w:after="0" w:line="127" w:lineRule="exact"/>
        <w:rPr>
          <w:sz w:val="20"/>
          <w:szCs w:val="20"/>
          <w:color w:val="auto"/>
        </w:rPr>
      </w:pPr>
    </w:p>
    <w:p>
      <w:pPr>
        <w:jc w:val="both"/>
        <w:ind w:left="160" w:firstLine="651"/>
        <w:spacing w:after="0" w:line="234" w:lineRule="auto"/>
        <w:tabs>
          <w:tab w:leader="none" w:pos="150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If the waiver of jury trial set forth in Section 11.10(a)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88" w:lineRule="exact"/>
        <w:rPr>
          <w:rFonts w:ascii="Arial" w:cs="Arial" w:eastAsia="Arial" w:hAnsi="Arial"/>
          <w:sz w:val="22"/>
          <w:szCs w:val="22"/>
          <w:color w:val="auto"/>
        </w:rPr>
      </w:pPr>
    </w:p>
    <w:p>
      <w:pPr>
        <w:jc w:val="both"/>
        <w:ind w:left="160" w:firstLine="651"/>
        <w:spacing w:after="0" w:line="237" w:lineRule="auto"/>
        <w:tabs>
          <w:tab w:leader="none" w:pos="148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the event Claims are to be resolved by judicial reference, either party may seek from a court identified in Section 11.9, any prejudgment order, writ or other relief and have such prejudgment order, writ or other relief enforced to the fullest extent permitted by law notwithstanding that all Claims are otherwise subject to resolution by judicial reference.</w:t>
      </w:r>
    </w:p>
    <w:p>
      <w:pPr>
        <w:spacing w:after="0" w:line="185"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0"/>
          <w:szCs w:val="20"/>
          <w:color w:val="auto"/>
        </w:rPr>
        <w:t>11.11 Professional Fees. Borrower promises to pay Agent’s and Lender’s reasonable and documented out-of-pocket fees and expenses necessary to finalize the loan documentation, including but not limited to reasonable attorneys fees, UCC searches, filing costs, and other miscellaneous expenses. In addition, Borrower promises to pay any and all reasonable attorneys’ and other professionals’ fees and expenses incurred by Agent and Lender after the Closing Date in connection with or related to: (a) the Loan;</w:t>
      </w:r>
    </w:p>
    <w:p>
      <w:pPr>
        <w:spacing w:after="0" w:line="3" w:lineRule="exact"/>
        <w:rPr>
          <w:sz w:val="20"/>
          <w:szCs w:val="20"/>
          <w:color w:val="auto"/>
        </w:rPr>
      </w:pPr>
    </w:p>
    <w:p>
      <w:pPr>
        <w:jc w:val="both"/>
        <w:ind w:firstLine="3"/>
        <w:spacing w:after="0" w:line="256" w:lineRule="auto"/>
        <w:tabs>
          <w:tab w:leader="none" w:pos="31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Lender in any adversary proceeding or contested matter commenced or continued by or on behalf of Borrower’s estate, and any appeal or review thereof.</w:t>
      </w:r>
    </w:p>
    <w:p>
      <w:pPr>
        <w:spacing w:after="0" w:line="170"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11.12 Confidentiality. Agent and Lender acknowledge that certain items of Collateral and information provided to Agent and Lender by Borrower or any Subsidiary are confidential and proprietary information of Borrower or such Subsidiary, if and to the extent such information either (x) is marked as confidential by Borrower or any Subsidiary at the time of disclosure, or (y) should reasonably be understood to be confidential (the “Confidential Information”). Accordingly, Agent and Lender agree that any Confidential Information it may obtain shall not be disclosed to any other Person or entity in any manner whatsoever, in whole or in part, without the prior written consent of Borrower, except that Agent and Lender may disclose any such information: (a) to its own directors, officers, employees, accountants, counsel and other professional advisors and to its Affiliates if Agent or Lender in their sole but reasonable discretion determines that any such party should have</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61" w:name="page262"/>
    <w:bookmarkEnd w:id="261"/>
    <w:p>
      <w:pPr>
        <w:jc w:val="both"/>
        <w:spacing w:after="0" w:line="270" w:lineRule="auto"/>
        <w:rPr>
          <w:sz w:val="20"/>
          <w:szCs w:val="20"/>
          <w:color w:val="auto"/>
        </w:rPr>
      </w:pPr>
      <w:r>
        <w:rPr>
          <w:rFonts w:ascii="Arial" w:cs="Arial" w:eastAsia="Arial" w:hAnsi="Arial"/>
          <w:sz w:val="19"/>
          <w:szCs w:val="19"/>
          <w:color w:val="auto"/>
        </w:rPr>
        <w:t>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(c) if required or appropriate in any report, statement or testimony submitted to any governmental authority having or claiming to have jurisdiction over Agent or Lender; (d) if required or appropriate in response to any summons or subpoena or in connection with any litigation, to the extent permitted or deemed advisable by Agent’s or Lender’s counsel; (e) to comply with any legal requirement or law applicable to Agent or Lender; (f) to the extent reasonably necessary in connection with the exercise of any right or remedy under any Loan Document, including Agent’s sale, lease, or other disposition of Collateral after an Event of Default; (g) to any participant or assignee of Agent or Lender or any prospective participant or assignee; provided, that such participant or assignee or prospective participant or assignee agrees in writing to be bound by this Section prior to disclosure; or (h) otherwise with the prior consent of Borrower; provided, that any disclosure made in violation of this Agreement shall not affect the obligations of Borrower or any of its Affiliates or any guarantor under this Agreement or the other Loan Documents.</w:t>
      </w:r>
    </w:p>
    <w:p>
      <w:pPr>
        <w:spacing w:after="0" w:line="163"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11.13 Assignment of Rights. Borrower acknowledges and understands that Agent or Lender may, subject to Section 11.7, sell and assign all or part of its interest hereunder and under the Loan Documents to any Person or entity (an “Assignee”). After such assignment the term “Agent” or “Lender” as used in the Loan Documents shall mean and include such Assignee, and such Assignee shall be vested with all rights, powers and remedies of Agent and Lender hereunder with respect to the interest so assigned; but with respect to any such interest not so transferred, Agent and Lender shall retain all rights, powers and remedies hereby given. No such assignment by Agent or Lender shall relieve Borrower of any of its obligations hereunder. Lender agrees that in the event of any transfer by it of the Note(s)(if any), it will endorse thereon a notation as to the portion of the principal of the Note(s), which shall have been paid at the time of such transfer and as to the date to which interest shall have been last paid thereon.</w:t>
      </w:r>
    </w:p>
    <w:p>
      <w:pPr>
        <w:spacing w:after="0" w:line="175"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0"/>
          <w:szCs w:val="20"/>
          <w:color w:val="auto"/>
        </w:rPr>
        <w:t>11.14 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Lender.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Lender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w:t>
      </w:r>
    </w:p>
    <w:p>
      <w:pPr>
        <w:spacing w:after="0" w:line="176"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62" w:name="page263"/>
    <w:bookmarkEnd w:id="262"/>
    <w:p>
      <w:pPr>
        <w:jc w:val="both"/>
        <w:spacing w:after="0" w:line="250" w:lineRule="auto"/>
        <w:rPr>
          <w:sz w:val="20"/>
          <w:szCs w:val="20"/>
          <w:color w:val="auto"/>
        </w:rPr>
      </w:pPr>
      <w:r>
        <w:rPr>
          <w:rFonts w:ascii="Arial" w:cs="Arial" w:eastAsia="Arial" w:hAnsi="Arial"/>
          <w:sz w:val="22"/>
          <w:szCs w:val="22"/>
          <w:color w:val="auto"/>
        </w:rPr>
        <w:t>revived and reinstated except to the extent of the full, final, and indefeasible payment to Agent or Lender in Cash.</w:t>
      </w:r>
    </w:p>
    <w:p>
      <w:pPr>
        <w:spacing w:after="0" w:line="173" w:lineRule="exact"/>
        <w:rPr>
          <w:sz w:val="20"/>
          <w:szCs w:val="20"/>
          <w:color w:val="auto"/>
        </w:rPr>
      </w:pPr>
    </w:p>
    <w:p>
      <w:pPr>
        <w:jc w:val="both"/>
        <w:ind w:firstLine="646"/>
        <w:spacing w:after="0" w:line="237" w:lineRule="auto"/>
        <w:rPr>
          <w:sz w:val="20"/>
          <w:szCs w:val="20"/>
          <w:color w:val="auto"/>
        </w:rPr>
      </w:pPr>
      <w:r>
        <w:rPr>
          <w:rFonts w:ascii="Arial" w:cs="Arial" w:eastAsia="Arial" w:hAnsi="Arial"/>
          <w:sz w:val="22"/>
          <w:szCs w:val="22"/>
          <w:color w:val="auto"/>
        </w:rPr>
        <w:t>11.15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85" w:lineRule="exact"/>
        <w:rPr>
          <w:sz w:val="20"/>
          <w:szCs w:val="20"/>
          <w:color w:val="auto"/>
        </w:rPr>
      </w:pPr>
    </w:p>
    <w:p>
      <w:pPr>
        <w:jc w:val="both"/>
        <w:ind w:firstLine="646"/>
        <w:spacing w:after="0" w:line="235" w:lineRule="auto"/>
        <w:rPr>
          <w:sz w:val="20"/>
          <w:szCs w:val="20"/>
          <w:color w:val="auto"/>
        </w:rPr>
      </w:pPr>
      <w:r>
        <w:rPr>
          <w:rFonts w:ascii="Arial" w:cs="Arial" w:eastAsia="Arial" w:hAnsi="Arial"/>
          <w:sz w:val="22"/>
          <w:szCs w:val="22"/>
          <w:color w:val="auto"/>
        </w:rPr>
        <w:t>11.16 No Third Party Beneficiaries. No provisions of the Loan Documents are intended, nor will be interpreted, to provide or create any third-party beneficiary rights or any other rights of any kind in any Person other than Agent, Lender and Borrower unless specifically provided otherwise herein, and, except as otherwise so provided, all provisions of the Loan Documents will be personal and solely among Agent, the Lender and the Borrower.</w:t>
      </w:r>
    </w:p>
    <w:p>
      <w:pPr>
        <w:spacing w:after="0" w:line="188"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color w:val="auto"/>
        </w:rPr>
        <w:t>Agency.</w:t>
      </w:r>
    </w:p>
    <w:p>
      <w:pPr>
        <w:spacing w:after="0" w:line="205" w:lineRule="exact"/>
        <w:rPr>
          <w:sz w:val="20"/>
          <w:szCs w:val="20"/>
          <w:color w:val="auto"/>
        </w:rPr>
      </w:pPr>
    </w:p>
    <w:p>
      <w:pPr>
        <w:jc w:val="both"/>
        <w:ind w:left="160" w:firstLine="651"/>
        <w:spacing w:after="0" w:line="268" w:lineRule="auto"/>
        <w:tabs>
          <w:tab w:leader="none" w:pos="148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Lender hereby irrevocably appoints Hercules Capital, Inc.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spacing w:after="0" w:line="157" w:lineRule="exact"/>
        <w:rPr>
          <w:rFonts w:ascii="Arial" w:cs="Arial" w:eastAsia="Arial" w:hAnsi="Arial"/>
          <w:sz w:val="20"/>
          <w:szCs w:val="20"/>
          <w:color w:val="auto"/>
        </w:rPr>
      </w:pPr>
    </w:p>
    <w:p>
      <w:pPr>
        <w:jc w:val="both"/>
        <w:ind w:left="160" w:firstLine="651"/>
        <w:spacing w:after="0" w:line="257" w:lineRule="auto"/>
        <w:tabs>
          <w:tab w:leader="none" w:pos="1501"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Lender agrees to indemnify the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Section 11.17,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75" w:lineRule="exact"/>
        <w:rPr>
          <w:rFonts w:ascii="Arial" w:cs="Arial" w:eastAsia="Arial" w:hAnsi="Arial"/>
          <w:sz w:val="20"/>
          <w:szCs w:val="20"/>
          <w:color w:val="auto"/>
        </w:rPr>
      </w:pPr>
    </w:p>
    <w:p>
      <w:pPr>
        <w:jc w:val="both"/>
        <w:ind w:left="160" w:firstLine="651"/>
        <w:spacing w:after="0" w:line="286" w:lineRule="auto"/>
        <w:tabs>
          <w:tab w:leader="none" w:pos="148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42" w:lineRule="exact"/>
        <w:rPr>
          <w:rFonts w:ascii="Arial" w:cs="Arial" w:eastAsia="Arial" w:hAnsi="Arial"/>
          <w:sz w:val="19"/>
          <w:szCs w:val="19"/>
          <w:color w:val="auto"/>
        </w:rPr>
      </w:pPr>
    </w:p>
    <w:p>
      <w:pPr>
        <w:jc w:val="both"/>
        <w:ind w:left="160" w:firstLine="651"/>
        <w:spacing w:after="0" w:line="239" w:lineRule="auto"/>
        <w:tabs>
          <w:tab w:leader="none" w:pos="150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Exculpatory Provisions. The Agent shall have no duties or obligations except those expressly set forth herein and in the other Loan Documents. Without limiting the generality of the foregoing, the Agent shall not:</w:t>
      </w:r>
    </w:p>
    <w:p>
      <w:pPr>
        <w:spacing w:after="0" w:line="186" w:lineRule="exact"/>
        <w:rPr>
          <w:sz w:val="20"/>
          <w:szCs w:val="20"/>
          <w:color w:val="auto"/>
        </w:rPr>
      </w:pPr>
    </w:p>
    <w:p>
      <w:pPr>
        <w:ind w:left="1780" w:hanging="323"/>
        <w:spacing w:after="0" w:line="249" w:lineRule="auto"/>
        <w:tabs>
          <w:tab w:leader="none" w:pos="178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be subject to any fiduciary or other implied duties, regardless of whether any default or any Event of Default has occurred and is continuing;</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63" w:name="page264"/>
    <w:bookmarkEnd w:id="263"/>
    <w:p>
      <w:pPr>
        <w:jc w:val="both"/>
        <w:ind w:left="1740" w:hanging="323"/>
        <w:spacing w:after="0" w:line="262" w:lineRule="auto"/>
        <w:tabs>
          <w:tab w:leader="none" w:pos="1734" w:val="left"/>
        </w:tabs>
        <w:numPr>
          <w:ilvl w:val="2"/>
          <w:numId w:val="116"/>
        </w:numPr>
        <w:rPr>
          <w:rFonts w:ascii="Arial" w:cs="Arial" w:eastAsia="Arial" w:hAnsi="Arial"/>
          <w:sz w:val="20"/>
          <w:szCs w:val="20"/>
          <w:color w:val="auto"/>
        </w:rPr>
      </w:pPr>
      <w:r>
        <w:rPr>
          <w:rFonts w:ascii="Arial" w:cs="Arial" w:eastAsia="Arial" w:hAnsi="Arial"/>
          <w:sz w:val="20"/>
          <w:szCs w:val="20"/>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 provided that the Agent shall not be required to take any action that, in its opinion or the opinion of its counsel, may expose the Agent to liability or that is contrary to any Loan Document or applicable law; and</w:t>
      </w:r>
    </w:p>
    <w:p>
      <w:pPr>
        <w:spacing w:after="0" w:line="163" w:lineRule="exact"/>
        <w:rPr>
          <w:rFonts w:ascii="Arial" w:cs="Arial" w:eastAsia="Arial" w:hAnsi="Arial"/>
          <w:sz w:val="20"/>
          <w:szCs w:val="20"/>
          <w:color w:val="auto"/>
        </w:rPr>
      </w:pPr>
    </w:p>
    <w:p>
      <w:pPr>
        <w:jc w:val="both"/>
        <w:ind w:left="1740" w:hanging="323"/>
        <w:spacing w:after="0" w:line="268" w:lineRule="auto"/>
        <w:tabs>
          <w:tab w:leader="none" w:pos="2386" w:val="left"/>
        </w:tabs>
        <w:numPr>
          <w:ilvl w:val="2"/>
          <w:numId w:val="116"/>
        </w:numPr>
        <w:rPr>
          <w:rFonts w:ascii="Arial" w:cs="Arial" w:eastAsia="Arial" w:hAnsi="Arial"/>
          <w:sz w:val="20"/>
          <w:szCs w:val="20"/>
          <w:color w:val="auto"/>
        </w:rPr>
      </w:pPr>
      <w:r>
        <w:rPr>
          <w:rFonts w:ascii="Arial" w:cs="Arial" w:eastAsia="Arial" w:hAnsi="Arial"/>
          <w:sz w:val="20"/>
          <w:szCs w:val="20"/>
          <w:color w:val="auto"/>
        </w:rPr>
        <w:t>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the Agent or any of its Affiliates in any capacity.</w:t>
      </w:r>
    </w:p>
    <w:p>
      <w:pPr>
        <w:spacing w:after="0" w:line="157" w:lineRule="exact"/>
        <w:rPr>
          <w:rFonts w:ascii="Arial" w:cs="Arial" w:eastAsia="Arial" w:hAnsi="Arial"/>
          <w:sz w:val="20"/>
          <w:szCs w:val="20"/>
          <w:color w:val="auto"/>
        </w:rPr>
      </w:pPr>
    </w:p>
    <w:p>
      <w:pPr>
        <w:jc w:val="both"/>
        <w:ind w:left="120" w:firstLine="651"/>
        <w:spacing w:after="0" w:line="275" w:lineRule="auto"/>
        <w:tabs>
          <w:tab w:leader="none" w:pos="1449"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The Agent shall not be liable for any action taken or not taken by it (i) with the consent or at the request of the Lender or as the Agent shall believe in good faith shall be necessary, under the circumstances or (ii) in the absence of its own gross negligence or willful misconduct.</w:t>
      </w:r>
    </w:p>
    <w:p>
      <w:pPr>
        <w:spacing w:after="0" w:line="151" w:lineRule="exact"/>
        <w:rPr>
          <w:rFonts w:ascii="Arial" w:cs="Arial" w:eastAsia="Arial" w:hAnsi="Arial"/>
          <w:sz w:val="20"/>
          <w:szCs w:val="20"/>
          <w:color w:val="auto"/>
        </w:rPr>
      </w:pPr>
    </w:p>
    <w:p>
      <w:pPr>
        <w:jc w:val="both"/>
        <w:ind w:left="120" w:firstLine="651"/>
        <w:spacing w:after="0" w:line="270" w:lineRule="auto"/>
        <w:tabs>
          <w:tab w:leader="none" w:pos="142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w:t>
      </w:r>
    </w:p>
    <w:p>
      <w:pPr>
        <w:jc w:val="both"/>
        <w:ind w:left="120" w:firstLine="5"/>
        <w:spacing w:after="0" w:line="286" w:lineRule="auto"/>
        <w:tabs>
          <w:tab w:leader="none" w:pos="487"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w:t>
      </w:r>
    </w:p>
    <w:p>
      <w:pPr>
        <w:spacing w:after="0" w:line="142" w:lineRule="exact"/>
        <w:rPr>
          <w:rFonts w:ascii="Arial" w:cs="Arial" w:eastAsia="Arial" w:hAnsi="Arial"/>
          <w:sz w:val="19"/>
          <w:szCs w:val="19"/>
          <w:color w:val="auto"/>
        </w:rPr>
      </w:pPr>
    </w:p>
    <w:p>
      <w:pPr>
        <w:jc w:val="both"/>
        <w:ind w:left="120" w:firstLine="651"/>
        <w:spacing w:after="0" w:line="256" w:lineRule="auto"/>
        <w:tabs>
          <w:tab w:leader="none" w:pos="1461" w:val="left"/>
        </w:tabs>
        <w:numPr>
          <w:ilvl w:val="1"/>
          <w:numId w:val="118"/>
        </w:numPr>
        <w:rPr>
          <w:rFonts w:ascii="Arial" w:cs="Arial" w:eastAsia="Arial" w:hAnsi="Arial"/>
          <w:sz w:val="20"/>
          <w:szCs w:val="20"/>
          <w:color w:val="auto"/>
        </w:rPr>
      </w:pPr>
      <w:r>
        <w:rPr>
          <w:rFonts w:ascii="Arial" w:cs="Arial" w:eastAsia="Arial" w:hAnsi="Arial"/>
          <w:sz w:val="20"/>
          <w:szCs w:val="20"/>
          <w:color w:val="auto"/>
        </w:rPr>
        <w:t>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the Loan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the Loan Agreement and the other Loan Documents at the request or direction of Lenders unless Agent shall have been provided by Lender with adequate security and indemnity</w:t>
      </w:r>
    </w:p>
    <w:p>
      <w:pPr>
        <w:spacing w:after="0" w:line="16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143510</wp:posOffset>
            </wp:positionV>
            <wp:extent cx="639254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40"/>
          </w:cols>
          <w:pgMar w:left="1440" w:top="118" w:right="919" w:bottom="1440" w:gutter="0" w:footer="0" w:header="0"/>
        </w:sectPr>
      </w:pPr>
    </w:p>
    <w:bookmarkStart w:id="264" w:name="page265"/>
    <w:bookmarkEnd w:id="264"/>
    <w:p>
      <w:pPr>
        <w:ind w:left="160"/>
        <w:spacing w:after="0" w:line="250" w:lineRule="auto"/>
        <w:rPr>
          <w:sz w:val="20"/>
          <w:szCs w:val="20"/>
          <w:color w:val="auto"/>
        </w:rPr>
      </w:pPr>
      <w:r>
        <w:rPr>
          <w:rFonts w:ascii="Arial" w:cs="Arial" w:eastAsia="Arial" w:hAnsi="Arial"/>
          <w:sz w:val="22"/>
          <w:szCs w:val="22"/>
          <w:color w:val="auto"/>
        </w:rPr>
        <w:t>against the costs, expenses and liabilities that may be incurred by it in compliance with such request or direction.</w:t>
      </w:r>
    </w:p>
    <w:p>
      <w:pPr>
        <w:spacing w:after="0" w:line="173"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0"/>
          <w:szCs w:val="20"/>
          <w:color w:val="auto"/>
        </w:rPr>
        <w:t>11.18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11.12.</w:t>
      </w:r>
    </w:p>
    <w:p>
      <w:pPr>
        <w:spacing w:after="0" w:line="179"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20"/>
          <w:szCs w:val="20"/>
          <w:color w:val="auto"/>
        </w:rPr>
        <w:t>11.19 Further Transactions. Borrower has notified Agent that after the Closing Date, Borrower may seek to enter into certain transactions pursuant to which Borrower would incur Indebtedness from time to time that is secured solely by stock pledge agreements (by Borrower or a SPE), royalties (or rights therein or related thereof), rights to payment under royalties, licenses and the proceeds thereof solely with respect to clinical assets (the “Proposed Future Royalty Backed Indebtedness Transactions”). Borrower acknowledges that the consummation of any Proposed Further Royalty Back Indebtedness Transaction requires the prior written consent of Agent and Agent agrees to timely review any relevant term sheets and/or documentation relating to Proposed Future Royalty Backed Indebtedness Transactions.</w:t>
      </w:r>
    </w:p>
    <w:p>
      <w:pPr>
        <w:spacing w:after="0" w:line="168"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(SIGNATURES TO FOLLOW)</w:t>
      </w: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143510</wp:posOffset>
            </wp:positionV>
            <wp:extent cx="639254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80"/>
          </w:cols>
          <w:pgMar w:left="1400" w:top="118" w:right="919" w:bottom="1440" w:gutter="0" w:footer="0" w:header="0"/>
        </w:sectPr>
      </w:pPr>
    </w:p>
    <w:bookmarkStart w:id="265" w:name="page266"/>
    <w:bookmarkEnd w:id="265"/>
    <w:p>
      <w:pPr>
        <w:ind w:firstLine="646"/>
        <w:spacing w:after="0" w:line="250" w:lineRule="auto"/>
        <w:rPr>
          <w:sz w:val="20"/>
          <w:szCs w:val="20"/>
          <w:color w:val="auto"/>
        </w:rPr>
      </w:pPr>
      <w:r>
        <w:rPr>
          <w:rFonts w:ascii="Arial" w:cs="Arial" w:eastAsia="Arial" w:hAnsi="Arial"/>
          <w:sz w:val="22"/>
          <w:szCs w:val="22"/>
          <w:color w:val="auto"/>
        </w:rPr>
        <w:t>IN WITNESS WHEREOF, Borrower, Agent and Lender have duly executed and delivered this Loan and Security Agreement as of the day and year first above written.</w:t>
      </w:r>
    </w:p>
    <w:p>
      <w:pPr>
        <w:spacing w:after="0" w:line="200" w:lineRule="exact"/>
        <w:rPr>
          <w:sz w:val="20"/>
          <w:szCs w:val="20"/>
          <w:color w:val="auto"/>
        </w:rPr>
      </w:pPr>
    </w:p>
    <w:p>
      <w:pPr>
        <w:spacing w:after="0" w:line="20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BORROWER:</w:t>
      </w:r>
    </w:p>
    <w:p>
      <w:pPr>
        <w:spacing w:after="0" w:line="23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VERASTEM, INC.</w:t>
      </w:r>
    </w:p>
    <w:p>
      <w:pPr>
        <w:spacing w:after="0" w:line="232" w:lineRule="exact"/>
        <w:rPr>
          <w:sz w:val="20"/>
          <w:szCs w:val="20"/>
          <w:color w:val="auto"/>
        </w:rPr>
      </w:pPr>
    </w:p>
    <w:tbl>
      <w:tblPr>
        <w:tblLayout w:type="fixed"/>
        <w:tblInd w:w="5060" w:type="dxa"/>
        <w:tblCellMar>
          <w:top w:w="0" w:type="dxa"/>
          <w:left w:w="0" w:type="dxa"/>
          <w:bottom w:w="0" w:type="dxa"/>
          <w:right w:w="0" w:type="dxa"/>
        </w:tblCellMar>
      </w:tblPr>
      <w:tr>
        <w:trPr>
          <w:trHeight w:val="264"/>
        </w:trPr>
        <w:tc>
          <w:tcPr>
            <w:tcW w:w="1100" w:type="dxa"/>
            <w:vAlign w:val="bottom"/>
          </w:tcPr>
          <w:p>
            <w:pPr>
              <w:spacing w:after="0"/>
              <w:rPr>
                <w:sz w:val="20"/>
                <w:szCs w:val="20"/>
                <w:color w:val="auto"/>
              </w:rPr>
            </w:pPr>
            <w:r>
              <w:rPr>
                <w:rFonts w:ascii="Arial" w:cs="Arial" w:eastAsia="Arial" w:hAnsi="Arial"/>
                <w:sz w:val="22"/>
                <w:szCs w:val="22"/>
                <w:color w:val="auto"/>
              </w:rPr>
              <w:t>Signature:</w:t>
            </w:r>
          </w:p>
        </w:tc>
        <w:tc>
          <w:tcPr>
            <w:tcW w:w="3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Forrester</w:t>
            </w:r>
          </w:p>
        </w:tc>
      </w:tr>
      <w:tr>
        <w:trPr>
          <w:trHeight w:val="236"/>
        </w:trPr>
        <w:tc>
          <w:tcPr>
            <w:tcW w:w="1100" w:type="dxa"/>
            <w:vAlign w:val="bottom"/>
          </w:tcPr>
          <w:p>
            <w:pPr>
              <w:spacing w:after="0" w:line="236" w:lineRule="exact"/>
              <w:rPr>
                <w:sz w:val="20"/>
                <w:szCs w:val="20"/>
                <w:color w:val="auto"/>
              </w:rPr>
            </w:pPr>
            <w:r>
              <w:rPr>
                <w:rFonts w:ascii="Arial" w:cs="Arial" w:eastAsia="Arial" w:hAnsi="Arial"/>
                <w:sz w:val="22"/>
                <w:szCs w:val="22"/>
                <w:color w:val="auto"/>
                <w:w w:val="92"/>
              </w:rPr>
              <w:t>Print Name:</w:t>
            </w:r>
          </w:p>
        </w:tc>
        <w:tc>
          <w:tcPr>
            <w:tcW w:w="3900" w:type="dxa"/>
            <w:vAlign w:val="bottom"/>
            <w:tcBorders>
              <w:bottom w:val="single" w:sz="8" w:color="auto"/>
            </w:tcBorders>
          </w:tcPr>
          <w:p>
            <w:pPr>
              <w:spacing w:after="0" w:line="236" w:lineRule="exact"/>
              <w:rPr>
                <w:sz w:val="20"/>
                <w:szCs w:val="20"/>
                <w:color w:val="auto"/>
              </w:rPr>
            </w:pPr>
            <w:r>
              <w:rPr>
                <w:rFonts w:ascii="Arial" w:cs="Arial" w:eastAsia="Arial" w:hAnsi="Arial"/>
                <w:sz w:val="22"/>
                <w:szCs w:val="22"/>
                <w:color w:val="auto"/>
              </w:rPr>
              <w:t>Robert Forrester</w:t>
            </w:r>
          </w:p>
        </w:tc>
      </w:tr>
      <w:tr>
        <w:trPr>
          <w:trHeight w:val="236"/>
        </w:trPr>
        <w:tc>
          <w:tcPr>
            <w:tcW w:w="1100" w:type="dxa"/>
            <w:vAlign w:val="bottom"/>
          </w:tcPr>
          <w:p>
            <w:pPr>
              <w:spacing w:after="0" w:line="236" w:lineRule="exact"/>
              <w:rPr>
                <w:sz w:val="20"/>
                <w:szCs w:val="20"/>
                <w:color w:val="auto"/>
              </w:rPr>
            </w:pPr>
            <w:r>
              <w:rPr>
                <w:rFonts w:ascii="Arial" w:cs="Arial" w:eastAsia="Arial" w:hAnsi="Arial"/>
                <w:sz w:val="22"/>
                <w:szCs w:val="22"/>
                <w:color w:val="auto"/>
              </w:rPr>
              <w:t>Title:</w:t>
            </w:r>
          </w:p>
        </w:tc>
        <w:tc>
          <w:tcPr>
            <w:tcW w:w="3900" w:type="dxa"/>
            <w:vAlign w:val="bottom"/>
            <w:tcBorders>
              <w:bottom w:val="single" w:sz="8" w:color="auto"/>
            </w:tcBorders>
          </w:tcPr>
          <w:p>
            <w:pPr>
              <w:spacing w:after="0" w:line="236" w:lineRule="exact"/>
              <w:rPr>
                <w:sz w:val="20"/>
                <w:szCs w:val="20"/>
                <w:color w:val="auto"/>
              </w:rPr>
            </w:pPr>
            <w:r>
              <w:rPr>
                <w:rFonts w:ascii="Arial" w:cs="Arial" w:eastAsia="Arial" w:hAnsi="Arial"/>
                <w:sz w:val="22"/>
                <w:szCs w:val="22"/>
                <w:color w:val="auto"/>
              </w:rPr>
              <w:t>Chief Executive Officer</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Accepted in Palo Alto, California:</w:t>
      </w:r>
    </w:p>
    <w:p>
      <w:pPr>
        <w:spacing w:after="0" w:line="21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AGENT:</w:t>
      </w:r>
    </w:p>
    <w:p>
      <w:pPr>
        <w:spacing w:after="0" w:line="23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HERCULES CAPITAL, INC.</w:t>
      </w:r>
    </w:p>
    <w:p>
      <w:pPr>
        <w:spacing w:after="0" w:line="232" w:lineRule="exact"/>
        <w:rPr>
          <w:sz w:val="20"/>
          <w:szCs w:val="20"/>
          <w:color w:val="auto"/>
        </w:rPr>
      </w:pPr>
    </w:p>
    <w:tbl>
      <w:tblPr>
        <w:tblLayout w:type="fixed"/>
        <w:tblInd w:w="5060" w:type="dxa"/>
        <w:tblCellMar>
          <w:top w:w="0" w:type="dxa"/>
          <w:left w:w="0" w:type="dxa"/>
          <w:bottom w:w="0" w:type="dxa"/>
          <w:right w:w="0" w:type="dxa"/>
        </w:tblCellMar>
      </w:tblPr>
      <w:tr>
        <w:trPr>
          <w:trHeight w:val="264"/>
        </w:trPr>
        <w:tc>
          <w:tcPr>
            <w:tcW w:w="1100" w:type="dxa"/>
            <w:vAlign w:val="bottom"/>
          </w:tcPr>
          <w:p>
            <w:pPr>
              <w:spacing w:after="0"/>
              <w:rPr>
                <w:sz w:val="20"/>
                <w:szCs w:val="20"/>
                <w:color w:val="auto"/>
              </w:rPr>
            </w:pPr>
            <w:r>
              <w:rPr>
                <w:rFonts w:ascii="Arial" w:cs="Arial" w:eastAsia="Arial" w:hAnsi="Arial"/>
                <w:sz w:val="22"/>
                <w:szCs w:val="22"/>
                <w:color w:val="auto"/>
              </w:rPr>
              <w:t>Signature:</w:t>
            </w:r>
          </w:p>
        </w:tc>
        <w:tc>
          <w:tcPr>
            <w:tcW w:w="3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Jennifer Choe</w:t>
            </w:r>
          </w:p>
        </w:tc>
      </w:tr>
      <w:tr>
        <w:trPr>
          <w:trHeight w:val="236"/>
        </w:trPr>
        <w:tc>
          <w:tcPr>
            <w:tcW w:w="1100" w:type="dxa"/>
            <w:vAlign w:val="bottom"/>
          </w:tcPr>
          <w:p>
            <w:pPr>
              <w:spacing w:after="0" w:line="236" w:lineRule="exact"/>
              <w:rPr>
                <w:sz w:val="20"/>
                <w:szCs w:val="20"/>
                <w:color w:val="auto"/>
              </w:rPr>
            </w:pPr>
            <w:r>
              <w:rPr>
                <w:rFonts w:ascii="Arial" w:cs="Arial" w:eastAsia="Arial" w:hAnsi="Arial"/>
                <w:sz w:val="22"/>
                <w:szCs w:val="22"/>
                <w:color w:val="auto"/>
                <w:w w:val="92"/>
              </w:rPr>
              <w:t>Print Name:</w:t>
            </w:r>
          </w:p>
        </w:tc>
        <w:tc>
          <w:tcPr>
            <w:tcW w:w="3900" w:type="dxa"/>
            <w:vAlign w:val="bottom"/>
            <w:tcBorders>
              <w:bottom w:val="single" w:sz="8" w:color="auto"/>
            </w:tcBorders>
          </w:tcPr>
          <w:p>
            <w:pPr>
              <w:spacing w:after="0" w:line="236" w:lineRule="exact"/>
              <w:rPr>
                <w:sz w:val="20"/>
                <w:szCs w:val="20"/>
                <w:color w:val="auto"/>
              </w:rPr>
            </w:pPr>
            <w:r>
              <w:rPr>
                <w:rFonts w:ascii="Arial" w:cs="Arial" w:eastAsia="Arial" w:hAnsi="Arial"/>
                <w:sz w:val="22"/>
                <w:szCs w:val="22"/>
                <w:color w:val="auto"/>
              </w:rPr>
              <w:t>Jennifer Choe</w:t>
            </w:r>
          </w:p>
        </w:tc>
      </w:tr>
      <w:tr>
        <w:trPr>
          <w:trHeight w:val="236"/>
        </w:trPr>
        <w:tc>
          <w:tcPr>
            <w:tcW w:w="1100" w:type="dxa"/>
            <w:vAlign w:val="bottom"/>
          </w:tcPr>
          <w:p>
            <w:pPr>
              <w:spacing w:after="0" w:line="236" w:lineRule="exact"/>
              <w:rPr>
                <w:sz w:val="20"/>
                <w:szCs w:val="20"/>
                <w:color w:val="auto"/>
              </w:rPr>
            </w:pPr>
            <w:r>
              <w:rPr>
                <w:rFonts w:ascii="Arial" w:cs="Arial" w:eastAsia="Arial" w:hAnsi="Arial"/>
                <w:sz w:val="22"/>
                <w:szCs w:val="22"/>
                <w:color w:val="auto"/>
              </w:rPr>
              <w:t>Title:</w:t>
            </w:r>
          </w:p>
        </w:tc>
        <w:tc>
          <w:tcPr>
            <w:tcW w:w="3900" w:type="dxa"/>
            <w:vAlign w:val="bottom"/>
            <w:tcBorders>
              <w:bottom w:val="single" w:sz="8" w:color="auto"/>
            </w:tcBorders>
          </w:tcPr>
          <w:p>
            <w:pPr>
              <w:spacing w:after="0" w:line="236" w:lineRule="exact"/>
              <w:rPr>
                <w:sz w:val="20"/>
                <w:szCs w:val="20"/>
                <w:color w:val="auto"/>
              </w:rPr>
            </w:pPr>
            <w:r>
              <w:rPr>
                <w:rFonts w:ascii="Arial" w:cs="Arial" w:eastAsia="Arial" w:hAnsi="Arial"/>
                <w:sz w:val="22"/>
                <w:szCs w:val="22"/>
                <w:color w:val="auto"/>
              </w:rPr>
              <w:t>Assistant General Counsel</w:t>
            </w:r>
          </w:p>
        </w:tc>
      </w:tr>
    </w:tbl>
    <w:p>
      <w:pPr>
        <w:spacing w:after="0" w:line="228"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LENDER:</w:t>
      </w:r>
    </w:p>
    <w:p>
      <w:pPr>
        <w:spacing w:after="0" w:line="23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HERCULES CAPITAL, INC.</w:t>
      </w:r>
    </w:p>
    <w:p>
      <w:pPr>
        <w:spacing w:after="0" w:line="232" w:lineRule="exact"/>
        <w:rPr>
          <w:sz w:val="20"/>
          <w:szCs w:val="20"/>
          <w:color w:val="auto"/>
        </w:rPr>
      </w:pPr>
    </w:p>
    <w:tbl>
      <w:tblPr>
        <w:tblLayout w:type="fixed"/>
        <w:tblInd w:w="5060" w:type="dxa"/>
        <w:tblCellMar>
          <w:top w:w="0" w:type="dxa"/>
          <w:left w:w="0" w:type="dxa"/>
          <w:bottom w:w="0" w:type="dxa"/>
          <w:right w:w="0" w:type="dxa"/>
        </w:tblCellMar>
      </w:tblPr>
      <w:tr>
        <w:trPr>
          <w:trHeight w:val="264"/>
        </w:trPr>
        <w:tc>
          <w:tcPr>
            <w:tcW w:w="1100" w:type="dxa"/>
            <w:vAlign w:val="bottom"/>
          </w:tcPr>
          <w:p>
            <w:pPr>
              <w:spacing w:after="0"/>
              <w:rPr>
                <w:sz w:val="20"/>
                <w:szCs w:val="20"/>
                <w:color w:val="auto"/>
              </w:rPr>
            </w:pPr>
            <w:r>
              <w:rPr>
                <w:rFonts w:ascii="Arial" w:cs="Arial" w:eastAsia="Arial" w:hAnsi="Arial"/>
                <w:sz w:val="22"/>
                <w:szCs w:val="22"/>
                <w:color w:val="auto"/>
              </w:rPr>
              <w:t>Signature:</w:t>
            </w:r>
          </w:p>
        </w:tc>
        <w:tc>
          <w:tcPr>
            <w:tcW w:w="3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Jennifer Choe</w:t>
            </w:r>
          </w:p>
        </w:tc>
      </w:tr>
      <w:tr>
        <w:trPr>
          <w:trHeight w:val="236"/>
        </w:trPr>
        <w:tc>
          <w:tcPr>
            <w:tcW w:w="1100" w:type="dxa"/>
            <w:vAlign w:val="bottom"/>
          </w:tcPr>
          <w:p>
            <w:pPr>
              <w:spacing w:after="0" w:line="236" w:lineRule="exact"/>
              <w:rPr>
                <w:sz w:val="20"/>
                <w:szCs w:val="20"/>
                <w:color w:val="auto"/>
              </w:rPr>
            </w:pPr>
            <w:r>
              <w:rPr>
                <w:rFonts w:ascii="Arial" w:cs="Arial" w:eastAsia="Arial" w:hAnsi="Arial"/>
                <w:sz w:val="22"/>
                <w:szCs w:val="22"/>
                <w:color w:val="auto"/>
                <w:w w:val="92"/>
              </w:rPr>
              <w:t>Print Name:</w:t>
            </w:r>
          </w:p>
        </w:tc>
        <w:tc>
          <w:tcPr>
            <w:tcW w:w="3900" w:type="dxa"/>
            <w:vAlign w:val="bottom"/>
            <w:tcBorders>
              <w:bottom w:val="single" w:sz="8" w:color="auto"/>
            </w:tcBorders>
          </w:tcPr>
          <w:p>
            <w:pPr>
              <w:spacing w:after="0" w:line="236" w:lineRule="exact"/>
              <w:rPr>
                <w:sz w:val="20"/>
                <w:szCs w:val="20"/>
                <w:color w:val="auto"/>
              </w:rPr>
            </w:pPr>
            <w:r>
              <w:rPr>
                <w:rFonts w:ascii="Arial" w:cs="Arial" w:eastAsia="Arial" w:hAnsi="Arial"/>
                <w:sz w:val="22"/>
                <w:szCs w:val="22"/>
                <w:color w:val="auto"/>
              </w:rPr>
              <w:t>Jennifer Choe</w:t>
            </w:r>
          </w:p>
        </w:tc>
      </w:tr>
      <w:tr>
        <w:trPr>
          <w:trHeight w:val="236"/>
        </w:trPr>
        <w:tc>
          <w:tcPr>
            <w:tcW w:w="1100" w:type="dxa"/>
            <w:vAlign w:val="bottom"/>
          </w:tcPr>
          <w:p>
            <w:pPr>
              <w:spacing w:after="0" w:line="236" w:lineRule="exact"/>
              <w:rPr>
                <w:sz w:val="20"/>
                <w:szCs w:val="20"/>
                <w:color w:val="auto"/>
              </w:rPr>
            </w:pPr>
            <w:r>
              <w:rPr>
                <w:rFonts w:ascii="Arial" w:cs="Arial" w:eastAsia="Arial" w:hAnsi="Arial"/>
                <w:sz w:val="22"/>
                <w:szCs w:val="22"/>
                <w:color w:val="auto"/>
              </w:rPr>
              <w:t>Title:</w:t>
            </w:r>
          </w:p>
        </w:tc>
        <w:tc>
          <w:tcPr>
            <w:tcW w:w="3900" w:type="dxa"/>
            <w:vAlign w:val="bottom"/>
            <w:tcBorders>
              <w:bottom w:val="single" w:sz="8" w:color="auto"/>
            </w:tcBorders>
          </w:tcPr>
          <w:p>
            <w:pPr>
              <w:spacing w:after="0" w:line="236" w:lineRule="exact"/>
              <w:rPr>
                <w:sz w:val="20"/>
                <w:szCs w:val="20"/>
                <w:color w:val="auto"/>
              </w:rPr>
            </w:pPr>
            <w:r>
              <w:rPr>
                <w:rFonts w:ascii="Arial" w:cs="Arial" w:eastAsia="Arial" w:hAnsi="Arial"/>
                <w:sz w:val="22"/>
                <w:szCs w:val="22"/>
                <w:color w:val="auto"/>
              </w:rPr>
              <w:t>Assistant General Counsel</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color w:val="auto"/>
        </w:rPr>
        <w:t>Table of Exhibits and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80" w:type="dxa"/>
            <w:vAlign w:val="bottom"/>
          </w:tcPr>
          <w:p>
            <w:pPr>
              <w:spacing w:after="0"/>
              <w:rPr>
                <w:sz w:val="20"/>
                <w:szCs w:val="20"/>
                <w:color w:val="auto"/>
              </w:rPr>
            </w:pPr>
            <w:r>
              <w:rPr>
                <w:rFonts w:ascii="Arial" w:cs="Arial" w:eastAsia="Arial" w:hAnsi="Arial"/>
                <w:sz w:val="22"/>
                <w:szCs w:val="22"/>
                <w:color w:val="auto"/>
              </w:rPr>
              <w:t>Exhibit A:</w:t>
            </w:r>
          </w:p>
        </w:tc>
        <w:tc>
          <w:tcPr>
            <w:tcW w:w="8780" w:type="dxa"/>
            <w:vAlign w:val="bottom"/>
          </w:tcPr>
          <w:p>
            <w:pPr>
              <w:ind w:left="60"/>
              <w:spacing w:after="0"/>
              <w:rPr>
                <w:sz w:val="20"/>
                <w:szCs w:val="20"/>
                <w:color w:val="auto"/>
              </w:rPr>
            </w:pPr>
            <w:r>
              <w:rPr>
                <w:rFonts w:ascii="Arial" w:cs="Arial" w:eastAsia="Arial" w:hAnsi="Arial"/>
                <w:sz w:val="22"/>
                <w:szCs w:val="22"/>
                <w:color w:val="auto"/>
              </w:rPr>
              <w:t>Advance Request</w:t>
            </w:r>
          </w:p>
        </w:tc>
      </w:tr>
      <w:tr>
        <w:trPr>
          <w:trHeight w:val="242"/>
        </w:trPr>
        <w:tc>
          <w:tcPr>
            <w:tcW w:w="1280" w:type="dxa"/>
            <w:vAlign w:val="bottom"/>
          </w:tcPr>
          <w:p>
            <w:pPr>
              <w:spacing w:after="0"/>
              <w:rPr>
                <w:sz w:val="21"/>
                <w:szCs w:val="21"/>
                <w:color w:val="auto"/>
              </w:rPr>
            </w:pP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Attachment to Advance Request</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Exhibit B:</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Term Note</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Exhibit C:</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Name, Locations, and Other Information for Borrower</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Exhibit D:</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Borrower’s Patents, Trademarks, Copyrights and Licenses</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Exhibit E:</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Borrower’s Deposit Accounts and Investment Accounts</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Exhibit F:</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Compliance Certificate</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Exhibit G:</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Joinder Agreement</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Exhibit H:</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ACH Debit Authorization Agreement</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Schedule 1</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Subsidiaries</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w w:val="98"/>
              </w:rPr>
              <w:t>Schedule 1.1</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Commitments</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Schedule 1A</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Existing Permitted Indebtedness</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Schedule 1B</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Existing Permitted Investments</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rPr>
              <w:t>Schedule 1C</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Existing Permitted Liens</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w w:val="98"/>
              </w:rPr>
              <w:t>Schedule 5.3</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Consents, Etc.</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w w:val="98"/>
              </w:rPr>
              <w:t>Schedule 5.8</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Tax Matters</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w w:val="98"/>
              </w:rPr>
              <w:t>Schedule 5.9</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Intellectual Property Claims</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w w:val="89"/>
              </w:rPr>
              <w:t>Schedule 5.10</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Intellectual Property</w:t>
            </w:r>
          </w:p>
        </w:tc>
      </w:tr>
      <w:tr>
        <w:trPr>
          <w:trHeight w:val="242"/>
        </w:trPr>
        <w:tc>
          <w:tcPr>
            <w:tcW w:w="1280" w:type="dxa"/>
            <w:vAlign w:val="bottom"/>
          </w:tcPr>
          <w:p>
            <w:pPr>
              <w:spacing w:after="0" w:line="242" w:lineRule="exact"/>
              <w:rPr>
                <w:sz w:val="20"/>
                <w:szCs w:val="20"/>
                <w:color w:val="auto"/>
              </w:rPr>
            </w:pPr>
            <w:r>
              <w:rPr>
                <w:rFonts w:ascii="Arial" w:cs="Arial" w:eastAsia="Arial" w:hAnsi="Arial"/>
                <w:sz w:val="22"/>
                <w:szCs w:val="22"/>
                <w:color w:val="auto"/>
                <w:w w:val="89"/>
              </w:rPr>
              <w:t>Schedule 5.11</w:t>
            </w:r>
          </w:p>
        </w:tc>
        <w:tc>
          <w:tcPr>
            <w:tcW w:w="8780" w:type="dxa"/>
            <w:vAlign w:val="bottom"/>
          </w:tcPr>
          <w:p>
            <w:pPr>
              <w:ind w:left="60"/>
              <w:spacing w:after="0" w:line="242" w:lineRule="exact"/>
              <w:rPr>
                <w:sz w:val="20"/>
                <w:szCs w:val="20"/>
                <w:color w:val="auto"/>
              </w:rPr>
            </w:pPr>
            <w:r>
              <w:rPr>
                <w:rFonts w:ascii="Arial" w:cs="Arial" w:eastAsia="Arial" w:hAnsi="Arial"/>
                <w:sz w:val="22"/>
                <w:szCs w:val="22"/>
                <w:color w:val="auto"/>
              </w:rPr>
              <w:t>Borrower Products</w:t>
            </w:r>
          </w:p>
        </w:tc>
      </w:tr>
      <w:tr>
        <w:trPr>
          <w:trHeight w:val="274"/>
        </w:trPr>
        <w:tc>
          <w:tcPr>
            <w:tcW w:w="1280" w:type="dxa"/>
            <w:vAlign w:val="bottom"/>
          </w:tcPr>
          <w:p>
            <w:pPr>
              <w:spacing w:after="0"/>
              <w:rPr>
                <w:sz w:val="20"/>
                <w:szCs w:val="20"/>
                <w:color w:val="auto"/>
              </w:rPr>
            </w:pPr>
            <w:r>
              <w:rPr>
                <w:rFonts w:ascii="Arial" w:cs="Arial" w:eastAsia="Arial" w:hAnsi="Arial"/>
                <w:sz w:val="22"/>
                <w:szCs w:val="22"/>
                <w:color w:val="auto"/>
                <w:w w:val="89"/>
              </w:rPr>
              <w:t>Schedule 5.14</w:t>
            </w:r>
          </w:p>
        </w:tc>
        <w:tc>
          <w:tcPr>
            <w:tcW w:w="8780" w:type="dxa"/>
            <w:vAlign w:val="bottom"/>
          </w:tcPr>
          <w:p>
            <w:pPr>
              <w:ind w:left="60"/>
              <w:spacing w:after="0"/>
              <w:rPr>
                <w:sz w:val="20"/>
                <w:szCs w:val="20"/>
                <w:color w:val="auto"/>
              </w:rPr>
            </w:pPr>
            <w:r>
              <w:rPr>
                <w:rFonts w:ascii="Arial" w:cs="Arial" w:eastAsia="Arial" w:hAnsi="Arial"/>
                <w:sz w:val="22"/>
                <w:szCs w:val="22"/>
                <w:color w:val="auto"/>
              </w:rPr>
              <w:t>Capitalization</w:t>
            </w:r>
          </w:p>
        </w:tc>
      </w:tr>
      <w:tr>
        <w:trPr>
          <w:trHeight w:val="700"/>
        </w:trPr>
        <w:tc>
          <w:tcPr>
            <w:tcW w:w="1280" w:type="dxa"/>
            <w:vAlign w:val="bottom"/>
          </w:tcPr>
          <w:p>
            <w:pPr>
              <w:spacing w:after="0"/>
              <w:rPr>
                <w:sz w:val="24"/>
                <w:szCs w:val="24"/>
                <w:color w:val="auto"/>
              </w:rPr>
            </w:pPr>
          </w:p>
        </w:tc>
        <w:tc>
          <w:tcPr>
            <w:tcW w:w="8780" w:type="dxa"/>
            <w:vAlign w:val="bottom"/>
          </w:tcPr>
          <w:p>
            <w:pPr>
              <w:ind w:left="3640"/>
              <w:spacing w:after="0"/>
              <w:rPr>
                <w:sz w:val="20"/>
                <w:szCs w:val="20"/>
                <w:color w:val="auto"/>
              </w:rPr>
            </w:pPr>
            <w:r>
              <w:rPr>
                <w:rFonts w:ascii="Arial" w:cs="Arial" w:eastAsia="Arial" w:hAnsi="Arial"/>
                <w:sz w:val="22"/>
                <w:szCs w:val="22"/>
                <w:color w:val="auto"/>
              </w:rPr>
              <w:t>41</w:t>
            </w:r>
          </w:p>
        </w:tc>
      </w:tr>
      <w:tr>
        <w:trPr>
          <w:trHeight w:val="226"/>
        </w:trPr>
        <w:tc>
          <w:tcPr>
            <w:tcW w:w="1280" w:type="dxa"/>
            <w:vAlign w:val="bottom"/>
            <w:tcBorders>
              <w:bottom w:val="single" w:sz="8" w:color="auto"/>
            </w:tcBorders>
          </w:tcPr>
          <w:p>
            <w:pPr>
              <w:spacing w:after="0"/>
              <w:rPr>
                <w:sz w:val="19"/>
                <w:szCs w:val="19"/>
                <w:color w:val="auto"/>
              </w:rPr>
            </w:pPr>
          </w:p>
        </w:tc>
        <w:tc>
          <w:tcPr>
            <w:tcW w:w="8780" w:type="dxa"/>
            <w:vAlign w:val="bottom"/>
            <w:tcBorders>
              <w:bottom w:val="single" w:sz="8" w:color="auto"/>
            </w:tcBorders>
          </w:tcPr>
          <w:p>
            <w:pPr>
              <w:spacing w:after="0"/>
              <w:rPr>
                <w:sz w:val="19"/>
                <w:szCs w:val="19"/>
                <w:color w:val="auto"/>
              </w:rPr>
            </w:pPr>
          </w:p>
        </w:tc>
      </w:tr>
    </w:tbl>
    <w:p>
      <w:pPr>
        <w:sectPr>
          <w:pgSz w:w="11900" w:h="16838" w:orient="portrait"/>
          <w:cols w:equalWidth="0" w:num="1">
            <w:col w:w="10060"/>
          </w:cols>
          <w:pgMar w:left="920" w:top="118" w:right="919" w:bottom="1440" w:gutter="0" w:footer="0" w:header="0"/>
        </w:sectPr>
      </w:pPr>
    </w:p>
    <w:bookmarkStart w:id="267" w:name="page268"/>
    <w:bookmarkEnd w:id="267"/>
    <w:p>
      <w:pPr>
        <w:jc w:val="center"/>
        <w:spacing w:after="0"/>
        <w:rPr>
          <w:sz w:val="20"/>
          <w:szCs w:val="20"/>
          <w:color w:val="auto"/>
        </w:rPr>
      </w:pPr>
      <w:r>
        <w:rPr>
          <w:rFonts w:ascii="Arial" w:cs="Arial" w:eastAsia="Arial" w:hAnsi="Arial"/>
          <w:sz w:val="22"/>
          <w:szCs w:val="22"/>
          <w:b w:val="1"/>
          <w:bCs w:val="1"/>
          <w:color w:val="auto"/>
        </w:rPr>
        <w:t>EXHIBIT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ADVANCE REQUEST</w:t>
      </w:r>
    </w:p>
    <w:p>
      <w:pPr>
        <w:sectPr>
          <w:pgSz w:w="11900" w:h="16838" w:orient="portrait"/>
          <w:cols w:equalWidth="0" w:num="1">
            <w:col w:w="10060"/>
          </w:cols>
          <w:pgMar w:left="920" w:top="112" w:right="91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tabs>
          <w:tab w:leader="none" w:pos="1820" w:val="left"/>
        </w:tabs>
        <w:rPr>
          <w:sz w:val="20"/>
          <w:szCs w:val="20"/>
          <w:color w:val="auto"/>
        </w:rPr>
      </w:pPr>
      <w:r>
        <w:rPr>
          <w:rFonts w:ascii="Arial" w:cs="Arial" w:eastAsia="Arial" w:hAnsi="Arial"/>
          <w:sz w:val="19"/>
          <w:szCs w:val="19"/>
          <w:color w:val="auto"/>
        </w:rPr>
        <w:t>Agent:</w:t>
      </w:r>
      <w:r>
        <w:rPr>
          <w:sz w:val="20"/>
          <w:szCs w:val="20"/>
          <w:color w:val="auto"/>
        </w:rPr>
        <w:tab/>
      </w: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__________, 20[__]</w:t>
      </w:r>
    </w:p>
    <w:p>
      <w:pPr>
        <w:spacing w:after="0" w:line="31" w:lineRule="exact"/>
        <w:rPr>
          <w:sz w:val="20"/>
          <w:szCs w:val="20"/>
          <w:color w:val="auto"/>
        </w:rPr>
      </w:pPr>
    </w:p>
    <w:p>
      <w:pPr>
        <w:sectPr>
          <w:pgSz w:w="11900" w:h="16838" w:orient="portrait"/>
          <w:cols w:equalWidth="0" w:num="3">
            <w:col w:w="280" w:space="140"/>
            <w:col w:w="2700" w:space="720"/>
            <w:col w:w="6220"/>
          </w:cols>
          <w:pgMar w:left="920" w:top="112" w:right="919" w:bottom="1440" w:gutter="0" w:footer="0" w:header="0"/>
          <w:type w:val="continuous"/>
        </w:sectPr>
      </w:pPr>
    </w:p>
    <w:p>
      <w:pPr>
        <w:ind w:left="420"/>
        <w:spacing w:after="0"/>
        <w:rPr>
          <w:sz w:val="20"/>
          <w:szCs w:val="20"/>
          <w:color w:val="auto"/>
        </w:rPr>
      </w:pPr>
      <w:r>
        <w:rPr>
          <w:rFonts w:ascii="Arial" w:cs="Arial" w:eastAsia="Arial" w:hAnsi="Arial"/>
          <w:sz w:val="22"/>
          <w:szCs w:val="22"/>
          <w:color w:val="auto"/>
        </w:rPr>
        <w:t>Hercules Capital, Inc. (the “Agent”)</w:t>
      </w:r>
    </w:p>
    <w:p>
      <w:pPr>
        <w:ind w:left="420"/>
        <w:spacing w:after="0" w:line="229" w:lineRule="auto"/>
        <w:rPr>
          <w:sz w:val="20"/>
          <w:szCs w:val="20"/>
          <w:color w:val="auto"/>
        </w:rPr>
      </w:pPr>
      <w:r>
        <w:rPr>
          <w:rFonts w:ascii="Arial" w:cs="Arial" w:eastAsia="Arial" w:hAnsi="Arial"/>
          <w:sz w:val="22"/>
          <w:szCs w:val="22"/>
          <w:color w:val="auto"/>
        </w:rPr>
        <w:t>400 Hamilton Avenue, Suite 310</w:t>
      </w:r>
    </w:p>
    <w:p>
      <w:pPr>
        <w:ind w:left="420"/>
        <w:spacing w:after="0" w:line="230" w:lineRule="auto"/>
        <w:rPr>
          <w:sz w:val="20"/>
          <w:szCs w:val="20"/>
          <w:color w:val="auto"/>
        </w:rPr>
      </w:pPr>
      <w:r>
        <w:rPr>
          <w:rFonts w:ascii="Arial" w:cs="Arial" w:eastAsia="Arial" w:hAnsi="Arial"/>
          <w:sz w:val="22"/>
          <w:szCs w:val="22"/>
          <w:color w:val="auto"/>
        </w:rPr>
        <w:t>Palo Alto, CA 94301</w:t>
      </w:r>
    </w:p>
    <w:p>
      <w:pPr>
        <w:ind w:left="420"/>
        <w:spacing w:after="0" w:line="230" w:lineRule="auto"/>
        <w:rPr>
          <w:sz w:val="20"/>
          <w:szCs w:val="20"/>
          <w:color w:val="auto"/>
        </w:rPr>
      </w:pPr>
      <w:r>
        <w:rPr>
          <w:rFonts w:ascii="Arial" w:cs="Arial" w:eastAsia="Arial" w:hAnsi="Arial"/>
          <w:sz w:val="22"/>
          <w:szCs w:val="22"/>
          <w:color w:val="auto"/>
        </w:rPr>
        <w:t>email: legal@herculestech.com</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Attn:</w:t>
      </w:r>
    </w:p>
    <w:p>
      <w:pPr>
        <w:spacing w:after="0" w:line="200" w:lineRule="exact"/>
        <w:rPr>
          <w:sz w:val="20"/>
          <w:szCs w:val="20"/>
          <w:color w:val="auto"/>
        </w:rPr>
      </w:pPr>
    </w:p>
    <w:p>
      <w:pPr>
        <w:spacing w:after="0" w:line="229"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VERASTEM, INC. (“Borrower”) hereby requests from Hercules Capital, Inc. (“Lender”) an Advance in the amount of _____________________ Dollars ($________________) on ______________, _____ (the “Advance Date”)</w:t>
      </w:r>
    </w:p>
    <w:p>
      <w:pPr>
        <w:ind w:right="220"/>
        <w:spacing w:after="0" w:line="234" w:lineRule="auto"/>
        <w:rPr>
          <w:sz w:val="20"/>
          <w:szCs w:val="20"/>
          <w:color w:val="auto"/>
        </w:rPr>
      </w:pPr>
      <w:r>
        <w:rPr>
          <w:rFonts w:ascii="Arial" w:cs="Arial" w:eastAsia="Arial" w:hAnsi="Arial"/>
          <w:sz w:val="22"/>
          <w:szCs w:val="22"/>
          <w:color w:val="auto"/>
        </w:rPr>
        <w:t>pursuant to the Loan and Security Agreement among Borrower, Agent and Lender (the “Agreement”). Capitalized words and other terms used but not otherwise defined herein are used with the same meanings as defined in the Agreement.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Please:</w:t>
            </w:r>
          </w:p>
        </w:tc>
        <w:tc>
          <w:tcPr>
            <w:tcW w:w="18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900" w:type="dxa"/>
            <w:vAlign w:val="bottom"/>
          </w:tcPr>
          <w:p>
            <w:pPr>
              <w:spacing w:after="0"/>
              <w:rPr>
                <w:sz w:val="23"/>
                <w:szCs w:val="23"/>
                <w:color w:val="auto"/>
              </w:rPr>
            </w:pPr>
          </w:p>
        </w:tc>
      </w:tr>
      <w:tr>
        <w:trPr>
          <w:trHeight w:val="458"/>
        </w:trPr>
        <w:tc>
          <w:tcPr>
            <w:tcW w:w="1100" w:type="dxa"/>
            <w:vAlign w:val="bottom"/>
          </w:tcPr>
          <w:p>
            <w:pPr>
              <w:ind w:left="640"/>
              <w:spacing w:after="0"/>
              <w:rPr>
                <w:sz w:val="20"/>
                <w:szCs w:val="20"/>
                <w:color w:val="auto"/>
              </w:rPr>
            </w:pPr>
            <w:r>
              <w:rPr>
                <w:rFonts w:ascii="Arial" w:cs="Arial" w:eastAsia="Arial" w:hAnsi="Arial"/>
                <w:sz w:val="22"/>
                <w:szCs w:val="22"/>
                <w:color w:val="auto"/>
              </w:rPr>
              <w:t>(a)</w:t>
            </w:r>
          </w:p>
        </w:tc>
        <w:tc>
          <w:tcPr>
            <w:tcW w:w="3760" w:type="dxa"/>
            <w:vAlign w:val="bottom"/>
            <w:gridSpan w:val="2"/>
          </w:tcPr>
          <w:p>
            <w:pPr>
              <w:ind w:left="420"/>
              <w:spacing w:after="0"/>
              <w:rPr>
                <w:sz w:val="20"/>
                <w:szCs w:val="20"/>
                <w:color w:val="auto"/>
              </w:rPr>
            </w:pPr>
            <w:r>
              <w:rPr>
                <w:rFonts w:ascii="Arial" w:cs="Arial" w:eastAsia="Arial" w:hAnsi="Arial"/>
                <w:sz w:val="22"/>
                <w:szCs w:val="22"/>
                <w:color w:val="auto"/>
                <w:w w:val="98"/>
              </w:rPr>
              <w:t>Issue a check payable to Borrower</w:t>
            </w:r>
          </w:p>
        </w:tc>
        <w:tc>
          <w:tcPr>
            <w:tcW w:w="4900" w:type="dxa"/>
            <w:vAlign w:val="bottom"/>
          </w:tcPr>
          <w:p>
            <w:pPr>
              <w:jc w:val="right"/>
              <w:ind w:right="3652"/>
              <w:spacing w:after="0"/>
              <w:rPr>
                <w:sz w:val="20"/>
                <w:szCs w:val="20"/>
                <w:color w:val="auto"/>
              </w:rPr>
            </w:pPr>
            <w:r>
              <w:rPr>
                <w:rFonts w:ascii="Arial" w:cs="Arial" w:eastAsia="Arial" w:hAnsi="Arial"/>
                <w:sz w:val="22"/>
                <w:szCs w:val="22"/>
                <w:color w:val="auto"/>
              </w:rPr>
              <w:t>________</w:t>
            </w:r>
          </w:p>
        </w:tc>
      </w:tr>
      <w:tr>
        <w:trPr>
          <w:trHeight w:val="458"/>
        </w:trPr>
        <w:tc>
          <w:tcPr>
            <w:tcW w:w="1100" w:type="dxa"/>
            <w:vAlign w:val="bottom"/>
          </w:tcPr>
          <w:p>
            <w:pPr>
              <w:spacing w:after="0"/>
              <w:rPr>
                <w:sz w:val="24"/>
                <w:szCs w:val="24"/>
                <w:color w:val="auto"/>
              </w:rPr>
            </w:pPr>
          </w:p>
        </w:tc>
        <w:tc>
          <w:tcPr>
            <w:tcW w:w="1860" w:type="dxa"/>
            <w:vAlign w:val="bottom"/>
          </w:tcPr>
          <w:p>
            <w:pPr>
              <w:ind w:left="1480"/>
              <w:spacing w:after="0"/>
              <w:rPr>
                <w:sz w:val="20"/>
                <w:szCs w:val="20"/>
                <w:color w:val="auto"/>
              </w:rPr>
            </w:pPr>
            <w:r>
              <w:rPr>
                <w:rFonts w:ascii="Arial" w:cs="Arial" w:eastAsia="Arial" w:hAnsi="Arial"/>
                <w:sz w:val="22"/>
                <w:szCs w:val="22"/>
                <w:color w:val="auto"/>
              </w:rPr>
              <w:t>or</w:t>
            </w:r>
          </w:p>
        </w:tc>
        <w:tc>
          <w:tcPr>
            <w:tcW w:w="19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26"/>
        </w:trPr>
        <w:tc>
          <w:tcPr>
            <w:tcW w:w="1100" w:type="dxa"/>
            <w:vAlign w:val="bottom"/>
          </w:tcPr>
          <w:p>
            <w:pPr>
              <w:ind w:left="640"/>
              <w:spacing w:after="0"/>
              <w:rPr>
                <w:sz w:val="20"/>
                <w:szCs w:val="20"/>
                <w:color w:val="auto"/>
              </w:rPr>
            </w:pPr>
            <w:r>
              <w:rPr>
                <w:rFonts w:ascii="Arial" w:cs="Arial" w:eastAsia="Arial" w:hAnsi="Arial"/>
                <w:sz w:val="22"/>
                <w:szCs w:val="22"/>
                <w:color w:val="auto"/>
              </w:rPr>
              <w:t>(b)</w:t>
            </w:r>
          </w:p>
        </w:tc>
        <w:tc>
          <w:tcPr>
            <w:tcW w:w="3760" w:type="dxa"/>
            <w:vAlign w:val="bottom"/>
            <w:gridSpan w:val="2"/>
          </w:tcPr>
          <w:p>
            <w:pPr>
              <w:ind w:left="440"/>
              <w:spacing w:after="0"/>
              <w:rPr>
                <w:sz w:val="20"/>
                <w:szCs w:val="20"/>
                <w:color w:val="auto"/>
              </w:rPr>
            </w:pPr>
            <w:r>
              <w:rPr>
                <w:rFonts w:ascii="Arial" w:cs="Arial" w:eastAsia="Arial" w:hAnsi="Arial"/>
                <w:sz w:val="22"/>
                <w:szCs w:val="22"/>
                <w:color w:val="auto"/>
                <w:w w:val="99"/>
              </w:rPr>
              <w:t>Wire Funds to Borrower’s account</w:t>
            </w:r>
          </w:p>
        </w:tc>
        <w:tc>
          <w:tcPr>
            <w:tcW w:w="4900" w:type="dxa"/>
            <w:vAlign w:val="bottom"/>
          </w:tcPr>
          <w:p>
            <w:pPr>
              <w:jc w:val="right"/>
              <w:spacing w:after="0"/>
              <w:rPr>
                <w:sz w:val="20"/>
                <w:szCs w:val="20"/>
                <w:color w:val="auto"/>
              </w:rPr>
            </w:pPr>
            <w:r>
              <w:rPr>
                <w:rFonts w:ascii="Arial" w:cs="Arial" w:eastAsia="Arial" w:hAnsi="Arial"/>
                <w:sz w:val="22"/>
                <w:szCs w:val="22"/>
                <w:color w:val="auto"/>
                <w:w w:val="99"/>
              </w:rPr>
              <w:t>________ [IF FILED PUBLICLY, ACCOUNT INFO</w:t>
            </w:r>
          </w:p>
        </w:tc>
      </w:tr>
      <w:tr>
        <w:trPr>
          <w:trHeight w:val="274"/>
        </w:trPr>
        <w:tc>
          <w:tcPr>
            <w:tcW w:w="4860" w:type="dxa"/>
            <w:vAlign w:val="bottom"/>
            <w:gridSpan w:val="3"/>
          </w:tcPr>
          <w:p>
            <w:pPr>
              <w:ind w:left="640"/>
              <w:spacing w:after="0"/>
              <w:rPr>
                <w:sz w:val="20"/>
                <w:szCs w:val="20"/>
                <w:color w:val="auto"/>
              </w:rPr>
            </w:pPr>
            <w:r>
              <w:rPr>
                <w:rFonts w:ascii="Arial" w:cs="Arial" w:eastAsia="Arial" w:hAnsi="Arial"/>
                <w:sz w:val="22"/>
                <w:szCs w:val="22"/>
                <w:color w:val="auto"/>
                <w:w w:val="98"/>
              </w:rPr>
              <w:t>REDACTED FOR SECURITY PURPOSES]</w:t>
            </w:r>
          </w:p>
        </w:tc>
        <w:tc>
          <w:tcPr>
            <w:tcW w:w="4900" w:type="dxa"/>
            <w:vAlign w:val="bottom"/>
          </w:tcPr>
          <w:p>
            <w:pPr>
              <w:spacing w:after="0"/>
              <w:rPr>
                <w:sz w:val="23"/>
                <w:szCs w:val="23"/>
                <w:color w:val="auto"/>
              </w:rPr>
            </w:pPr>
          </w:p>
        </w:tc>
      </w:tr>
      <w:tr>
        <w:trPr>
          <w:trHeight w:val="426"/>
        </w:trPr>
        <w:tc>
          <w:tcPr>
            <w:tcW w:w="1100" w:type="dxa"/>
            <w:vAlign w:val="bottom"/>
          </w:tcPr>
          <w:p>
            <w:pPr>
              <w:spacing w:after="0"/>
              <w:rPr>
                <w:sz w:val="24"/>
                <w:szCs w:val="24"/>
                <w:color w:val="auto"/>
              </w:rPr>
            </w:pPr>
          </w:p>
        </w:tc>
        <w:tc>
          <w:tcPr>
            <w:tcW w:w="1860" w:type="dxa"/>
            <w:vAlign w:val="bottom"/>
          </w:tcPr>
          <w:p>
            <w:pPr>
              <w:ind w:left="200"/>
              <w:spacing w:after="0"/>
              <w:rPr>
                <w:sz w:val="20"/>
                <w:szCs w:val="20"/>
                <w:color w:val="auto"/>
              </w:rPr>
            </w:pPr>
            <w:r>
              <w:rPr>
                <w:rFonts w:ascii="Arial" w:cs="Arial" w:eastAsia="Arial" w:hAnsi="Arial"/>
                <w:sz w:val="22"/>
                <w:szCs w:val="22"/>
                <w:color w:val="auto"/>
              </w:rPr>
              <w:t>Bank:</w:t>
            </w:r>
          </w:p>
        </w:tc>
        <w:tc>
          <w:tcPr>
            <w:tcW w:w="6800" w:type="dxa"/>
            <w:vAlign w:val="bottom"/>
            <w:gridSpan w:val="2"/>
          </w:tcPr>
          <w:p>
            <w:pPr>
              <w:jc w:val="right"/>
              <w:ind w:right="3432"/>
              <w:spacing w:after="0"/>
              <w:rPr>
                <w:sz w:val="20"/>
                <w:szCs w:val="20"/>
                <w:color w:val="auto"/>
              </w:rPr>
            </w:pPr>
            <w:r>
              <w:rPr>
                <w:rFonts w:ascii="Arial" w:cs="Arial" w:eastAsia="Arial" w:hAnsi="Arial"/>
                <w:sz w:val="22"/>
                <w:szCs w:val="22"/>
                <w:color w:val="auto"/>
                <w:w w:val="91"/>
              </w:rPr>
              <w:t>_____________________________</w:t>
            </w:r>
          </w:p>
        </w:tc>
      </w:tr>
      <w:tr>
        <w:trPr>
          <w:trHeight w:val="242"/>
        </w:trPr>
        <w:tc>
          <w:tcPr>
            <w:tcW w:w="1100" w:type="dxa"/>
            <w:vAlign w:val="bottom"/>
          </w:tcPr>
          <w:p>
            <w:pPr>
              <w:spacing w:after="0"/>
              <w:rPr>
                <w:sz w:val="21"/>
                <w:szCs w:val="21"/>
                <w:color w:val="auto"/>
              </w:rPr>
            </w:pPr>
          </w:p>
        </w:tc>
        <w:tc>
          <w:tcPr>
            <w:tcW w:w="1860" w:type="dxa"/>
            <w:vAlign w:val="bottom"/>
          </w:tcPr>
          <w:p>
            <w:pPr>
              <w:ind w:left="200"/>
              <w:spacing w:after="0" w:line="242" w:lineRule="exact"/>
              <w:rPr>
                <w:sz w:val="20"/>
                <w:szCs w:val="20"/>
                <w:color w:val="auto"/>
              </w:rPr>
            </w:pPr>
            <w:r>
              <w:rPr>
                <w:rFonts w:ascii="Arial" w:cs="Arial" w:eastAsia="Arial" w:hAnsi="Arial"/>
                <w:sz w:val="22"/>
                <w:szCs w:val="22"/>
                <w:color w:val="auto"/>
              </w:rPr>
              <w:t>Address:</w:t>
            </w:r>
          </w:p>
        </w:tc>
        <w:tc>
          <w:tcPr>
            <w:tcW w:w="6800" w:type="dxa"/>
            <w:vAlign w:val="bottom"/>
            <w:gridSpan w:val="2"/>
          </w:tcPr>
          <w:p>
            <w:pPr>
              <w:jc w:val="right"/>
              <w:ind w:right="3392"/>
              <w:spacing w:after="0" w:line="242" w:lineRule="exact"/>
              <w:rPr>
                <w:sz w:val="20"/>
                <w:szCs w:val="20"/>
                <w:color w:val="auto"/>
              </w:rPr>
            </w:pPr>
            <w:r>
              <w:rPr>
                <w:rFonts w:ascii="Arial" w:cs="Arial" w:eastAsia="Arial" w:hAnsi="Arial"/>
                <w:sz w:val="22"/>
                <w:szCs w:val="22"/>
                <w:color w:val="auto"/>
                <w:w w:val="92"/>
              </w:rPr>
              <w:t>_____________________________</w:t>
            </w:r>
          </w:p>
        </w:tc>
      </w:tr>
      <w:tr>
        <w:trPr>
          <w:trHeight w:val="242"/>
        </w:trPr>
        <w:tc>
          <w:tcPr>
            <w:tcW w:w="1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800" w:type="dxa"/>
            <w:vAlign w:val="bottom"/>
            <w:gridSpan w:val="2"/>
          </w:tcPr>
          <w:p>
            <w:pPr>
              <w:jc w:val="right"/>
              <w:ind w:right="3472"/>
              <w:spacing w:after="0" w:line="242" w:lineRule="exact"/>
              <w:rPr>
                <w:sz w:val="20"/>
                <w:szCs w:val="20"/>
                <w:color w:val="auto"/>
              </w:rPr>
            </w:pPr>
            <w:r>
              <w:rPr>
                <w:rFonts w:ascii="Arial" w:cs="Arial" w:eastAsia="Arial" w:hAnsi="Arial"/>
                <w:sz w:val="22"/>
                <w:szCs w:val="22"/>
                <w:color w:val="auto"/>
                <w:w w:val="90"/>
              </w:rPr>
              <w:t>_____________________________</w:t>
            </w:r>
          </w:p>
        </w:tc>
      </w:tr>
      <w:tr>
        <w:trPr>
          <w:trHeight w:val="242"/>
        </w:trPr>
        <w:tc>
          <w:tcPr>
            <w:tcW w:w="1100" w:type="dxa"/>
            <w:vAlign w:val="bottom"/>
          </w:tcPr>
          <w:p>
            <w:pPr>
              <w:spacing w:after="0"/>
              <w:rPr>
                <w:sz w:val="21"/>
                <w:szCs w:val="21"/>
                <w:color w:val="auto"/>
              </w:rPr>
            </w:pPr>
          </w:p>
        </w:tc>
        <w:tc>
          <w:tcPr>
            <w:tcW w:w="1860" w:type="dxa"/>
            <w:vAlign w:val="bottom"/>
          </w:tcPr>
          <w:p>
            <w:pPr>
              <w:ind w:left="200"/>
              <w:spacing w:after="0" w:line="242" w:lineRule="exact"/>
              <w:rPr>
                <w:sz w:val="20"/>
                <w:szCs w:val="20"/>
                <w:color w:val="auto"/>
              </w:rPr>
            </w:pPr>
            <w:r>
              <w:rPr>
                <w:rFonts w:ascii="Arial" w:cs="Arial" w:eastAsia="Arial" w:hAnsi="Arial"/>
                <w:sz w:val="22"/>
                <w:szCs w:val="22"/>
                <w:color w:val="auto"/>
              </w:rPr>
              <w:t>ABA Number:</w:t>
            </w:r>
          </w:p>
        </w:tc>
        <w:tc>
          <w:tcPr>
            <w:tcW w:w="6800" w:type="dxa"/>
            <w:vAlign w:val="bottom"/>
            <w:gridSpan w:val="2"/>
          </w:tcPr>
          <w:p>
            <w:pPr>
              <w:jc w:val="right"/>
              <w:ind w:right="3432"/>
              <w:spacing w:after="0" w:line="242" w:lineRule="exact"/>
              <w:rPr>
                <w:sz w:val="20"/>
                <w:szCs w:val="20"/>
                <w:color w:val="auto"/>
              </w:rPr>
            </w:pPr>
            <w:r>
              <w:rPr>
                <w:rFonts w:ascii="Arial" w:cs="Arial" w:eastAsia="Arial" w:hAnsi="Arial"/>
                <w:sz w:val="22"/>
                <w:szCs w:val="22"/>
                <w:color w:val="auto"/>
                <w:w w:val="91"/>
              </w:rPr>
              <w:t>_____________________________</w:t>
            </w:r>
          </w:p>
        </w:tc>
      </w:tr>
      <w:tr>
        <w:trPr>
          <w:trHeight w:val="242"/>
        </w:trPr>
        <w:tc>
          <w:tcPr>
            <w:tcW w:w="1100" w:type="dxa"/>
            <w:vAlign w:val="bottom"/>
          </w:tcPr>
          <w:p>
            <w:pPr>
              <w:spacing w:after="0"/>
              <w:rPr>
                <w:sz w:val="21"/>
                <w:szCs w:val="21"/>
                <w:color w:val="auto"/>
              </w:rPr>
            </w:pPr>
          </w:p>
        </w:tc>
        <w:tc>
          <w:tcPr>
            <w:tcW w:w="1860" w:type="dxa"/>
            <w:vAlign w:val="bottom"/>
          </w:tcPr>
          <w:p>
            <w:pPr>
              <w:ind w:left="200"/>
              <w:spacing w:after="0" w:line="242" w:lineRule="exact"/>
              <w:rPr>
                <w:sz w:val="20"/>
                <w:szCs w:val="20"/>
                <w:color w:val="auto"/>
              </w:rPr>
            </w:pPr>
            <w:r>
              <w:rPr>
                <w:rFonts w:ascii="Arial" w:cs="Arial" w:eastAsia="Arial" w:hAnsi="Arial"/>
                <w:sz w:val="22"/>
                <w:szCs w:val="22"/>
                <w:color w:val="auto"/>
                <w:w w:val="96"/>
              </w:rPr>
              <w:t>Account Number:</w:t>
            </w:r>
          </w:p>
        </w:tc>
        <w:tc>
          <w:tcPr>
            <w:tcW w:w="6800" w:type="dxa"/>
            <w:vAlign w:val="bottom"/>
            <w:gridSpan w:val="2"/>
          </w:tcPr>
          <w:p>
            <w:pPr>
              <w:jc w:val="right"/>
              <w:ind w:right="3412"/>
              <w:spacing w:after="0" w:line="242" w:lineRule="exact"/>
              <w:rPr>
                <w:sz w:val="20"/>
                <w:szCs w:val="20"/>
                <w:color w:val="auto"/>
              </w:rPr>
            </w:pPr>
            <w:r>
              <w:rPr>
                <w:rFonts w:ascii="Arial" w:cs="Arial" w:eastAsia="Arial" w:hAnsi="Arial"/>
                <w:sz w:val="22"/>
                <w:szCs w:val="22"/>
                <w:color w:val="auto"/>
                <w:w w:val="91"/>
              </w:rPr>
              <w:t>_____________________________</w:t>
            </w:r>
          </w:p>
        </w:tc>
      </w:tr>
      <w:tr>
        <w:trPr>
          <w:trHeight w:val="242"/>
        </w:trPr>
        <w:tc>
          <w:tcPr>
            <w:tcW w:w="1100" w:type="dxa"/>
            <w:vAlign w:val="bottom"/>
          </w:tcPr>
          <w:p>
            <w:pPr>
              <w:spacing w:after="0"/>
              <w:rPr>
                <w:sz w:val="21"/>
                <w:szCs w:val="21"/>
                <w:color w:val="auto"/>
              </w:rPr>
            </w:pPr>
          </w:p>
        </w:tc>
        <w:tc>
          <w:tcPr>
            <w:tcW w:w="1860" w:type="dxa"/>
            <w:vAlign w:val="bottom"/>
          </w:tcPr>
          <w:p>
            <w:pPr>
              <w:ind w:left="200"/>
              <w:spacing w:after="0" w:line="242" w:lineRule="exact"/>
              <w:rPr>
                <w:sz w:val="20"/>
                <w:szCs w:val="20"/>
                <w:color w:val="auto"/>
              </w:rPr>
            </w:pPr>
            <w:r>
              <w:rPr>
                <w:rFonts w:ascii="Arial" w:cs="Arial" w:eastAsia="Arial" w:hAnsi="Arial"/>
                <w:sz w:val="22"/>
                <w:szCs w:val="22"/>
                <w:color w:val="auto"/>
              </w:rPr>
              <w:t>Account Name:</w:t>
            </w:r>
          </w:p>
        </w:tc>
        <w:tc>
          <w:tcPr>
            <w:tcW w:w="6800" w:type="dxa"/>
            <w:vAlign w:val="bottom"/>
            <w:gridSpan w:val="2"/>
          </w:tcPr>
          <w:p>
            <w:pPr>
              <w:jc w:val="right"/>
              <w:ind w:right="3452"/>
              <w:spacing w:after="0" w:line="242" w:lineRule="exact"/>
              <w:rPr>
                <w:sz w:val="20"/>
                <w:szCs w:val="20"/>
                <w:color w:val="auto"/>
              </w:rPr>
            </w:pPr>
            <w:r>
              <w:rPr>
                <w:rFonts w:ascii="Arial" w:cs="Arial" w:eastAsia="Arial" w:hAnsi="Arial"/>
                <w:sz w:val="22"/>
                <w:szCs w:val="22"/>
                <w:color w:val="auto"/>
                <w:w w:val="90"/>
              </w:rPr>
              <w:t>_____________________________</w:t>
            </w:r>
          </w:p>
        </w:tc>
      </w:tr>
      <w:tr>
        <w:trPr>
          <w:trHeight w:val="242"/>
        </w:trPr>
        <w:tc>
          <w:tcPr>
            <w:tcW w:w="1100" w:type="dxa"/>
            <w:vAlign w:val="bottom"/>
          </w:tcPr>
          <w:p>
            <w:pPr>
              <w:spacing w:after="0"/>
              <w:rPr>
                <w:sz w:val="21"/>
                <w:szCs w:val="21"/>
                <w:color w:val="auto"/>
              </w:rPr>
            </w:pPr>
          </w:p>
        </w:tc>
        <w:tc>
          <w:tcPr>
            <w:tcW w:w="1860" w:type="dxa"/>
            <w:vAlign w:val="bottom"/>
          </w:tcPr>
          <w:p>
            <w:pPr>
              <w:ind w:left="200"/>
              <w:spacing w:after="0" w:line="242" w:lineRule="exact"/>
              <w:rPr>
                <w:sz w:val="20"/>
                <w:szCs w:val="20"/>
                <w:color w:val="auto"/>
              </w:rPr>
            </w:pPr>
            <w:r>
              <w:rPr>
                <w:rFonts w:ascii="Arial" w:cs="Arial" w:eastAsia="Arial" w:hAnsi="Arial"/>
                <w:sz w:val="22"/>
                <w:szCs w:val="22"/>
                <w:color w:val="auto"/>
              </w:rPr>
              <w:t>Contact Person:</w:t>
            </w:r>
          </w:p>
        </w:tc>
        <w:tc>
          <w:tcPr>
            <w:tcW w:w="6800" w:type="dxa"/>
            <w:vAlign w:val="bottom"/>
            <w:gridSpan w:val="2"/>
          </w:tcPr>
          <w:p>
            <w:pPr>
              <w:jc w:val="right"/>
              <w:ind w:right="3432"/>
              <w:spacing w:after="0" w:line="242" w:lineRule="exact"/>
              <w:rPr>
                <w:sz w:val="20"/>
                <w:szCs w:val="20"/>
                <w:color w:val="auto"/>
              </w:rPr>
            </w:pPr>
            <w:r>
              <w:rPr>
                <w:rFonts w:ascii="Arial" w:cs="Arial" w:eastAsia="Arial" w:hAnsi="Arial"/>
                <w:sz w:val="22"/>
                <w:szCs w:val="22"/>
                <w:color w:val="auto"/>
                <w:w w:val="91"/>
              </w:rPr>
              <w:t>_____________________________</w:t>
            </w:r>
          </w:p>
        </w:tc>
      </w:tr>
      <w:tr>
        <w:trPr>
          <w:trHeight w:val="242"/>
        </w:trPr>
        <w:tc>
          <w:tcPr>
            <w:tcW w:w="1100" w:type="dxa"/>
            <w:vAlign w:val="bottom"/>
          </w:tcPr>
          <w:p>
            <w:pPr>
              <w:spacing w:after="0"/>
              <w:rPr>
                <w:sz w:val="21"/>
                <w:szCs w:val="21"/>
                <w:color w:val="auto"/>
              </w:rPr>
            </w:pPr>
          </w:p>
        </w:tc>
        <w:tc>
          <w:tcPr>
            <w:tcW w:w="1860" w:type="dxa"/>
            <w:vAlign w:val="bottom"/>
          </w:tcPr>
          <w:p>
            <w:pPr>
              <w:ind w:left="200"/>
              <w:spacing w:after="0" w:line="242" w:lineRule="exact"/>
              <w:rPr>
                <w:sz w:val="20"/>
                <w:szCs w:val="20"/>
                <w:color w:val="auto"/>
              </w:rPr>
            </w:pPr>
            <w:r>
              <w:rPr>
                <w:rFonts w:ascii="Arial" w:cs="Arial" w:eastAsia="Arial" w:hAnsi="Arial"/>
                <w:sz w:val="22"/>
                <w:szCs w:val="22"/>
                <w:color w:val="auto"/>
              </w:rPr>
              <w:t>Phone Number</w:t>
            </w:r>
          </w:p>
        </w:tc>
        <w:tc>
          <w:tcPr>
            <w:tcW w:w="1900" w:type="dxa"/>
            <w:vAlign w:val="bottom"/>
          </w:tcPr>
          <w:p>
            <w:pPr>
              <w:spacing w:after="0"/>
              <w:rPr>
                <w:sz w:val="21"/>
                <w:szCs w:val="21"/>
                <w:color w:val="auto"/>
              </w:rPr>
            </w:pPr>
          </w:p>
        </w:tc>
        <w:tc>
          <w:tcPr>
            <w:tcW w:w="4900" w:type="dxa"/>
            <w:vAlign w:val="bottom"/>
          </w:tcPr>
          <w:p>
            <w:pPr>
              <w:spacing w:after="0"/>
              <w:rPr>
                <w:sz w:val="21"/>
                <w:szCs w:val="21"/>
                <w:color w:val="auto"/>
              </w:rPr>
            </w:pPr>
          </w:p>
        </w:tc>
      </w:tr>
      <w:tr>
        <w:trPr>
          <w:trHeight w:val="242"/>
        </w:trPr>
        <w:tc>
          <w:tcPr>
            <w:tcW w:w="1100" w:type="dxa"/>
            <w:vAlign w:val="bottom"/>
          </w:tcPr>
          <w:p>
            <w:pPr>
              <w:spacing w:after="0"/>
              <w:rPr>
                <w:sz w:val="21"/>
                <w:szCs w:val="21"/>
                <w:color w:val="auto"/>
              </w:rPr>
            </w:pPr>
          </w:p>
        </w:tc>
        <w:tc>
          <w:tcPr>
            <w:tcW w:w="8660" w:type="dxa"/>
            <w:vAlign w:val="bottom"/>
            <w:gridSpan w:val="3"/>
          </w:tcPr>
          <w:p>
            <w:pPr>
              <w:ind w:left="200"/>
              <w:spacing w:after="0" w:line="242" w:lineRule="exact"/>
              <w:rPr>
                <w:sz w:val="20"/>
                <w:szCs w:val="20"/>
                <w:color w:val="auto"/>
              </w:rPr>
            </w:pPr>
            <w:r>
              <w:rPr>
                <w:rFonts w:ascii="Arial" w:cs="Arial" w:eastAsia="Arial" w:hAnsi="Arial"/>
                <w:sz w:val="22"/>
                <w:szCs w:val="22"/>
                <w:color w:val="auto"/>
              </w:rPr>
              <w:t>To Verify Wire Info: _____________________________</w:t>
            </w:r>
          </w:p>
        </w:tc>
      </w:tr>
      <w:tr>
        <w:trPr>
          <w:trHeight w:val="274"/>
        </w:trPr>
        <w:tc>
          <w:tcPr>
            <w:tcW w:w="1100" w:type="dxa"/>
            <w:vAlign w:val="bottom"/>
          </w:tcPr>
          <w:p>
            <w:pPr>
              <w:spacing w:after="0"/>
              <w:rPr>
                <w:sz w:val="23"/>
                <w:szCs w:val="23"/>
                <w:color w:val="auto"/>
              </w:rPr>
            </w:pPr>
          </w:p>
        </w:tc>
        <w:tc>
          <w:tcPr>
            <w:tcW w:w="1860" w:type="dxa"/>
            <w:vAlign w:val="bottom"/>
          </w:tcPr>
          <w:p>
            <w:pPr>
              <w:ind w:left="200"/>
              <w:spacing w:after="0"/>
              <w:rPr>
                <w:sz w:val="20"/>
                <w:szCs w:val="20"/>
                <w:color w:val="auto"/>
              </w:rPr>
            </w:pPr>
            <w:r>
              <w:rPr>
                <w:rFonts w:ascii="Arial" w:cs="Arial" w:eastAsia="Arial" w:hAnsi="Arial"/>
                <w:sz w:val="22"/>
                <w:szCs w:val="22"/>
                <w:color w:val="auto"/>
              </w:rPr>
              <w:t>Email address:</w:t>
            </w:r>
          </w:p>
        </w:tc>
        <w:tc>
          <w:tcPr>
            <w:tcW w:w="6800" w:type="dxa"/>
            <w:vAlign w:val="bottom"/>
            <w:gridSpan w:val="2"/>
          </w:tcPr>
          <w:p>
            <w:pPr>
              <w:jc w:val="right"/>
              <w:ind w:right="3372"/>
              <w:spacing w:after="0"/>
              <w:rPr>
                <w:sz w:val="20"/>
                <w:szCs w:val="20"/>
                <w:color w:val="auto"/>
              </w:rPr>
            </w:pPr>
            <w:r>
              <w:rPr>
                <w:rFonts w:ascii="Arial" w:cs="Arial" w:eastAsia="Arial" w:hAnsi="Arial"/>
                <w:sz w:val="22"/>
                <w:szCs w:val="22"/>
                <w:color w:val="auto"/>
                <w:w w:val="93"/>
              </w:rPr>
              <w:t>_____________________________</w:t>
            </w:r>
          </w:p>
        </w:tc>
      </w:tr>
    </w:tbl>
    <w:p>
      <w:pPr>
        <w:spacing w:after="0" w:line="211" w:lineRule="exact"/>
        <w:rPr>
          <w:sz w:val="20"/>
          <w:szCs w:val="20"/>
          <w:color w:val="auto"/>
        </w:rPr>
      </w:pPr>
    </w:p>
    <w:p>
      <w:pPr>
        <w:ind w:firstLine="646"/>
        <w:spacing w:after="0" w:line="258" w:lineRule="auto"/>
        <w:rPr>
          <w:sz w:val="20"/>
          <w:szCs w:val="20"/>
          <w:color w:val="auto"/>
        </w:rPr>
      </w:pPr>
      <w:r>
        <w:rPr>
          <w:rFonts w:ascii="Arial" w:cs="Arial" w:eastAsia="Arial" w:hAnsi="Arial"/>
          <w:sz w:val="20"/>
          <w:szCs w:val="20"/>
          <w:color w:val="auto"/>
        </w:rPr>
        <w:t>Borrower represents that the conditions precedent to the Advance set forth in the Agreement are satisfied, waived, or shall be satisfied upon the making of such Advance, including but not limited to: (i) that no event that has had or could reasonably be expected to have a Material Adverse Effect has occurred and is continuing; (ii) that the representations and warranties set forth in the Agreement are and shall be true and correct in all material respects on and as of the Advance Date with the same effect as though made on and as of such date, except to the extent such representations and warranties expressly relate to an earlier date in which case they shall be true and correct in all material respects as of such date; (iii) that Borrower is in compliance with all the terms and provisions set forth in each Loan Document on its part to be observed or performed; and (iv) that as of the Advance Date, no fact or condition exists that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type w:val="continuous"/>
        </w:sectPr>
      </w:pPr>
    </w:p>
    <w:bookmarkStart w:id="268" w:name="page269"/>
    <w:bookmarkEnd w:id="268"/>
    <w:p>
      <w:pPr>
        <w:ind w:right="100"/>
        <w:spacing w:after="0" w:line="237" w:lineRule="auto"/>
        <w:rPr>
          <w:sz w:val="20"/>
          <w:szCs w:val="20"/>
          <w:color w:val="auto"/>
        </w:rPr>
      </w:pPr>
      <w:r>
        <w:rPr>
          <w:rFonts w:ascii="Arial" w:cs="Arial" w:eastAsia="Arial" w:hAnsi="Arial"/>
          <w:sz w:val="22"/>
          <w:szCs w:val="22"/>
          <w:color w:val="auto"/>
        </w:rPr>
        <w:t>would (or would, with the passage of time, the giving of notice, or both) constitute an Event of Default under the Loan Documents. Borrower understands and acknowledges that Agent has the right to review the financial information supporting this representation and, based upon such review in its sole but reasonable discretion, Lender may decline to fund the requested Advance.</w:t>
      </w:r>
    </w:p>
    <w:p>
      <w:pPr>
        <w:spacing w:after="0" w:line="186" w:lineRule="exact"/>
        <w:rPr>
          <w:sz w:val="20"/>
          <w:szCs w:val="20"/>
          <w:color w:val="auto"/>
        </w:rPr>
      </w:pPr>
    </w:p>
    <w:p>
      <w:pPr>
        <w:jc w:val="both"/>
        <w:ind w:right="220" w:firstLine="646"/>
        <w:spacing w:after="0" w:line="239" w:lineRule="auto"/>
        <w:rPr>
          <w:sz w:val="20"/>
          <w:szCs w:val="20"/>
          <w:color w:val="auto"/>
        </w:rPr>
      </w:pPr>
      <w:r>
        <w:rPr>
          <w:rFonts w:ascii="Arial" w:cs="Arial" w:eastAsia="Arial" w:hAnsi="Arial"/>
          <w:sz w:val="22"/>
          <w:szCs w:val="22"/>
          <w:color w:val="auto"/>
        </w:rPr>
        <w:t>Borrower hereby represents that Borrower’s corporate status and locations have not changed since the date of the Agreement or, if the Attachment to this Advance Request is completed, are as set forth in the Attachment to this Advance Request.</w:t>
      </w:r>
    </w:p>
    <w:p>
      <w:pPr>
        <w:spacing w:after="0" w:line="186" w:lineRule="exact"/>
        <w:rPr>
          <w:sz w:val="20"/>
          <w:szCs w:val="20"/>
          <w:color w:val="auto"/>
        </w:rPr>
      </w:pPr>
    </w:p>
    <w:p>
      <w:pPr>
        <w:ind w:firstLine="646"/>
        <w:spacing w:after="0" w:line="237" w:lineRule="auto"/>
        <w:rPr>
          <w:sz w:val="20"/>
          <w:szCs w:val="20"/>
          <w:color w:val="auto"/>
        </w:rPr>
      </w:pPr>
      <w:r>
        <w:rPr>
          <w:rFonts w:ascii="Arial" w:cs="Arial" w:eastAsia="Arial" w:hAnsi="Arial"/>
          <w:sz w:val="22"/>
          <w:szCs w:val="22"/>
          <w:color w:val="auto"/>
        </w:rPr>
        <w:t>Borrower agrees to notify Agent promptly before the funding of the Loan if any of the matters which have been represented above shall not be true and correct on the Borrowing Date and if Agent has received no such notice before the Advance Date then the statements set forth above shall be deemed to have been made and shall be deemed to be true and correct as of the Advance Date.</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274"/>
        </w:trPr>
        <w:tc>
          <w:tcPr>
            <w:tcW w:w="1780" w:type="dxa"/>
            <w:vAlign w:val="bottom"/>
          </w:tcPr>
          <w:p>
            <w:pPr>
              <w:spacing w:after="0"/>
              <w:rPr>
                <w:sz w:val="20"/>
                <w:szCs w:val="20"/>
                <w:color w:val="auto"/>
              </w:rPr>
            </w:pPr>
            <w:r>
              <w:rPr>
                <w:rFonts w:ascii="Arial" w:cs="Arial" w:eastAsia="Arial" w:hAnsi="Arial"/>
                <w:sz w:val="22"/>
                <w:szCs w:val="22"/>
                <w:color w:val="auto"/>
              </w:rPr>
              <w:t>Executed as of [</w:t>
            </w:r>
          </w:p>
        </w:tc>
        <w:tc>
          <w:tcPr>
            <w:tcW w:w="1120" w:type="dxa"/>
            <w:vAlign w:val="bottom"/>
          </w:tcPr>
          <w:p>
            <w:pPr>
              <w:jc w:val="right"/>
              <w:spacing w:after="0"/>
              <w:rPr>
                <w:sz w:val="20"/>
                <w:szCs w:val="20"/>
                <w:color w:val="auto"/>
              </w:rPr>
            </w:pPr>
            <w:r>
              <w:rPr>
                <w:rFonts w:ascii="Arial" w:cs="Arial" w:eastAsia="Arial" w:hAnsi="Arial"/>
                <w:sz w:val="22"/>
                <w:szCs w:val="22"/>
                <w:color w:val="auto"/>
              </w:rPr>
              <w:t>], 20[  ].</w:t>
            </w:r>
          </w:p>
        </w:tc>
      </w:tr>
    </w:tbl>
    <w:p>
      <w:pPr>
        <w:spacing w:after="0" w:line="18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BORROWER: VERASTEM, INC.</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SIGNATURE:________________________</w:t>
      </w:r>
    </w:p>
    <w:p>
      <w:pPr>
        <w:ind w:left="4520"/>
        <w:spacing w:after="0" w:line="236" w:lineRule="auto"/>
        <w:rPr>
          <w:sz w:val="20"/>
          <w:szCs w:val="20"/>
          <w:color w:val="auto"/>
        </w:rPr>
      </w:pPr>
      <w:r>
        <w:rPr>
          <w:rFonts w:ascii="Arial" w:cs="Arial" w:eastAsia="Arial" w:hAnsi="Arial"/>
          <w:sz w:val="22"/>
          <w:szCs w:val="22"/>
          <w:color w:val="auto"/>
        </w:rPr>
        <w:t>TITLE:_____________________________</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PRINT NAME:______________________</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269" w:name="page270"/>
    <w:bookmarkEnd w:id="269"/>
    <w:p>
      <w:pPr>
        <w:jc w:val="center"/>
        <w:ind w:right="-499"/>
        <w:spacing w:after="0"/>
        <w:rPr>
          <w:sz w:val="20"/>
          <w:szCs w:val="20"/>
          <w:color w:val="auto"/>
        </w:rPr>
      </w:pPr>
      <w:r>
        <w:rPr>
          <w:rFonts w:ascii="Arial" w:cs="Arial" w:eastAsia="Arial" w:hAnsi="Arial"/>
          <w:sz w:val="22"/>
          <w:szCs w:val="22"/>
          <w:b w:val="1"/>
          <w:bCs w:val="1"/>
          <w:color w:val="auto"/>
        </w:rPr>
        <w:t>ATTACHMENT TO ADVANCE REQUEST</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Dated: _______________________</w:t>
      </w:r>
    </w:p>
    <w:p>
      <w:pPr>
        <w:spacing w:after="0" w:line="205"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Borrower hereby represents and warrants to Agent that Borrower’s current name and organizational status is as follows:</w:t>
      </w:r>
    </w:p>
    <w:p>
      <w:pPr>
        <w:sectPr>
          <w:pgSz w:w="11900" w:h="16838" w:orient="portrait"/>
          <w:cols w:equalWidth="0" w:num="1">
            <w:col w:w="9560"/>
          </w:cols>
          <w:pgMar w:left="920" w:top="112" w:right="1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w:t>
      </w:r>
    </w:p>
    <w:p>
      <w:pPr>
        <w:ind w:left="1300"/>
        <w:spacing w:after="0" w:line="236" w:lineRule="auto"/>
        <w:rPr>
          <w:sz w:val="20"/>
          <w:szCs w:val="20"/>
          <w:color w:val="auto"/>
        </w:rPr>
      </w:pPr>
      <w:r>
        <w:rPr>
          <w:rFonts w:ascii="Arial" w:cs="Arial" w:eastAsia="Arial" w:hAnsi="Arial"/>
          <w:sz w:val="22"/>
          <w:szCs w:val="22"/>
          <w:color w:val="auto"/>
        </w:rPr>
        <w:t>Type of organization:</w:t>
      </w:r>
    </w:p>
    <w:p>
      <w:pPr>
        <w:ind w:left="1300"/>
        <w:spacing w:after="0" w:line="230" w:lineRule="auto"/>
        <w:rPr>
          <w:sz w:val="20"/>
          <w:szCs w:val="20"/>
          <w:color w:val="auto"/>
        </w:rPr>
      </w:pPr>
      <w:r>
        <w:rPr>
          <w:rFonts w:ascii="Arial" w:cs="Arial" w:eastAsia="Arial" w:hAnsi="Arial"/>
          <w:sz w:val="22"/>
          <w:szCs w:val="22"/>
          <w:color w:val="auto"/>
        </w:rPr>
        <w:t>State of organization: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Organization file number:</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color w:val="auto"/>
        </w:rPr>
        <w:t>Verastem, Inc.</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Corporation</w:t>
      </w:r>
    </w:p>
    <w:p>
      <w:pPr>
        <w:spacing w:after="0" w:line="229" w:lineRule="auto"/>
        <w:rPr>
          <w:sz w:val="20"/>
          <w:szCs w:val="20"/>
          <w:color w:val="auto"/>
        </w:rPr>
      </w:pPr>
      <w:r>
        <w:rPr>
          <w:rFonts w:ascii="Arial" w:cs="Arial" w:eastAsia="Arial" w:hAnsi="Arial"/>
          <w:sz w:val="22"/>
          <w:szCs w:val="22"/>
          <w:color w:val="auto"/>
        </w:rPr>
        <w:t>Delaware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4853179</w:t>
      </w:r>
    </w:p>
    <w:p>
      <w:pPr>
        <w:spacing w:after="0" w:line="187" w:lineRule="exact"/>
        <w:rPr>
          <w:sz w:val="20"/>
          <w:szCs w:val="20"/>
          <w:color w:val="auto"/>
        </w:rPr>
      </w:pPr>
    </w:p>
    <w:p>
      <w:pPr>
        <w:sectPr>
          <w:pgSz w:w="11900" w:h="16838" w:orient="portrait"/>
          <w:cols w:equalWidth="0" w:num="2">
            <w:col w:w="3520" w:space="180"/>
            <w:col w:w="5860"/>
          </w:cols>
          <w:pgMar w:left="920" w:top="112" w:right="1419" w:bottom="1440" w:gutter="0" w:footer="0" w:header="0"/>
          <w:type w:val="continuous"/>
        </w:sectPr>
      </w:pPr>
    </w:p>
    <w:p>
      <w:pPr>
        <w:spacing w:after="0" w:line="249" w:lineRule="auto"/>
        <w:rPr>
          <w:sz w:val="20"/>
          <w:szCs w:val="20"/>
          <w:color w:val="auto"/>
        </w:rPr>
      </w:pPr>
      <w:r>
        <w:rPr>
          <w:rFonts w:ascii="Arial" w:cs="Arial" w:eastAsia="Arial" w:hAnsi="Arial"/>
          <w:sz w:val="22"/>
          <w:szCs w:val="22"/>
          <w:color w:val="auto"/>
        </w:rPr>
        <w:t>Borrower hereby represents and warrants to Agent that the street addresses, cities, states and postal codes of its current locations are as follows: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117 Kendrick Street, Suite 500, Needham, MA 02494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60"/>
          </w:cols>
          <w:pgMar w:left="920" w:top="112" w:right="1419" w:bottom="1440" w:gutter="0" w:footer="0" w:header="0"/>
          <w:type w:val="continuous"/>
        </w:sectPr>
      </w:pPr>
    </w:p>
    <w:bookmarkStart w:id="270" w:name="page271"/>
    <w:bookmarkEnd w:id="270"/>
    <w:p>
      <w:pPr>
        <w:jc w:val="center"/>
        <w:spacing w:after="0"/>
        <w:rPr>
          <w:sz w:val="20"/>
          <w:szCs w:val="20"/>
          <w:color w:val="auto"/>
        </w:rPr>
      </w:pPr>
      <w:r>
        <w:rPr>
          <w:rFonts w:ascii="Arial" w:cs="Arial" w:eastAsia="Arial" w:hAnsi="Arial"/>
          <w:sz w:val="22"/>
          <w:szCs w:val="22"/>
          <w:b w:val="1"/>
          <w:bCs w:val="1"/>
          <w:color w:val="auto"/>
        </w:rPr>
        <w:t>EXHIBIT B</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THE FOLLOWING INFORMATION IS SUPPLIED SOLELY FOR U.S. FEDERAL INCOME TAX PURPOSES. THIS NOTE WAS ISSUED WITH ORIGINAL ISSUE DISCOUNT (‘‘OID’’) WITHIN THE MEANING OF SECTION 1273 OF THE INTERNAL REVENUE CODE OF 1986, AS AMENDED (THE ‘‘CODE’’), AND THIS LEGEND IS REQUIRED BY SECTION 1275(C) OF THE CODE.</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HOLDERS MAY OBTAIN INFORMATION REGARDING THE AMOUNT OF OID, THE ISSUE PRICE, THE ISSUE DATE, AND THE YIELD TO MATURITY RELATING TO THE NOTES BY CONTACTING [NAME OR TITLE] [ADDRESS] [TELEPHONE NUMBER]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SECURED TERM PROMISSORY NOTE</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2740" w:type="dxa"/>
            <w:vAlign w:val="bottom"/>
          </w:tcPr>
          <w:p>
            <w:pPr>
              <w:jc w:val="right"/>
              <w:ind w:right="1552"/>
              <w:spacing w:after="0"/>
              <w:rPr>
                <w:sz w:val="20"/>
                <w:szCs w:val="20"/>
                <w:color w:val="auto"/>
              </w:rPr>
            </w:pPr>
            <w:r>
              <w:rPr>
                <w:rFonts w:ascii="Arial" w:cs="Arial" w:eastAsia="Arial" w:hAnsi="Arial"/>
                <w:sz w:val="22"/>
                <w:szCs w:val="22"/>
                <w:color w:val="auto"/>
                <w:w w:val="86"/>
              </w:rPr>
              <w:t>$25,000,000</w:t>
            </w:r>
          </w:p>
        </w:tc>
        <w:tc>
          <w:tcPr>
            <w:tcW w:w="4360" w:type="dxa"/>
            <w:vAlign w:val="bottom"/>
          </w:tcPr>
          <w:p>
            <w:pPr>
              <w:ind w:left="1920"/>
              <w:spacing w:after="0"/>
              <w:rPr>
                <w:sz w:val="20"/>
                <w:szCs w:val="20"/>
                <w:color w:val="auto"/>
              </w:rPr>
            </w:pPr>
            <w:r>
              <w:rPr>
                <w:rFonts w:ascii="Arial" w:cs="Arial" w:eastAsia="Arial" w:hAnsi="Arial"/>
                <w:sz w:val="22"/>
                <w:szCs w:val="22"/>
                <w:color w:val="auto"/>
                <w:w w:val="92"/>
              </w:rPr>
              <w:t>Advance Date: ___ __, 20[</w:t>
            </w:r>
          </w:p>
        </w:tc>
        <w:tc>
          <w:tcPr>
            <w:tcW w:w="1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58"/>
        </w:trPr>
        <w:tc>
          <w:tcPr>
            <w:tcW w:w="2740" w:type="dxa"/>
            <w:vAlign w:val="bottom"/>
          </w:tcPr>
          <w:p>
            <w:pPr>
              <w:spacing w:after="0"/>
              <w:rPr>
                <w:sz w:val="24"/>
                <w:szCs w:val="24"/>
                <w:color w:val="auto"/>
              </w:rPr>
            </w:pPr>
          </w:p>
        </w:tc>
        <w:tc>
          <w:tcPr>
            <w:tcW w:w="4480" w:type="dxa"/>
            <w:vAlign w:val="bottom"/>
            <w:gridSpan w:val="2"/>
          </w:tcPr>
          <w:p>
            <w:pPr>
              <w:jc w:val="right"/>
              <w:spacing w:after="0"/>
              <w:rPr>
                <w:sz w:val="20"/>
                <w:szCs w:val="20"/>
                <w:color w:val="auto"/>
              </w:rPr>
            </w:pPr>
            <w:r>
              <w:rPr>
                <w:rFonts w:ascii="Arial" w:cs="Arial" w:eastAsia="Arial" w:hAnsi="Arial"/>
                <w:sz w:val="22"/>
                <w:szCs w:val="22"/>
                <w:color w:val="auto"/>
              </w:rPr>
              <w:t>Maturity Date: _____ ___, 20[ ]</w:t>
            </w:r>
          </w:p>
        </w:tc>
      </w:tr>
    </w:tbl>
    <w:p>
      <w:pPr>
        <w:spacing w:after="0" w:line="359"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20"/>
          <w:szCs w:val="20"/>
          <w:color w:val="auto"/>
        </w:rPr>
        <w:t>FOR VALUE RECEIVED, VERASTEM, INC., a Delaware corporation, for itself and each of its Qualified Subsidiaries (the “Borrower”) hereby promises to pay to Hercules Capital, Inc., a Maryland corporation (or its registered assigns) (the “Lender”) at 400 Hamilton Avenue, Suite 310, Palo Alto, CA 94301 or such other place of payment as the registered holder of this Secured Term Promissory Note (this “Promissory Note”) may specify from time to time in writing, in lawful money of the United States of America, the principal amount of Twenty-Five Million Dollars ($25,000,000) or such other principal amount as Lender has advanced to Borrower, together with interest at a rate as set forth in Section 2.1(c) of the Loan Agreement based upon a year consisting of 360 days, with interest computed daily based on the actual number of days in each month.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This Promissory Note is the Note referred to in, and is executed and delivered in connection with, that</w:t>
      </w:r>
    </w:p>
    <w:p>
      <w:pPr>
        <w:spacing w:after="0" w:line="7"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certain Loan and Security Agreement dated [ ], 2017, by and among Borrower, Hercules Capital, Inc., a Maryland corporation (the “Agent”) and the several banks and other financial institutions or entities from time to time party thereto as lender (as the same may from time to time be amended, modified or supplemented in accordance with its terms, the “Loan Agreement”), and is entitled to the benefit and security of the Loan Agreement and the other Loan Documents (as defined in the Loan Agreement), to which reference is made for a statement of all of the terms and conditions thereof. All payments shall be made in accordance with the Loan Agreement. All terms defined in the Loan Agreement shall have the same definitions when used herein, unless otherwise defined herein. An Event of Default under the Loan Agreement shall constitute a default under this Promissory Note.</w:t>
      </w:r>
    </w:p>
    <w:p>
      <w:pPr>
        <w:spacing w:after="0" w:line="173" w:lineRule="exact"/>
        <w:rPr>
          <w:sz w:val="20"/>
          <w:szCs w:val="20"/>
          <w:color w:val="auto"/>
        </w:rPr>
      </w:pPr>
    </w:p>
    <w:p>
      <w:pPr>
        <w:ind w:right="200" w:firstLine="646"/>
        <w:spacing w:after="0" w:line="278" w:lineRule="auto"/>
        <w:rPr>
          <w:sz w:val="20"/>
          <w:szCs w:val="20"/>
          <w:color w:val="auto"/>
        </w:rPr>
      </w:pPr>
      <w:r>
        <w:rPr>
          <w:rFonts w:ascii="Arial" w:cs="Arial" w:eastAsia="Arial" w:hAnsi="Arial"/>
          <w:sz w:val="19"/>
          <w:szCs w:val="19"/>
          <w:color w:val="auto"/>
        </w:rPr>
        <w:t>Borrower waives presentment and demand for payment, notice of dishonor, protest and notice of protest under the UCC or any applicable law. Borrower agrees to make all payments under this Promissory Note without setoff, recoupment or deduction and regardless of any counterclaim or defense. This Promissory Note has been negotiated and delivered to Lender and is payable in the State of California. This Promissory Note shall be governed by and construed and enforced in accordance with, the laws of the State of California, excluding any conflicts of law rules or principles that would cause the application of the laws of any other jurisdiction.</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BORROWER FOR ITSELF AND</w:t>
      </w:r>
    </w:p>
    <w:p>
      <w:pPr>
        <w:spacing w:after="0" w:line="205" w:lineRule="exact"/>
        <w:rPr>
          <w:sz w:val="20"/>
          <w:szCs w:val="20"/>
          <w:color w:val="auto"/>
        </w:rPr>
      </w:pPr>
    </w:p>
    <w:p>
      <w:pPr>
        <w:spacing w:after="0"/>
        <w:tabs>
          <w:tab w:leader="none" w:pos="5000" w:val="left"/>
        </w:tabs>
        <w:rPr>
          <w:sz w:val="20"/>
          <w:szCs w:val="20"/>
          <w:color w:val="auto"/>
        </w:rPr>
      </w:pPr>
      <w:r>
        <w:rPr>
          <w:rFonts w:ascii="Arial" w:cs="Arial" w:eastAsia="Arial" w:hAnsi="Arial"/>
          <w:sz w:val="22"/>
          <w:szCs w:val="22"/>
          <w:color w:val="auto"/>
        </w:rPr>
        <w:t>ON BEHALF OF ITS QUALIFIED SUBSIDIARIES:</w:t>
      </w:r>
      <w:r>
        <w:rPr>
          <w:sz w:val="20"/>
          <w:szCs w:val="20"/>
          <w:color w:val="auto"/>
        </w:rPr>
        <w:tab/>
      </w:r>
      <w:r>
        <w:rPr>
          <w:rFonts w:ascii="Arial" w:cs="Arial" w:eastAsia="Arial" w:hAnsi="Arial"/>
          <w:sz w:val="20"/>
          <w:szCs w:val="20"/>
          <w:color w:val="auto"/>
        </w:rPr>
        <w:t>VERASTEM, INC.</w:t>
      </w:r>
    </w:p>
    <w:p>
      <w:pPr>
        <w:spacing w:after="0" w:line="20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SIGNATURE:</w:t>
      </w:r>
    </w:p>
    <w:p>
      <w:pPr>
        <w:spacing w:after="0" w:line="20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3188335</wp:posOffset>
            </wp:positionH>
            <wp:positionV relativeFrom="paragraph">
              <wp:posOffset>-146685</wp:posOffset>
            </wp:positionV>
            <wp:extent cx="320484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19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3188335</wp:posOffset>
            </wp:positionH>
            <wp:positionV relativeFrom="paragraph">
              <wp:posOffset>152400</wp:posOffset>
            </wp:positionV>
            <wp:extent cx="32048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04845" cy="8255"/>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-146685</wp:posOffset>
            </wp:positionV>
            <wp:extent cx="32048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92545" cy="1714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71" w:name="page272"/>
    <w:bookmarkEnd w:id="271"/>
    <w:p>
      <w:pPr>
        <w:jc w:val="center"/>
        <w:ind w:right="-199"/>
        <w:spacing w:after="0"/>
        <w:rPr>
          <w:sz w:val="20"/>
          <w:szCs w:val="20"/>
          <w:color w:val="auto"/>
        </w:rPr>
      </w:pPr>
      <w:r>
        <w:rPr>
          <w:rFonts w:ascii="Arial" w:cs="Arial" w:eastAsia="Arial" w:hAnsi="Arial"/>
          <w:sz w:val="20"/>
          <w:szCs w:val="20"/>
          <w:b w:val="1"/>
          <w:bCs w:val="1"/>
          <w:color w:val="auto"/>
        </w:rPr>
        <w:t>EXHIBIT C</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22"/>
          <w:szCs w:val="22"/>
          <w:b w:val="1"/>
          <w:bCs w:val="1"/>
          <w:color w:val="auto"/>
        </w:rPr>
        <w:t>NAME, LOCATIONS, AND OTHER INFORMATION FOR BORROWER</w:t>
      </w:r>
    </w:p>
    <w:p>
      <w:pPr>
        <w:spacing w:after="0" w:line="211" w:lineRule="exact"/>
        <w:rPr>
          <w:sz w:val="20"/>
          <w:szCs w:val="20"/>
          <w:color w:val="auto"/>
        </w:rPr>
      </w:pPr>
    </w:p>
    <w:p>
      <w:pPr>
        <w:ind w:firstLine="645"/>
        <w:spacing w:after="0" w:line="249" w:lineRule="auto"/>
        <w:tabs>
          <w:tab w:leader="none" w:pos="91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Borrower represents and warrants to Agent that Borrower’s current name and organizational status as of the Closing Date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40" w:type="dxa"/>
            <w:vAlign w:val="bottom"/>
          </w:tcPr>
          <w:p>
            <w:pPr>
              <w:spacing w:after="0"/>
              <w:rPr>
                <w:sz w:val="20"/>
                <w:szCs w:val="20"/>
                <w:color w:val="auto"/>
              </w:rPr>
            </w:pPr>
            <w:r>
              <w:rPr>
                <w:rFonts w:ascii="Arial" w:cs="Arial" w:eastAsia="Arial" w:hAnsi="Arial"/>
                <w:sz w:val="22"/>
                <w:szCs w:val="22"/>
                <w:color w:val="auto"/>
              </w:rPr>
              <w:t>Name:</w:t>
            </w:r>
          </w:p>
        </w:tc>
        <w:tc>
          <w:tcPr>
            <w:tcW w:w="1580" w:type="dxa"/>
            <w:vAlign w:val="bottom"/>
          </w:tcPr>
          <w:p>
            <w:pPr>
              <w:ind w:left="300"/>
              <w:spacing w:after="0"/>
              <w:rPr>
                <w:sz w:val="20"/>
                <w:szCs w:val="20"/>
                <w:color w:val="auto"/>
              </w:rPr>
            </w:pPr>
            <w:r>
              <w:rPr>
                <w:rFonts w:ascii="Arial" w:cs="Arial" w:eastAsia="Arial" w:hAnsi="Arial"/>
                <w:sz w:val="22"/>
                <w:szCs w:val="22"/>
                <w:color w:val="auto"/>
                <w:w w:val="88"/>
              </w:rPr>
              <w:t>Verastem, Inc.</w:t>
            </w:r>
          </w:p>
        </w:tc>
      </w:tr>
      <w:tr>
        <w:trPr>
          <w:trHeight w:val="458"/>
        </w:trPr>
        <w:tc>
          <w:tcPr>
            <w:tcW w:w="2540" w:type="dxa"/>
            <w:vAlign w:val="bottom"/>
          </w:tcPr>
          <w:p>
            <w:pPr>
              <w:spacing w:after="0"/>
              <w:rPr>
                <w:sz w:val="20"/>
                <w:szCs w:val="20"/>
                <w:color w:val="auto"/>
              </w:rPr>
            </w:pPr>
            <w:r>
              <w:rPr>
                <w:rFonts w:ascii="Arial" w:cs="Arial" w:eastAsia="Arial" w:hAnsi="Arial"/>
                <w:sz w:val="22"/>
                <w:szCs w:val="22"/>
                <w:color w:val="auto"/>
              </w:rPr>
              <w:t>Type of organization:</w:t>
            </w:r>
          </w:p>
        </w:tc>
        <w:tc>
          <w:tcPr>
            <w:tcW w:w="1580" w:type="dxa"/>
            <w:vAlign w:val="bottom"/>
          </w:tcPr>
          <w:p>
            <w:pPr>
              <w:jc w:val="center"/>
              <w:ind w:left="432"/>
              <w:spacing w:after="0"/>
              <w:rPr>
                <w:sz w:val="20"/>
                <w:szCs w:val="20"/>
                <w:color w:val="auto"/>
              </w:rPr>
            </w:pPr>
            <w:r>
              <w:rPr>
                <w:rFonts w:ascii="Arial" w:cs="Arial" w:eastAsia="Arial" w:hAnsi="Arial"/>
                <w:sz w:val="22"/>
                <w:szCs w:val="22"/>
                <w:color w:val="auto"/>
                <w:w w:val="90"/>
              </w:rPr>
              <w:t>Corporation</w:t>
            </w:r>
          </w:p>
        </w:tc>
      </w:tr>
      <w:tr>
        <w:trPr>
          <w:trHeight w:val="458"/>
        </w:trPr>
        <w:tc>
          <w:tcPr>
            <w:tcW w:w="2540" w:type="dxa"/>
            <w:vAlign w:val="bottom"/>
          </w:tcPr>
          <w:p>
            <w:pPr>
              <w:spacing w:after="0"/>
              <w:rPr>
                <w:sz w:val="20"/>
                <w:szCs w:val="20"/>
                <w:color w:val="auto"/>
              </w:rPr>
            </w:pPr>
            <w:r>
              <w:rPr>
                <w:rFonts w:ascii="Arial" w:cs="Arial" w:eastAsia="Arial" w:hAnsi="Arial"/>
                <w:sz w:val="22"/>
                <w:szCs w:val="22"/>
                <w:color w:val="auto"/>
              </w:rPr>
              <w:t>State of organization:</w:t>
            </w:r>
          </w:p>
        </w:tc>
        <w:tc>
          <w:tcPr>
            <w:tcW w:w="1580" w:type="dxa"/>
            <w:vAlign w:val="bottom"/>
          </w:tcPr>
          <w:p>
            <w:pPr>
              <w:ind w:left="460"/>
              <w:spacing w:after="0"/>
              <w:rPr>
                <w:sz w:val="20"/>
                <w:szCs w:val="20"/>
                <w:color w:val="auto"/>
              </w:rPr>
            </w:pPr>
            <w:r>
              <w:rPr>
                <w:rFonts w:ascii="Arial" w:cs="Arial" w:eastAsia="Arial" w:hAnsi="Arial"/>
                <w:sz w:val="22"/>
                <w:szCs w:val="22"/>
                <w:color w:val="auto"/>
              </w:rPr>
              <w:t>Delaware</w:t>
            </w:r>
          </w:p>
        </w:tc>
      </w:tr>
      <w:tr>
        <w:trPr>
          <w:trHeight w:val="458"/>
        </w:trPr>
        <w:tc>
          <w:tcPr>
            <w:tcW w:w="2540" w:type="dxa"/>
            <w:vAlign w:val="bottom"/>
          </w:tcPr>
          <w:p>
            <w:pPr>
              <w:spacing w:after="0"/>
              <w:rPr>
                <w:sz w:val="20"/>
                <w:szCs w:val="20"/>
                <w:color w:val="auto"/>
              </w:rPr>
            </w:pPr>
            <w:r>
              <w:rPr>
                <w:rFonts w:ascii="Arial" w:cs="Arial" w:eastAsia="Arial" w:hAnsi="Arial"/>
                <w:sz w:val="22"/>
                <w:szCs w:val="22"/>
                <w:color w:val="auto"/>
              </w:rPr>
              <w:t>Organization file number:</w:t>
            </w:r>
          </w:p>
        </w:tc>
        <w:tc>
          <w:tcPr>
            <w:tcW w:w="1580" w:type="dxa"/>
            <w:vAlign w:val="bottom"/>
          </w:tcPr>
          <w:p>
            <w:pPr>
              <w:jc w:val="right"/>
              <w:ind w:right="52"/>
              <w:spacing w:after="0"/>
              <w:rPr>
                <w:sz w:val="20"/>
                <w:szCs w:val="20"/>
                <w:color w:val="auto"/>
              </w:rPr>
            </w:pPr>
            <w:r>
              <w:rPr>
                <w:rFonts w:ascii="Arial" w:cs="Arial" w:eastAsia="Arial" w:hAnsi="Arial"/>
                <w:sz w:val="22"/>
                <w:szCs w:val="22"/>
                <w:color w:val="auto"/>
              </w:rPr>
              <w:t>4853179</w:t>
            </w:r>
          </w:p>
        </w:tc>
      </w:tr>
    </w:tbl>
    <w:p>
      <w:pPr>
        <w:spacing w:after="0" w:line="184" w:lineRule="exact"/>
        <w:rPr>
          <w:sz w:val="20"/>
          <w:szCs w:val="20"/>
          <w:color w:val="auto"/>
        </w:rPr>
      </w:pPr>
    </w:p>
    <w:p>
      <w:pPr>
        <w:ind w:right="120" w:firstLine="322"/>
        <w:spacing w:after="0" w:line="249" w:lineRule="auto"/>
        <w:tabs>
          <w:tab w:leader="none" w:pos="7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Borrower represents and warrants to Agent that for five (5) years prior to the Closing Date, Borrower did not do business under any other name or organization or form except the following:</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1300" w:type="dxa"/>
            <w:vAlign w:val="bottom"/>
          </w:tcPr>
          <w:p>
            <w:pPr>
              <w:ind w:left="320"/>
              <w:spacing w:after="0"/>
              <w:rPr>
                <w:sz w:val="20"/>
                <w:szCs w:val="20"/>
                <w:color w:val="auto"/>
              </w:rPr>
            </w:pPr>
            <w:r>
              <w:rPr>
                <w:rFonts w:ascii="Arial" w:cs="Arial" w:eastAsia="Arial" w:hAnsi="Arial"/>
                <w:sz w:val="22"/>
                <w:szCs w:val="22"/>
                <w:color w:val="auto"/>
              </w:rPr>
              <w:t>None.</w:t>
            </w:r>
          </w:p>
        </w:tc>
        <w:tc>
          <w:tcPr>
            <w:tcW w:w="860" w:type="dxa"/>
            <w:vAlign w:val="bottom"/>
          </w:tcPr>
          <w:p>
            <w:pPr>
              <w:spacing w:after="0"/>
              <w:rPr>
                <w:sz w:val="21"/>
                <w:szCs w:val="21"/>
                <w:color w:val="auto"/>
              </w:rPr>
            </w:pPr>
          </w:p>
        </w:tc>
      </w:tr>
      <w:tr>
        <w:trPr>
          <w:trHeight w:val="242"/>
        </w:trPr>
        <w:tc>
          <w:tcPr>
            <w:tcW w:w="2200" w:type="dxa"/>
            <w:vAlign w:val="bottom"/>
            <w:gridSpan w:val="2"/>
          </w:tcPr>
          <w:p>
            <w:pPr>
              <w:spacing w:after="0" w:line="242" w:lineRule="exact"/>
              <w:rPr>
                <w:sz w:val="20"/>
                <w:szCs w:val="20"/>
                <w:color w:val="auto"/>
              </w:rPr>
            </w:pPr>
            <w:r>
              <w:rPr>
                <w:rFonts w:ascii="Arial" w:cs="Arial" w:eastAsia="Arial" w:hAnsi="Arial"/>
                <w:sz w:val="22"/>
                <w:szCs w:val="22"/>
                <w:color w:val="auto"/>
              </w:rPr>
              <w:t>Used during dates of:</w:t>
            </w:r>
          </w:p>
        </w:tc>
        <w:tc>
          <w:tcPr>
            <w:tcW w:w="860" w:type="dxa"/>
            <w:vAlign w:val="bottom"/>
          </w:tcPr>
          <w:p>
            <w:pPr>
              <w:ind w:left="300"/>
              <w:spacing w:after="0" w:line="242" w:lineRule="exact"/>
              <w:rPr>
                <w:sz w:val="20"/>
                <w:szCs w:val="20"/>
                <w:color w:val="auto"/>
              </w:rPr>
            </w:pPr>
            <w:r>
              <w:rPr>
                <w:rFonts w:ascii="Arial" w:cs="Arial" w:eastAsia="Arial" w:hAnsi="Arial"/>
                <w:sz w:val="22"/>
                <w:szCs w:val="22"/>
                <w:color w:val="auto"/>
                <w:w w:val="91"/>
              </w:rPr>
              <w:t>None.</w:t>
            </w:r>
          </w:p>
        </w:tc>
      </w:tr>
      <w:tr>
        <w:trPr>
          <w:trHeight w:val="242"/>
        </w:trPr>
        <w:tc>
          <w:tcPr>
            <w:tcW w:w="2200" w:type="dxa"/>
            <w:vAlign w:val="bottom"/>
            <w:gridSpan w:val="2"/>
          </w:tcPr>
          <w:p>
            <w:pPr>
              <w:spacing w:after="0" w:line="242" w:lineRule="exact"/>
              <w:rPr>
                <w:sz w:val="20"/>
                <w:szCs w:val="20"/>
                <w:color w:val="auto"/>
              </w:rPr>
            </w:pPr>
            <w:r>
              <w:rPr>
                <w:rFonts w:ascii="Arial" w:cs="Arial" w:eastAsia="Arial" w:hAnsi="Arial"/>
                <w:sz w:val="22"/>
                <w:szCs w:val="22"/>
                <w:color w:val="auto"/>
              </w:rPr>
              <w:t>Type of Organization:</w:t>
            </w:r>
          </w:p>
        </w:tc>
        <w:tc>
          <w:tcPr>
            <w:tcW w:w="860" w:type="dxa"/>
            <w:vAlign w:val="bottom"/>
          </w:tcPr>
          <w:p>
            <w:pPr>
              <w:ind w:left="340"/>
              <w:spacing w:after="0" w:line="242" w:lineRule="exact"/>
              <w:rPr>
                <w:sz w:val="20"/>
                <w:szCs w:val="20"/>
                <w:color w:val="auto"/>
              </w:rPr>
            </w:pPr>
            <w:r>
              <w:rPr>
                <w:rFonts w:ascii="Arial" w:cs="Arial" w:eastAsia="Arial" w:hAnsi="Arial"/>
                <w:sz w:val="22"/>
                <w:szCs w:val="22"/>
                <w:color w:val="auto"/>
                <w:w w:val="85"/>
              </w:rPr>
              <w:t>None.</w:t>
            </w:r>
          </w:p>
        </w:tc>
      </w:tr>
      <w:tr>
        <w:trPr>
          <w:trHeight w:val="260"/>
        </w:trPr>
        <w:tc>
          <w:tcPr>
            <w:tcW w:w="2200" w:type="dxa"/>
            <w:vAlign w:val="bottom"/>
            <w:gridSpan w:val="2"/>
          </w:tcPr>
          <w:p>
            <w:pPr>
              <w:spacing w:after="0"/>
              <w:rPr>
                <w:sz w:val="20"/>
                <w:szCs w:val="20"/>
                <w:color w:val="auto"/>
              </w:rPr>
            </w:pPr>
            <w:r>
              <w:rPr>
                <w:rFonts w:ascii="Arial" w:cs="Arial" w:eastAsia="Arial" w:hAnsi="Arial"/>
                <w:sz w:val="22"/>
                <w:szCs w:val="22"/>
                <w:color w:val="auto"/>
              </w:rPr>
              <w:t>State of organization:</w:t>
            </w:r>
          </w:p>
        </w:tc>
        <w:tc>
          <w:tcPr>
            <w:tcW w:w="860" w:type="dxa"/>
            <w:vAlign w:val="bottom"/>
          </w:tcPr>
          <w:p>
            <w:pPr>
              <w:ind w:left="300"/>
              <w:spacing w:after="0"/>
              <w:rPr>
                <w:sz w:val="20"/>
                <w:szCs w:val="20"/>
                <w:color w:val="auto"/>
              </w:rPr>
            </w:pPr>
            <w:r>
              <w:rPr>
                <w:rFonts w:ascii="Arial" w:cs="Arial" w:eastAsia="Arial" w:hAnsi="Arial"/>
                <w:sz w:val="22"/>
                <w:szCs w:val="22"/>
                <w:color w:val="auto"/>
                <w:w w:val="91"/>
              </w:rPr>
              <w:t>None.</w:t>
            </w:r>
          </w:p>
        </w:tc>
      </w:tr>
    </w:tbl>
    <w:p>
      <w:pPr>
        <w:ind w:left="640"/>
        <w:spacing w:after="0" w:line="229" w:lineRule="auto"/>
        <w:rPr>
          <w:sz w:val="20"/>
          <w:szCs w:val="20"/>
          <w:color w:val="auto"/>
        </w:rPr>
      </w:pPr>
      <w:r>
        <w:rPr>
          <w:rFonts w:ascii="Arial" w:cs="Arial" w:eastAsia="Arial" w:hAnsi="Arial"/>
          <w:sz w:val="22"/>
          <w:szCs w:val="22"/>
          <w:color w:val="auto"/>
        </w:rPr>
        <w:t>Organization file number: None.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Borrower’s fiscal year ends on December 31</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Borrower’s federal employer tax identification number is: 27-3269467</w:t>
      </w:r>
    </w:p>
    <w:p>
      <w:pPr>
        <w:spacing w:after="0" w:line="205" w:lineRule="exact"/>
        <w:rPr>
          <w:sz w:val="20"/>
          <w:szCs w:val="20"/>
          <w:color w:val="auto"/>
        </w:rPr>
      </w:pPr>
    </w:p>
    <w:p>
      <w:pPr>
        <w:ind w:right="120" w:firstLine="322"/>
        <w:spacing w:after="0" w:line="249" w:lineRule="auto"/>
        <w:tabs>
          <w:tab w:leader="none" w:pos="59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Borrower represents and warrants to Agent that its chief executive office is located at 117 Kendrick Street, Suite 500, Needham, MA 02494.</w:t>
      </w:r>
    </w:p>
    <w:p>
      <w:pPr>
        <w:spacing w:after="0" w:line="17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880"/>
          </w:cols>
          <w:pgMar w:left="920" w:top="118" w:right="1099" w:bottom="1440" w:gutter="0" w:footer="0" w:header="0"/>
        </w:sectPr>
      </w:pPr>
    </w:p>
    <w:bookmarkStart w:id="272" w:name="page273"/>
    <w:bookmarkEnd w:id="272"/>
    <w:p>
      <w:pPr>
        <w:jc w:val="center"/>
        <w:ind w:right="-20"/>
        <w:spacing w:after="0"/>
        <w:rPr>
          <w:sz w:val="20"/>
          <w:szCs w:val="20"/>
          <w:color w:val="auto"/>
        </w:rPr>
      </w:pPr>
      <w:r>
        <w:rPr>
          <w:rFonts w:ascii="Arial" w:cs="Arial" w:eastAsia="Arial" w:hAnsi="Arial"/>
          <w:sz w:val="22"/>
          <w:szCs w:val="22"/>
          <w:b w:val="1"/>
          <w:bCs w:val="1"/>
          <w:color w:val="auto"/>
        </w:rPr>
        <w:t>EXHIBIT 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BORROWER’S PATENTS, TRADEMARKS, COPYRIGHTS AND LICENSES</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143510</wp:posOffset>
            </wp:positionV>
            <wp:extent cx="639254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73" w:name="page274"/>
    <w:bookmarkEnd w:id="273"/>
    <w:p>
      <w:pPr>
        <w:jc w:val="center"/>
        <w:ind w:right="-20"/>
        <w:spacing w:after="0"/>
        <w:rPr>
          <w:sz w:val="20"/>
          <w:szCs w:val="20"/>
          <w:color w:val="auto"/>
        </w:rPr>
      </w:pPr>
      <w:r>
        <w:rPr>
          <w:rFonts w:ascii="Arial" w:cs="Arial" w:eastAsia="Arial" w:hAnsi="Arial"/>
          <w:sz w:val="22"/>
          <w:szCs w:val="22"/>
          <w:b w:val="1"/>
          <w:bCs w:val="1"/>
          <w:color w:val="auto"/>
        </w:rPr>
        <w:t>EXHIBIT E</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BORROWER’S DEPOSIT ACCOUNTS AND INVESTMENT ACCOUNTS</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143510</wp:posOffset>
            </wp:positionV>
            <wp:extent cx="639254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74" w:name="page275"/>
    <w:bookmarkEnd w:id="274"/>
    <w:p>
      <w:pPr>
        <w:jc w:val="center"/>
        <w:spacing w:after="0"/>
        <w:rPr>
          <w:sz w:val="20"/>
          <w:szCs w:val="20"/>
          <w:color w:val="auto"/>
        </w:rPr>
      </w:pPr>
      <w:r>
        <w:rPr>
          <w:rFonts w:ascii="Arial" w:cs="Arial" w:eastAsia="Arial" w:hAnsi="Arial"/>
          <w:sz w:val="22"/>
          <w:szCs w:val="22"/>
          <w:b w:val="1"/>
          <w:bCs w:val="1"/>
          <w:color w:val="auto"/>
        </w:rPr>
        <w:t>EXHIBIT 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COMPLIANCE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Hercules Capital, Inc. (as “Agent”)</w:t>
      </w:r>
    </w:p>
    <w:p>
      <w:pPr>
        <w:spacing w:after="0" w:line="236" w:lineRule="auto"/>
        <w:rPr>
          <w:sz w:val="20"/>
          <w:szCs w:val="20"/>
          <w:color w:val="auto"/>
        </w:rPr>
      </w:pPr>
      <w:r>
        <w:rPr>
          <w:rFonts w:ascii="Arial" w:cs="Arial" w:eastAsia="Arial" w:hAnsi="Arial"/>
          <w:sz w:val="22"/>
          <w:szCs w:val="22"/>
          <w:color w:val="auto"/>
        </w:rPr>
        <w:t>400 Hamilton Avenue, Suite 310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94301</w:t>
      </w:r>
    </w:p>
    <w:p>
      <w:pPr>
        <w:spacing w:after="0" w:line="187" w:lineRule="exact"/>
        <w:rPr>
          <w:sz w:val="20"/>
          <w:szCs w:val="20"/>
          <w:color w:val="auto"/>
        </w:rPr>
      </w:pPr>
    </w:p>
    <w:p>
      <w:pPr>
        <w:jc w:val="both"/>
        <w:ind w:firstLine="646"/>
        <w:spacing w:after="0" w:line="234" w:lineRule="auto"/>
        <w:rPr>
          <w:sz w:val="20"/>
          <w:szCs w:val="20"/>
          <w:color w:val="auto"/>
        </w:rPr>
      </w:pPr>
      <w:r>
        <w:rPr>
          <w:rFonts w:ascii="Arial" w:cs="Arial" w:eastAsia="Arial" w:hAnsi="Arial"/>
          <w:sz w:val="22"/>
          <w:szCs w:val="22"/>
          <w:color w:val="auto"/>
        </w:rPr>
        <w:t>Reference is made to that certain Loan and Security Agreement dated [ ], 2017 and the Loan Documents (as defined therein) entered into in connection with such Loan and Security Agreement all as may be amended from time to time (hereinafter referred to collectively as the “Loan Agreement”) by and among VERASTEM, INC. (the “Company”) as Borrower, the several banks and other financial institutions or entities from time to time party thereto (collectively, the “Lender”) and Hercules Capital, Inc., as agent for the Lender (the “Agent”). All capitalized terms not defined herein shall have the same meaning as defined in the Loan Agreement.</w:t>
      </w:r>
    </w:p>
    <w:p>
      <w:pPr>
        <w:spacing w:after="0" w:line="185"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20"/>
          <w:szCs w:val="20"/>
          <w:color w:val="auto"/>
        </w:rPr>
        <w:t>The undersigned is an Officer of the Company, knowledgeable of all Company financial matters, and is authorized to provide certification of information regarding the Company; hereby certifies, in such capacity, that in accordance with the terms and conditions of the Loan Agreement, the Company is in compliance for the period ending ___________ of all covenants, conditions and terms and hereby reaffirms that all representations and</w:t>
      </w:r>
    </w:p>
    <w:p>
      <w:pPr>
        <w:spacing w:after="0" w:line="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warranties contained therein are true and correct in all material respects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 Attached are the required documents supporting the above certification. The undersigned further certifies that these are prepared consistent with past management practice (except for the absence of footnotes with respect to unaudited financial statement and subject to normal year end adjustments) and are consistent from one period to the next except as explained below.</w:t>
      </w: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260" w:type="dxa"/>
            <w:vAlign w:val="bottom"/>
          </w:tcPr>
          <w:p>
            <w:pPr>
              <w:ind w:left="140"/>
              <w:spacing w:after="0"/>
              <w:rPr>
                <w:sz w:val="20"/>
                <w:szCs w:val="20"/>
                <w:color w:val="auto"/>
              </w:rPr>
            </w:pPr>
            <w:r>
              <w:rPr>
                <w:rFonts w:ascii="Arial" w:cs="Arial" w:eastAsia="Arial" w:hAnsi="Arial"/>
                <w:sz w:val="22"/>
                <w:szCs w:val="22"/>
                <w:color w:val="auto"/>
              </w:rPr>
              <w:t>CHECK IF</w:t>
            </w:r>
          </w:p>
        </w:tc>
      </w:tr>
      <w:tr>
        <w:trPr>
          <w:trHeight w:val="274"/>
        </w:trPr>
        <w:tc>
          <w:tcPr>
            <w:tcW w:w="3240" w:type="dxa"/>
            <w:vAlign w:val="bottom"/>
          </w:tcPr>
          <w:p>
            <w:pPr>
              <w:spacing w:after="0"/>
              <w:rPr>
                <w:sz w:val="20"/>
                <w:szCs w:val="20"/>
                <w:color w:val="auto"/>
              </w:rPr>
            </w:pPr>
            <w:r>
              <w:rPr>
                <w:rFonts w:ascii="Arial" w:cs="Arial" w:eastAsia="Arial" w:hAnsi="Arial"/>
                <w:sz w:val="22"/>
                <w:szCs w:val="22"/>
                <w:color w:val="auto"/>
              </w:rPr>
              <w:t>REPORTING REQUIREMENT</w:t>
            </w:r>
          </w:p>
        </w:tc>
        <w:tc>
          <w:tcPr>
            <w:tcW w:w="2720" w:type="dxa"/>
            <w:vAlign w:val="bottom"/>
          </w:tcPr>
          <w:p>
            <w:pPr>
              <w:ind w:left="440"/>
              <w:spacing w:after="0"/>
              <w:rPr>
                <w:sz w:val="20"/>
                <w:szCs w:val="20"/>
                <w:color w:val="auto"/>
              </w:rPr>
            </w:pPr>
            <w:r>
              <w:rPr>
                <w:rFonts w:ascii="Arial" w:cs="Arial" w:eastAsia="Arial" w:hAnsi="Arial"/>
                <w:sz w:val="22"/>
                <w:szCs w:val="22"/>
                <w:color w:val="auto"/>
              </w:rPr>
              <w:t>REQUIRED</w:t>
            </w:r>
          </w:p>
        </w:tc>
        <w:tc>
          <w:tcPr>
            <w:tcW w:w="1260" w:type="dxa"/>
            <w:vAlign w:val="bottom"/>
          </w:tcPr>
          <w:p>
            <w:pPr>
              <w:ind w:left="140"/>
              <w:spacing w:after="0"/>
              <w:rPr>
                <w:sz w:val="20"/>
                <w:szCs w:val="20"/>
                <w:color w:val="auto"/>
              </w:rPr>
            </w:pPr>
            <w:r>
              <w:rPr>
                <w:rFonts w:ascii="Arial" w:cs="Arial" w:eastAsia="Arial" w:hAnsi="Arial"/>
                <w:sz w:val="22"/>
                <w:szCs w:val="22"/>
                <w:color w:val="auto"/>
                <w:w w:val="92"/>
              </w:rPr>
              <w:t>ATTACHED</w:t>
            </w:r>
          </w:p>
        </w:tc>
      </w:tr>
      <w:tr>
        <w:trPr>
          <w:trHeight w:val="426"/>
        </w:trPr>
        <w:tc>
          <w:tcPr>
            <w:tcW w:w="3240" w:type="dxa"/>
            <w:vAlign w:val="bottom"/>
          </w:tcPr>
          <w:p>
            <w:pPr>
              <w:spacing w:after="0"/>
              <w:rPr>
                <w:sz w:val="24"/>
                <w:szCs w:val="24"/>
                <w:color w:val="auto"/>
              </w:rPr>
            </w:pPr>
          </w:p>
        </w:tc>
        <w:tc>
          <w:tcPr>
            <w:tcW w:w="2720" w:type="dxa"/>
            <w:vAlign w:val="bottom"/>
          </w:tcPr>
          <w:p>
            <w:pPr>
              <w:ind w:left="440"/>
              <w:spacing w:after="0"/>
              <w:rPr>
                <w:sz w:val="20"/>
                <w:szCs w:val="20"/>
                <w:color w:val="auto"/>
              </w:rPr>
            </w:pPr>
            <w:r>
              <w:rPr>
                <w:rFonts w:ascii="Arial" w:cs="Arial" w:eastAsia="Arial" w:hAnsi="Arial"/>
                <w:sz w:val="22"/>
                <w:szCs w:val="22"/>
                <w:color w:val="auto"/>
              </w:rPr>
              <w:t>Monthly within 30 days</w:t>
            </w:r>
          </w:p>
        </w:tc>
        <w:tc>
          <w:tcPr>
            <w:tcW w:w="1260" w:type="dxa"/>
            <w:vAlign w:val="bottom"/>
          </w:tcPr>
          <w:p>
            <w:pPr>
              <w:spacing w:after="0"/>
              <w:rPr>
                <w:sz w:val="24"/>
                <w:szCs w:val="24"/>
                <w:color w:val="auto"/>
              </w:rPr>
            </w:pPr>
          </w:p>
        </w:tc>
      </w:tr>
      <w:tr>
        <w:trPr>
          <w:trHeight w:val="274"/>
        </w:trPr>
        <w:tc>
          <w:tcPr>
            <w:tcW w:w="3240" w:type="dxa"/>
            <w:vAlign w:val="bottom"/>
          </w:tcPr>
          <w:p>
            <w:pPr>
              <w:spacing w:after="0"/>
              <w:rPr>
                <w:sz w:val="20"/>
                <w:szCs w:val="20"/>
                <w:color w:val="auto"/>
              </w:rPr>
            </w:pPr>
            <w:r>
              <w:rPr>
                <w:rFonts w:ascii="Arial" w:cs="Arial" w:eastAsia="Arial" w:hAnsi="Arial"/>
                <w:sz w:val="22"/>
                <w:szCs w:val="22"/>
                <w:color w:val="auto"/>
              </w:rPr>
              <w:t>Interim Financial Statements</w:t>
            </w:r>
          </w:p>
        </w:tc>
        <w:tc>
          <w:tcPr>
            <w:tcW w:w="2720" w:type="dxa"/>
            <w:vAlign w:val="bottom"/>
          </w:tcPr>
          <w:p>
            <w:pPr>
              <w:ind w:left="440"/>
              <w:spacing w:after="0"/>
              <w:rPr>
                <w:sz w:val="20"/>
                <w:szCs w:val="20"/>
                <w:color w:val="auto"/>
              </w:rPr>
            </w:pPr>
            <w:r>
              <w:rPr>
                <w:rFonts w:ascii="Arial" w:cs="Arial" w:eastAsia="Arial" w:hAnsi="Arial"/>
                <w:sz w:val="22"/>
                <w:szCs w:val="22"/>
                <w:color w:val="auto"/>
              </w:rPr>
              <w:t>(commencing 3/31/17)</w:t>
            </w:r>
          </w:p>
        </w:tc>
        <w:tc>
          <w:tcPr>
            <w:tcW w:w="1260" w:type="dxa"/>
            <w:vAlign w:val="bottom"/>
          </w:tcPr>
          <w:p>
            <w:pPr>
              <w:spacing w:after="0"/>
              <w:rPr>
                <w:sz w:val="23"/>
                <w:szCs w:val="23"/>
                <w:color w:val="auto"/>
              </w:rPr>
            </w:pPr>
          </w:p>
        </w:tc>
      </w:tr>
      <w:tr>
        <w:trPr>
          <w:trHeight w:val="458"/>
        </w:trPr>
        <w:tc>
          <w:tcPr>
            <w:tcW w:w="3240" w:type="dxa"/>
            <w:vAlign w:val="bottom"/>
          </w:tcPr>
          <w:p>
            <w:pPr>
              <w:spacing w:after="0"/>
              <w:rPr>
                <w:sz w:val="20"/>
                <w:szCs w:val="20"/>
                <w:color w:val="auto"/>
              </w:rPr>
            </w:pPr>
            <w:r>
              <w:rPr>
                <w:rFonts w:ascii="Arial" w:cs="Arial" w:eastAsia="Arial" w:hAnsi="Arial"/>
                <w:sz w:val="22"/>
                <w:szCs w:val="22"/>
                <w:color w:val="auto"/>
              </w:rPr>
              <w:t>Interim Financial Statements</w:t>
            </w:r>
          </w:p>
        </w:tc>
        <w:tc>
          <w:tcPr>
            <w:tcW w:w="2720" w:type="dxa"/>
            <w:vAlign w:val="bottom"/>
          </w:tcPr>
          <w:p>
            <w:pPr>
              <w:ind w:left="440"/>
              <w:spacing w:after="0"/>
              <w:rPr>
                <w:sz w:val="20"/>
                <w:szCs w:val="20"/>
                <w:color w:val="auto"/>
              </w:rPr>
            </w:pPr>
            <w:r>
              <w:rPr>
                <w:rFonts w:ascii="Arial" w:cs="Arial" w:eastAsia="Arial" w:hAnsi="Arial"/>
                <w:sz w:val="22"/>
                <w:szCs w:val="22"/>
                <w:color w:val="auto"/>
                <w:w w:val="95"/>
              </w:rPr>
              <w:t>Quarterly within 45 days</w:t>
            </w:r>
          </w:p>
        </w:tc>
        <w:tc>
          <w:tcPr>
            <w:tcW w:w="1260" w:type="dxa"/>
            <w:vAlign w:val="bottom"/>
          </w:tcPr>
          <w:p>
            <w:pPr>
              <w:spacing w:after="0"/>
              <w:rPr>
                <w:sz w:val="24"/>
                <w:szCs w:val="24"/>
                <w:color w:val="auto"/>
              </w:rPr>
            </w:pPr>
          </w:p>
        </w:tc>
      </w:tr>
      <w:tr>
        <w:trPr>
          <w:trHeight w:val="458"/>
        </w:trPr>
        <w:tc>
          <w:tcPr>
            <w:tcW w:w="3240" w:type="dxa"/>
            <w:vAlign w:val="bottom"/>
          </w:tcPr>
          <w:p>
            <w:pPr>
              <w:spacing w:after="0"/>
              <w:rPr>
                <w:sz w:val="20"/>
                <w:szCs w:val="20"/>
                <w:color w:val="auto"/>
              </w:rPr>
            </w:pPr>
            <w:r>
              <w:rPr>
                <w:rFonts w:ascii="Arial" w:cs="Arial" w:eastAsia="Arial" w:hAnsi="Arial"/>
                <w:sz w:val="22"/>
                <w:szCs w:val="22"/>
                <w:color w:val="auto"/>
              </w:rPr>
              <w:t>Audited Financial Statements</w:t>
            </w:r>
          </w:p>
        </w:tc>
        <w:tc>
          <w:tcPr>
            <w:tcW w:w="2720" w:type="dxa"/>
            <w:vAlign w:val="bottom"/>
          </w:tcPr>
          <w:p>
            <w:pPr>
              <w:ind w:left="440"/>
              <w:spacing w:after="0"/>
              <w:rPr>
                <w:sz w:val="20"/>
                <w:szCs w:val="20"/>
                <w:color w:val="auto"/>
              </w:rPr>
            </w:pPr>
            <w:r>
              <w:rPr>
                <w:rFonts w:ascii="Arial" w:cs="Arial" w:eastAsia="Arial" w:hAnsi="Arial"/>
                <w:sz w:val="22"/>
                <w:szCs w:val="22"/>
                <w:color w:val="auto"/>
              </w:rPr>
              <w:t>FYE within 90 days</w:t>
            </w:r>
          </w:p>
        </w:tc>
        <w:tc>
          <w:tcPr>
            <w:tcW w:w="1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Liquidity Covenant: Borrower shall at all times maintain in accounts of Borrower that are subject to an Account Control Agreement, unrestricted and unencumbered cash (other than as a result of the Loan Agreement) in an aggregate amount greater than or equal to the lesser of (a) one hundred twenty-five percent (125%) of the aggregate outstanding Advances and (b) one hundred percent (100%) of all cash of Borrower maintained in any accounts (other than Excluded Accounts).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125% of Advances: $___________________</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Cash of Borrower maintained in Account Control Agreements: $_________________</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All cash of Borrower: $______________________</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Cash of Borrower in Excluded Accounts: $______________</w:t>
      </w:r>
    </w:p>
    <w:p>
      <w:pPr>
        <w:spacing w:after="0" w:line="205"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color w:val="auto"/>
        </w:rPr>
        <w:t>Complies: Yes</w:t>
      </w:r>
      <w:r>
        <w:rPr>
          <w:sz w:val="20"/>
          <w:szCs w:val="20"/>
          <w:color w:val="auto"/>
        </w:rPr>
        <w:tab/>
      </w:r>
      <w:r>
        <w:rPr>
          <w:rFonts w:ascii="Arial" w:cs="Arial" w:eastAsia="Arial" w:hAnsi="Arial"/>
          <w:sz w:val="20"/>
          <w:szCs w:val="20"/>
          <w:color w:val="auto"/>
        </w:rPr>
        <w:t>No</w:t>
      </w:r>
    </w:p>
    <w:p>
      <w:pPr>
        <w:spacing w:after="0" w:line="205" w:lineRule="exact"/>
        <w:rPr>
          <w:sz w:val="20"/>
          <w:szCs w:val="20"/>
          <w:color w:val="auto"/>
        </w:rPr>
      </w:pPr>
    </w:p>
    <w:p>
      <w:pPr>
        <w:spacing w:after="0" w:line="298" w:lineRule="auto"/>
        <w:rPr>
          <w:sz w:val="20"/>
          <w:szCs w:val="20"/>
          <w:color w:val="auto"/>
        </w:rPr>
      </w:pPr>
      <w:r>
        <w:rPr>
          <w:rFonts w:ascii="Arial" w:cs="Arial" w:eastAsia="Arial" w:hAnsi="Arial"/>
          <w:sz w:val="20"/>
          <w:szCs w:val="20"/>
          <w:color w:val="auto"/>
        </w:rPr>
        <w:t>The undersigned hereby also confirms the below disclosed accounts represent all depository accounts and securities accounts presently open in the name of each Borrower or Borrower Subsidiary/Affiliate, as applicable.</w:t>
      </w:r>
    </w:p>
    <w:p>
      <w:pPr>
        <w:spacing w:after="0" w:line="145" w:lineRule="exact"/>
        <w:rPr>
          <w:sz w:val="20"/>
          <w:szCs w:val="20"/>
          <w:color w:val="auto"/>
        </w:rPr>
      </w:pPr>
    </w:p>
    <w:tbl>
      <w:tblPr>
        <w:tblLayout w:type="fixed"/>
        <w:tblInd w:w="2960" w:type="dxa"/>
        <w:tblCellMar>
          <w:top w:w="0" w:type="dxa"/>
          <w:left w:w="0" w:type="dxa"/>
          <w:bottom w:w="0" w:type="dxa"/>
          <w:right w:w="0" w:type="dxa"/>
        </w:tblCellMar>
      </w:tblPr>
      <w:tr>
        <w:trPr>
          <w:trHeight w:val="215"/>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Last Month</w:t>
            </w:r>
          </w:p>
        </w:tc>
        <w:tc>
          <w:tcPr>
            <w:tcW w:w="1100" w:type="dxa"/>
            <w:vAlign w:val="bottom"/>
          </w:tcPr>
          <w:p>
            <w:pPr>
              <w:spacing w:after="0"/>
              <w:rPr>
                <w:sz w:val="18"/>
                <w:szCs w:val="18"/>
                <w:color w:val="auto"/>
              </w:rPr>
            </w:pPr>
          </w:p>
        </w:tc>
      </w:tr>
      <w:tr>
        <w:trPr>
          <w:trHeight w:val="215"/>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Account Type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100" w:type="dxa"/>
            <w:vAlign w:val="bottom"/>
          </w:tcPr>
          <w:p>
            <w:pPr>
              <w:spacing w:after="0"/>
              <w:rPr>
                <w:sz w:val="18"/>
                <w:szCs w:val="18"/>
                <w:color w:val="auto"/>
              </w:rPr>
            </w:pPr>
          </w:p>
        </w:tc>
      </w:tr>
      <w:tr>
        <w:trPr>
          <w:trHeight w:val="215"/>
        </w:trPr>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Depository AC</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(Depository /</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Account</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Purpose of</w:t>
            </w:r>
          </w:p>
        </w:tc>
      </w:tr>
      <w:tr>
        <w:trPr>
          <w:trHeight w:val="234"/>
        </w:trPr>
        <w:tc>
          <w:tcPr>
            <w:tcW w:w="140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Institution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Account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-554990</wp:posOffset>
            </wp:positionV>
            <wp:extent cx="6392545" cy="61874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392545" cy="6187440"/>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Name/Address:</w:t>
      </w:r>
    </w:p>
    <w:p>
      <w:pPr>
        <w:spacing w:after="0" w:line="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1</w:t>
      </w:r>
    </w:p>
    <w:p>
      <w:pPr>
        <w:spacing w:after="0" w:line="190"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2</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3</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4</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5</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6</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7</w:t>
      </w: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SUSIDIARY /</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AFFILIATE COMPANY</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Name/Address</w:t>
      </w:r>
    </w:p>
    <w:p>
      <w:pPr>
        <w:spacing w:after="0" w:line="210"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1</w:t>
      </w:r>
    </w:p>
    <w:p>
      <w:pPr>
        <w:spacing w:after="0" w:line="205"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2</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3</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4</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5</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6</w:t>
      </w:r>
    </w:p>
    <w:p>
      <w:pPr>
        <w:spacing w:after="0" w:line="21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7</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80"/>
          </w:cols>
          <w:pgMar w:left="920" w:top="118" w:right="999" w:bottom="1440" w:gutter="0" w:footer="0" w:header="0"/>
        </w:sectPr>
      </w:pPr>
    </w:p>
    <w:bookmarkStart w:id="276" w:name="page277"/>
    <w:bookmarkEnd w:id="276"/>
    <w:p>
      <w:pPr>
        <w:ind w:left="3660"/>
        <w:spacing w:after="0"/>
        <w:rPr>
          <w:sz w:val="20"/>
          <w:szCs w:val="20"/>
          <w:color w:val="auto"/>
        </w:rPr>
      </w:pPr>
      <w:r>
        <w:rPr>
          <w:rFonts w:ascii="Arial" w:cs="Arial" w:eastAsia="Arial" w:hAnsi="Arial"/>
          <w:sz w:val="22"/>
          <w:szCs w:val="22"/>
          <w:color w:val="auto"/>
        </w:rPr>
        <w:t>Very Truly Yours,</w:t>
      </w:r>
    </w:p>
    <w:p>
      <w:pPr>
        <w:spacing w:after="0" w:line="205"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VERASTEM, INC.</w:t>
      </w:r>
    </w:p>
    <w:p>
      <w:pPr>
        <w:spacing w:after="0" w:line="228"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By:</w:t>
      </w:r>
    </w:p>
    <w:p>
      <w:pPr>
        <w:spacing w:after="0" w:line="205"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-146685</wp:posOffset>
            </wp:positionV>
            <wp:extent cx="2837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98"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152400</wp:posOffset>
            </wp:positionV>
            <wp:extent cx="2837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37180" cy="825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-146685</wp:posOffset>
            </wp:positionV>
            <wp:extent cx="2837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143510</wp:posOffset>
            </wp:positionV>
            <wp:extent cx="639254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277" w:name="page278"/>
    <w:bookmarkEnd w:id="277"/>
    <w:p>
      <w:pPr>
        <w:jc w:val="center"/>
        <w:spacing w:after="0"/>
        <w:rPr>
          <w:sz w:val="20"/>
          <w:szCs w:val="20"/>
          <w:color w:val="auto"/>
        </w:rPr>
      </w:pPr>
      <w:r>
        <w:rPr>
          <w:rFonts w:ascii="Arial" w:cs="Arial" w:eastAsia="Arial" w:hAnsi="Arial"/>
          <w:sz w:val="22"/>
          <w:szCs w:val="22"/>
          <w:b w:val="1"/>
          <w:bCs w:val="1"/>
          <w:color w:val="auto"/>
        </w:rPr>
        <w:t>EXHIBIT 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JOINDER AGREEMENT</w:t>
      </w:r>
    </w:p>
    <w:p>
      <w:pPr>
        <w:spacing w:after="0" w:line="211" w:lineRule="exact"/>
        <w:rPr>
          <w:sz w:val="20"/>
          <w:szCs w:val="20"/>
          <w:color w:val="auto"/>
        </w:rPr>
      </w:pPr>
    </w:p>
    <w:p>
      <w:pPr>
        <w:ind w:left="641"/>
        <w:spacing w:after="0"/>
        <w:tabs>
          <w:tab w:leader="none" w:pos="7741" w:val="left"/>
        </w:tabs>
        <w:rPr>
          <w:sz w:val="20"/>
          <w:szCs w:val="20"/>
          <w:color w:val="auto"/>
        </w:rPr>
      </w:pPr>
      <w:r>
        <w:rPr>
          <w:rFonts w:ascii="Arial" w:cs="Arial" w:eastAsia="Arial" w:hAnsi="Arial"/>
          <w:sz w:val="22"/>
          <w:szCs w:val="22"/>
          <w:color w:val="auto"/>
        </w:rPr>
        <w:t>This Joinder Agreement (the “Joinder Agreement”) is made and dated as of [</w:t>
      </w:r>
      <w:r>
        <w:rPr>
          <w:sz w:val="20"/>
          <w:szCs w:val="20"/>
          <w:color w:val="auto"/>
        </w:rPr>
        <w:tab/>
      </w:r>
      <w:r>
        <w:rPr>
          <w:rFonts w:ascii="Arial" w:cs="Arial" w:eastAsia="Arial" w:hAnsi="Arial"/>
          <w:sz w:val="20"/>
          <w:szCs w:val="20"/>
          <w:color w:val="auto"/>
        </w:rPr>
        <w:t>], 20[ ], and is entered</w:t>
      </w:r>
    </w:p>
    <w:p>
      <w:pPr>
        <w:spacing w:after="0" w:line="7" w:lineRule="exact"/>
        <w:rPr>
          <w:sz w:val="20"/>
          <w:szCs w:val="20"/>
          <w:color w:val="auto"/>
        </w:rPr>
      </w:pPr>
    </w:p>
    <w:p>
      <w:pPr>
        <w:ind w:left="1"/>
        <w:spacing w:after="0"/>
        <w:rPr>
          <w:sz w:val="20"/>
          <w:szCs w:val="20"/>
          <w:color w:val="auto"/>
        </w:rPr>
      </w:pPr>
      <w:r>
        <w:rPr>
          <w:rFonts w:ascii="Arial" w:cs="Arial" w:eastAsia="Arial" w:hAnsi="Arial"/>
          <w:sz w:val="20"/>
          <w:szCs w:val="20"/>
          <w:color w:val="auto"/>
        </w:rPr>
        <w:t>into by and between__________________., a ___________ corporation (“Subsidiary”), and HERCULES</w:t>
      </w:r>
    </w:p>
    <w:p>
      <w:pPr>
        <w:spacing w:after="0" w:line="12" w:lineRule="exact"/>
        <w:rPr>
          <w:sz w:val="20"/>
          <w:szCs w:val="20"/>
          <w:color w:val="auto"/>
        </w:rPr>
      </w:pPr>
    </w:p>
    <w:p>
      <w:pPr>
        <w:ind w:left="1"/>
        <w:spacing w:after="0"/>
        <w:rPr>
          <w:sz w:val="20"/>
          <w:szCs w:val="20"/>
          <w:color w:val="auto"/>
        </w:rPr>
      </w:pPr>
      <w:r>
        <w:rPr>
          <w:rFonts w:ascii="Arial" w:cs="Arial" w:eastAsia="Arial" w:hAnsi="Arial"/>
          <w:sz w:val="22"/>
          <w:szCs w:val="22"/>
          <w:color w:val="auto"/>
        </w:rPr>
        <w:t>CAPITAL, INC., a Maryland corporation (as “Agent”).</w:t>
      </w:r>
    </w:p>
    <w:p>
      <w:pPr>
        <w:spacing w:after="0" w:line="181" w:lineRule="exact"/>
        <w:rPr>
          <w:sz w:val="20"/>
          <w:szCs w:val="20"/>
          <w:color w:val="auto"/>
        </w:rPr>
      </w:pPr>
    </w:p>
    <w:p>
      <w:pPr>
        <w:ind w:left="4501"/>
        <w:spacing w:after="0"/>
        <w:rPr>
          <w:sz w:val="20"/>
          <w:szCs w:val="20"/>
          <w:color w:val="auto"/>
        </w:rPr>
      </w:pPr>
      <w:r>
        <w:rPr>
          <w:rFonts w:ascii="Arial" w:cs="Arial" w:eastAsia="Arial" w:hAnsi="Arial"/>
          <w:sz w:val="22"/>
          <w:szCs w:val="22"/>
          <w:b w:val="1"/>
          <w:bCs w:val="1"/>
          <w:color w:val="auto"/>
        </w:rPr>
        <w:t>RECITALS</w:t>
      </w:r>
    </w:p>
    <w:p>
      <w:pPr>
        <w:spacing w:after="0" w:line="211" w:lineRule="exact"/>
        <w:rPr>
          <w:sz w:val="20"/>
          <w:szCs w:val="20"/>
          <w:color w:val="auto"/>
        </w:rPr>
      </w:pPr>
    </w:p>
    <w:p>
      <w:pPr>
        <w:ind w:left="1" w:right="120" w:firstLine="645"/>
        <w:spacing w:after="0" w:line="235" w:lineRule="auto"/>
        <w:tabs>
          <w:tab w:leader="none" w:pos="96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Subsidiary’s Affiliate, VERASTEM, INC., a Delaware corporation (“Company”) has entered into that certain Loan and Security Agreement dated [ ], 2017, with the several banks and other financial institutions or entities from time to time party thereto as lender (collectively, the “Lender”) and the Agent, as such agreement may be amended (the “Loan Agreement”), together with the other agreements executed and delivered in connection therewith;</w:t>
      </w:r>
    </w:p>
    <w:p>
      <w:pPr>
        <w:spacing w:after="0" w:line="188" w:lineRule="exact"/>
        <w:rPr>
          <w:rFonts w:ascii="Arial" w:cs="Arial" w:eastAsia="Arial" w:hAnsi="Arial"/>
          <w:sz w:val="22"/>
          <w:szCs w:val="22"/>
          <w:color w:val="auto"/>
        </w:rPr>
      </w:pPr>
    </w:p>
    <w:p>
      <w:pPr>
        <w:ind w:left="1" w:right="460" w:firstLine="645"/>
        <w:spacing w:after="0" w:line="326" w:lineRule="auto"/>
        <w:tabs>
          <w:tab w:leader="none" w:pos="95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Subsidiary acknowledges and agrees that it will benefit both directly and indirectly from Company’s execution of the Loan Agreement and the other agreements executed and delivered in connection therewith;</w:t>
      </w:r>
    </w:p>
    <w:p>
      <w:pPr>
        <w:spacing w:after="0" w:line="100" w:lineRule="exact"/>
        <w:rPr>
          <w:sz w:val="20"/>
          <w:szCs w:val="20"/>
          <w:color w:val="auto"/>
        </w:rPr>
      </w:pPr>
    </w:p>
    <w:p>
      <w:pPr>
        <w:ind w:left="4321"/>
        <w:spacing w:after="0"/>
        <w:rPr>
          <w:sz w:val="20"/>
          <w:szCs w:val="20"/>
          <w:color w:val="auto"/>
        </w:rPr>
      </w:pPr>
      <w:r>
        <w:rPr>
          <w:rFonts w:ascii="Arial" w:cs="Arial" w:eastAsia="Arial" w:hAnsi="Arial"/>
          <w:sz w:val="22"/>
          <w:szCs w:val="22"/>
          <w:b w:val="1"/>
          <w:bCs w:val="1"/>
          <w:color w:val="auto"/>
        </w:rPr>
        <w:t>AGREEMENT</w:t>
      </w:r>
    </w:p>
    <w:p>
      <w:pPr>
        <w:spacing w:after="0" w:line="211" w:lineRule="exact"/>
        <w:rPr>
          <w:sz w:val="20"/>
          <w:szCs w:val="20"/>
          <w:color w:val="auto"/>
        </w:rPr>
      </w:pPr>
    </w:p>
    <w:p>
      <w:pPr>
        <w:ind w:left="641"/>
        <w:spacing w:after="0"/>
        <w:rPr>
          <w:sz w:val="20"/>
          <w:szCs w:val="20"/>
          <w:color w:val="auto"/>
        </w:rPr>
      </w:pPr>
      <w:r>
        <w:rPr>
          <w:rFonts w:ascii="Arial" w:cs="Arial" w:eastAsia="Arial" w:hAnsi="Arial"/>
          <w:sz w:val="22"/>
          <w:szCs w:val="22"/>
          <w:color w:val="auto"/>
        </w:rPr>
        <w:t>NOW THEREFORE, Subsidiary and Agent agree as follows:</w:t>
      </w:r>
    </w:p>
    <w:p>
      <w:pPr>
        <w:spacing w:after="0" w:line="209" w:lineRule="exact"/>
        <w:rPr>
          <w:sz w:val="20"/>
          <w:szCs w:val="20"/>
          <w:color w:val="auto"/>
        </w:rPr>
      </w:pPr>
    </w:p>
    <w:p>
      <w:pPr>
        <w:ind w:left="321" w:hanging="321"/>
        <w:spacing w:after="0" w:line="259" w:lineRule="auto"/>
        <w:tabs>
          <w:tab w:leader="none" w:pos="34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recitals set forth above are incorporated into and made part of this Joinder Agreement. Capitalized terms not defined herein shall have the meaning provided in the Loan Agreement.</w:t>
      </w:r>
    </w:p>
    <w:p>
      <w:pPr>
        <w:spacing w:after="0" w:line="176" w:lineRule="exact"/>
        <w:rPr>
          <w:rFonts w:ascii="Arial" w:cs="Arial" w:eastAsia="Arial" w:hAnsi="Arial"/>
          <w:sz w:val="20"/>
          <w:szCs w:val="20"/>
          <w:color w:val="auto"/>
        </w:rPr>
      </w:pPr>
    </w:p>
    <w:p>
      <w:pPr>
        <w:ind w:left="421" w:hanging="421"/>
        <w:spacing w:after="0"/>
        <w:tabs>
          <w:tab w:leader="none" w:pos="42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signing this Joinder Agreement, Subsidiary shall be bound by the terms and conditions of the Loan Agreement the</w:t>
      </w:r>
    </w:p>
    <w:p>
      <w:pPr>
        <w:spacing w:after="0" w:line="38" w:lineRule="exact"/>
        <w:rPr>
          <w:sz w:val="20"/>
          <w:szCs w:val="20"/>
          <w:color w:val="auto"/>
        </w:rPr>
      </w:pPr>
    </w:p>
    <w:p>
      <w:pPr>
        <w:jc w:val="both"/>
        <w:ind w:left="321"/>
        <w:spacing w:after="0" w:line="252" w:lineRule="auto"/>
        <w:rPr>
          <w:sz w:val="20"/>
          <w:szCs w:val="20"/>
          <w:color w:val="auto"/>
        </w:rPr>
      </w:pPr>
      <w:r>
        <w:rPr>
          <w:rFonts w:ascii="Arial" w:cs="Arial" w:eastAsia="Arial" w:hAnsi="Arial"/>
          <w:sz w:val="19"/>
          <w:szCs w:val="19"/>
          <w:color w:val="auto"/>
        </w:rPr>
        <w:t>same as if it were the Borrower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Lender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Lender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Lender shall be deemed provided to Subsidiary; (ii) a Lender’s providing an Advance to Company shall be deemed an Advance to Subsidiary; and (iii) Subsidiary shall have no right to request an Advance or make any other demand on Lender.</w:t>
      </w:r>
    </w:p>
    <w:p>
      <w:pPr>
        <w:spacing w:after="0" w:line="137" w:lineRule="exact"/>
        <w:rPr>
          <w:sz w:val="20"/>
          <w:szCs w:val="20"/>
          <w:color w:val="auto"/>
        </w:rPr>
      </w:pPr>
    </w:p>
    <w:p>
      <w:pPr>
        <w:jc w:val="both"/>
        <w:ind w:left="321" w:hanging="321"/>
        <w:spacing w:after="0" w:line="249" w:lineRule="auto"/>
        <w:tabs>
          <w:tab w:leader="none" w:pos="34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Subsidiary agrees not to certificate its equity securities without Agent’s prior written consent, which consent may be conditioned on the delivery of such equity securities to Agent in order to perfect Agent’s security interest in such equity securities.</w:t>
      </w:r>
    </w:p>
    <w:p>
      <w:pPr>
        <w:spacing w:after="0" w:line="132" w:lineRule="exact"/>
        <w:rPr>
          <w:rFonts w:ascii="Arial" w:cs="Arial" w:eastAsia="Arial" w:hAnsi="Arial"/>
          <w:sz w:val="20"/>
          <w:szCs w:val="20"/>
          <w:color w:val="auto"/>
        </w:rPr>
      </w:pPr>
    </w:p>
    <w:p>
      <w:pPr>
        <w:jc w:val="both"/>
        <w:ind w:left="321" w:hanging="321"/>
        <w:spacing w:after="0" w:line="245" w:lineRule="auto"/>
        <w:tabs>
          <w:tab w:leader="none" w:pos="34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639254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278" w:name="page279"/>
    <w:bookmarkEnd w:id="278"/>
    <w:p>
      <w:pPr>
        <w:jc w:val="both"/>
        <w:spacing w:after="0" w:line="249" w:lineRule="auto"/>
        <w:rPr>
          <w:sz w:val="20"/>
          <w:szCs w:val="20"/>
          <w:color w:val="auto"/>
        </w:rPr>
      </w:pPr>
      <w:r>
        <w:rPr>
          <w:rFonts w:ascii="Arial" w:cs="Arial" w:eastAsia="Arial" w:hAnsi="Arial"/>
          <w:sz w:val="20"/>
          <w:szCs w:val="20"/>
          <w:color w:val="auto"/>
        </w:rPr>
        <w:t>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spacing w:after="0" w:line="133"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[REMAINDER OF PAGE INTENTIONALLY LEFT BLANK]</w:t>
      </w:r>
    </w:p>
    <w:p>
      <w:pPr>
        <w:spacing w:after="0" w:line="21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143510</wp:posOffset>
            </wp:positionV>
            <wp:extent cx="639254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740"/>
          </w:cols>
          <w:pgMar w:left="1240" w:top="122" w:right="919" w:bottom="1440" w:gutter="0" w:footer="0" w:header="0"/>
        </w:sectPr>
      </w:pPr>
    </w:p>
    <w:bookmarkStart w:id="279" w:name="page280"/>
    <w:bookmarkEnd w:id="279"/>
    <w:p>
      <w:pPr>
        <w:jc w:val="right"/>
        <w:ind w:right="2399"/>
        <w:spacing w:after="0"/>
        <w:rPr>
          <w:sz w:val="20"/>
          <w:szCs w:val="20"/>
          <w:color w:val="auto"/>
        </w:rPr>
      </w:pPr>
      <w:r>
        <w:rPr>
          <w:rFonts w:ascii="Arial" w:cs="Arial" w:eastAsia="Arial" w:hAnsi="Arial"/>
          <w:sz w:val="20"/>
          <w:szCs w:val="20"/>
          <w:color w:val="auto"/>
        </w:rPr>
        <w:t>[SIGNATURE PAGE TO JOINDER AGREEMENT]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SUBSIDIARY:</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w:t>
      </w:r>
    </w:p>
    <w:p>
      <w:pPr>
        <w:spacing w:after="0" w:line="106"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By:</w:t>
      </w:r>
    </w:p>
    <w:p>
      <w:pPr>
        <w:spacing w:after="0" w:line="14"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Name:</w:t>
      </w:r>
    </w:p>
    <w:p>
      <w:pPr>
        <w:ind w:left="1680"/>
        <w:spacing w:after="0"/>
        <w:rPr>
          <w:sz w:val="20"/>
          <w:szCs w:val="20"/>
          <w:color w:val="auto"/>
        </w:rPr>
      </w:pPr>
      <w:r>
        <w:rPr>
          <w:rFonts w:ascii="Arial" w:cs="Arial" w:eastAsia="Arial" w:hAnsi="Arial"/>
          <w:sz w:val="20"/>
          <w:szCs w:val="20"/>
          <w:color w:val="auto"/>
        </w:rPr>
        <w:t>Title:</w:t>
      </w:r>
    </w:p>
    <w:p>
      <w:pPr>
        <w:spacing w:after="0" w:line="198"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56"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Telephone: ___________</w:t>
      </w:r>
    </w:p>
    <w:p>
      <w:pPr>
        <w:spacing w:after="0" w:line="15"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email: 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HERCULES CAPITAL, INC.</w:t>
      </w:r>
    </w:p>
    <w:p>
      <w:pPr>
        <w:spacing w:after="0" w:line="228"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By:____________________________________</w:t>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Name:__________________________________</w:t>
      </w:r>
    </w:p>
    <w:p>
      <w:pPr>
        <w:ind w:left="1700"/>
        <w:spacing w:after="0"/>
        <w:rPr>
          <w:sz w:val="20"/>
          <w:szCs w:val="20"/>
          <w:color w:val="auto"/>
        </w:rPr>
      </w:pPr>
      <w:r>
        <w:rPr>
          <w:rFonts w:ascii="Arial" w:cs="Arial" w:eastAsia="Arial" w:hAnsi="Arial"/>
          <w:sz w:val="20"/>
          <w:szCs w:val="20"/>
          <w:color w:val="auto"/>
        </w:rPr>
        <w:t>Title: ___________________________________</w:t>
      </w:r>
    </w:p>
    <w:p>
      <w:pPr>
        <w:spacing w:after="0" w:line="21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Address:</w:t>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400 Hamilton Ave., Suite 310</w:t>
      </w:r>
    </w:p>
    <w:p>
      <w:pPr>
        <w:ind w:left="1700"/>
        <w:spacing w:after="0" w:line="238" w:lineRule="auto"/>
        <w:rPr>
          <w:sz w:val="20"/>
          <w:szCs w:val="20"/>
          <w:color w:val="auto"/>
        </w:rPr>
      </w:pPr>
      <w:r>
        <w:rPr>
          <w:rFonts w:ascii="Arial" w:cs="Arial" w:eastAsia="Arial" w:hAnsi="Arial"/>
          <w:sz w:val="20"/>
          <w:szCs w:val="20"/>
          <w:color w:val="auto"/>
        </w:rPr>
        <w:t>Palo Alto, CA 94301</w:t>
      </w:r>
    </w:p>
    <w:p>
      <w:pPr>
        <w:ind w:left="1700"/>
        <w:spacing w:after="0"/>
        <w:rPr>
          <w:sz w:val="20"/>
          <w:szCs w:val="20"/>
          <w:color w:val="auto"/>
        </w:rPr>
      </w:pPr>
      <w:r>
        <w:rPr>
          <w:rFonts w:ascii="Arial" w:cs="Arial" w:eastAsia="Arial" w:hAnsi="Arial"/>
          <w:sz w:val="20"/>
          <w:szCs w:val="20"/>
          <w:color w:val="auto"/>
        </w:rPr>
        <w:t>email: legal@herculestech.com</w:t>
      </w:r>
    </w:p>
    <w:p>
      <w:pPr>
        <w:ind w:left="1700"/>
        <w:spacing w:after="0"/>
        <w:rPr>
          <w:sz w:val="20"/>
          <w:szCs w:val="20"/>
          <w:color w:val="auto"/>
        </w:rPr>
      </w:pPr>
      <w:r>
        <w:rPr>
          <w:rFonts w:ascii="Arial" w:cs="Arial" w:eastAsia="Arial" w:hAnsi="Arial"/>
          <w:sz w:val="20"/>
          <w:szCs w:val="20"/>
          <w:color w:val="auto"/>
        </w:rPr>
        <w:t>Telephone: 650-289-3060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143510</wp:posOffset>
            </wp:positionV>
            <wp:extent cx="639254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459"/>
          </w:cols>
          <w:pgMar w:left="1000" w:top="122" w:right="1440" w:bottom="1440" w:gutter="0" w:footer="0" w:header="0"/>
        </w:sectPr>
      </w:pPr>
    </w:p>
    <w:bookmarkStart w:id="280" w:name="page281"/>
    <w:bookmarkEnd w:id="280"/>
    <w:p>
      <w:pPr>
        <w:jc w:val="center"/>
        <w:spacing w:after="0"/>
        <w:rPr>
          <w:sz w:val="20"/>
          <w:szCs w:val="20"/>
          <w:color w:val="auto"/>
        </w:rPr>
      </w:pPr>
      <w:r>
        <w:rPr>
          <w:rFonts w:ascii="Arial" w:cs="Arial" w:eastAsia="Arial" w:hAnsi="Arial"/>
          <w:sz w:val="22"/>
          <w:szCs w:val="22"/>
          <w:b w:val="1"/>
          <w:bCs w:val="1"/>
          <w:color w:val="auto"/>
        </w:rPr>
        <w:t>EXHIBIT 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ACH DEBIT AUTHORIZATION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Hercules Capital, Inc.</w:t>
      </w:r>
    </w:p>
    <w:p>
      <w:pPr>
        <w:spacing w:after="0" w:line="236" w:lineRule="auto"/>
        <w:rPr>
          <w:sz w:val="20"/>
          <w:szCs w:val="20"/>
          <w:color w:val="auto"/>
        </w:rPr>
      </w:pPr>
      <w:r>
        <w:rPr>
          <w:rFonts w:ascii="Arial" w:cs="Arial" w:eastAsia="Arial" w:hAnsi="Arial"/>
          <w:sz w:val="22"/>
          <w:szCs w:val="22"/>
          <w:color w:val="auto"/>
        </w:rPr>
        <w:t>400 Hamilton Avenue, Suite 310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94301</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Re: Loan and Security Agreement dated _______________ (the “Agreement”) by and among Verastem, Inc.</w:t>
      </w:r>
    </w:p>
    <w:p>
      <w:pPr>
        <w:spacing w:after="0" w:line="42" w:lineRule="exact"/>
        <w:rPr>
          <w:sz w:val="20"/>
          <w:szCs w:val="20"/>
          <w:color w:val="auto"/>
        </w:rPr>
      </w:pPr>
    </w:p>
    <w:p>
      <w:pPr>
        <w:ind w:left="640" w:firstLine="54"/>
        <w:spacing w:after="0" w:line="234" w:lineRule="auto"/>
        <w:rPr>
          <w:sz w:val="20"/>
          <w:szCs w:val="20"/>
          <w:color w:val="auto"/>
        </w:rPr>
      </w:pPr>
      <w:r>
        <w:rPr>
          <w:rFonts w:ascii="Arial" w:cs="Arial" w:eastAsia="Arial" w:hAnsi="Arial"/>
          <w:sz w:val="22"/>
          <w:szCs w:val="22"/>
          <w:color w:val="auto"/>
        </w:rPr>
        <w:t>(the “Borrower”), each of its Qualified Subsidiaries (as defined therein) the Lender (as defined therein) from time to time party thereto and Hercules Capital, Inc., as administrative agent and collateral agent for itself and the Lender (the “Agent”)</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connection with the above referenced Agreement, the Borrower hereby authorizes the Company to initiate debit entries for (i) the periodic payments due under the Agreement and (ii) out-of-pocket legal fees and costs incurred by Agent or Lender pursuant to Section 11.11 of the Agreement to the Borrower’s account indicated below. The Borrower authorizes the depository institution named below to debit to such account.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[IF FILED PUBLICLY, ACCOUNT INFO REDACTED FOR SECURITY PURPOSES]</w:t>
      </w: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36"/>
        </w:trPr>
        <w:tc>
          <w:tcPr>
            <w:tcW w:w="2860" w:type="dxa"/>
            <w:vAlign w:val="bottom"/>
          </w:tcPr>
          <w:p>
            <w:pPr>
              <w:spacing w:after="0"/>
              <w:rPr>
                <w:sz w:val="20"/>
                <w:szCs w:val="20"/>
                <w:color w:val="auto"/>
              </w:rPr>
            </w:pPr>
            <w:r>
              <w:rPr>
                <w:rFonts w:ascii="Arial" w:cs="Arial" w:eastAsia="Arial" w:hAnsi="Arial"/>
                <w:sz w:val="11"/>
                <w:szCs w:val="11"/>
                <w:color w:val="auto"/>
              </w:rPr>
              <w:t>DEPOSITORY NAME</w:t>
            </w:r>
          </w:p>
        </w:tc>
        <w:tc>
          <w:tcPr>
            <w:tcW w:w="2760" w:type="dxa"/>
            <w:vAlign w:val="bottom"/>
          </w:tcPr>
          <w:p>
            <w:pPr>
              <w:ind w:left="1680"/>
              <w:spacing w:after="0"/>
              <w:rPr>
                <w:sz w:val="20"/>
                <w:szCs w:val="20"/>
                <w:color w:val="auto"/>
              </w:rPr>
            </w:pPr>
            <w:r>
              <w:rPr>
                <w:rFonts w:ascii="Arial" w:cs="Arial" w:eastAsia="Arial" w:hAnsi="Arial"/>
                <w:sz w:val="11"/>
                <w:szCs w:val="11"/>
                <w:color w:val="auto"/>
              </w:rPr>
              <w:t>BRANCH</w:t>
            </w:r>
          </w:p>
        </w:tc>
      </w:tr>
      <w:tr>
        <w:trPr>
          <w:trHeight w:val="511"/>
        </w:trPr>
        <w:tc>
          <w:tcPr>
            <w:tcW w:w="2860" w:type="dxa"/>
            <w:vAlign w:val="bottom"/>
          </w:tcPr>
          <w:p>
            <w:pPr>
              <w:spacing w:after="0"/>
              <w:rPr>
                <w:sz w:val="20"/>
                <w:szCs w:val="20"/>
                <w:color w:val="auto"/>
              </w:rPr>
            </w:pPr>
            <w:r>
              <w:rPr>
                <w:rFonts w:ascii="Arial" w:cs="Arial" w:eastAsia="Arial" w:hAnsi="Arial"/>
                <w:sz w:val="11"/>
                <w:szCs w:val="11"/>
                <w:color w:val="auto"/>
              </w:rPr>
              <w:t>CITY</w:t>
            </w:r>
          </w:p>
        </w:tc>
        <w:tc>
          <w:tcPr>
            <w:tcW w:w="2760" w:type="dxa"/>
            <w:vAlign w:val="bottom"/>
          </w:tcPr>
          <w:p>
            <w:pPr>
              <w:ind w:left="1680"/>
              <w:spacing w:after="0"/>
              <w:rPr>
                <w:sz w:val="20"/>
                <w:szCs w:val="20"/>
                <w:color w:val="auto"/>
              </w:rPr>
            </w:pPr>
            <w:r>
              <w:rPr>
                <w:rFonts w:ascii="Arial" w:cs="Arial" w:eastAsia="Arial" w:hAnsi="Arial"/>
                <w:sz w:val="11"/>
                <w:szCs w:val="11"/>
                <w:color w:val="auto"/>
                <w:w w:val="90"/>
              </w:rPr>
              <w:t>STATE AND ZIP CODE</w:t>
            </w:r>
          </w:p>
        </w:tc>
      </w:tr>
      <w:tr>
        <w:trPr>
          <w:trHeight w:val="511"/>
        </w:trPr>
        <w:tc>
          <w:tcPr>
            <w:tcW w:w="2860" w:type="dxa"/>
            <w:vAlign w:val="bottom"/>
          </w:tcPr>
          <w:p>
            <w:pPr>
              <w:spacing w:after="0"/>
              <w:rPr>
                <w:sz w:val="20"/>
                <w:szCs w:val="20"/>
                <w:color w:val="auto"/>
              </w:rPr>
            </w:pPr>
            <w:r>
              <w:rPr>
                <w:rFonts w:ascii="Arial" w:cs="Arial" w:eastAsia="Arial" w:hAnsi="Arial"/>
                <w:sz w:val="11"/>
                <w:szCs w:val="11"/>
                <w:color w:val="auto"/>
              </w:rPr>
              <w:t>TRANSIT/ABA NUMBER</w:t>
            </w:r>
          </w:p>
        </w:tc>
        <w:tc>
          <w:tcPr>
            <w:tcW w:w="2760" w:type="dxa"/>
            <w:vAlign w:val="bottom"/>
          </w:tcPr>
          <w:p>
            <w:pPr>
              <w:ind w:left="1680"/>
              <w:spacing w:after="0"/>
              <w:rPr>
                <w:sz w:val="20"/>
                <w:szCs w:val="20"/>
                <w:color w:val="auto"/>
              </w:rPr>
            </w:pPr>
            <w:r>
              <w:rPr>
                <w:rFonts w:ascii="Arial" w:cs="Arial" w:eastAsia="Arial" w:hAnsi="Arial"/>
                <w:sz w:val="11"/>
                <w:szCs w:val="11"/>
                <w:color w:val="auto"/>
              </w:rPr>
              <w:t>ACCOUNT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-720725</wp:posOffset>
            </wp:positionV>
            <wp:extent cx="5760085" cy="9829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60085" cy="98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This authority will remain in full force and effect so long as any amounts are due under the Agreement.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VERASTEM, INC.</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(Borrower)(Please Print)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_________________________________________</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39254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281" w:name="page282"/>
    <w:bookmarkEnd w:id="281"/>
    <w:p>
      <w:pPr>
        <w:jc w:val="center"/>
        <w:spacing w:after="0"/>
        <w:rPr>
          <w:sz w:val="20"/>
          <w:szCs w:val="20"/>
          <w:color w:val="auto"/>
        </w:rPr>
      </w:pPr>
      <w:r>
        <w:rPr>
          <w:rFonts w:ascii="Arial" w:cs="Arial" w:eastAsia="Arial" w:hAnsi="Arial"/>
          <w:sz w:val="22"/>
          <w:szCs w:val="22"/>
          <w:color w:val="auto"/>
        </w:rPr>
        <w:t>SCHEDULE 1.1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COMMITMENTS</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040" w:type="dxa"/>
            <w:vAlign w:val="bottom"/>
            <w:tcBorders>
              <w:top w:val="single" w:sz="8" w:color="auto"/>
              <w:left w:val="single" w:sz="8" w:color="auto"/>
              <w:right w:val="single" w:sz="8" w:color="auto"/>
            </w:tcBorders>
          </w:tcPr>
          <w:p>
            <w:pPr>
              <w:jc w:val="center"/>
              <w:spacing w:after="0" w:line="228" w:lineRule="exact"/>
              <w:rPr>
                <w:sz w:val="20"/>
                <w:szCs w:val="20"/>
                <w:color w:val="auto"/>
              </w:rPr>
            </w:pPr>
            <w:r>
              <w:rPr>
                <w:rFonts w:ascii="Arial" w:cs="Arial" w:eastAsia="Arial" w:hAnsi="Arial"/>
                <w:sz w:val="22"/>
                <w:szCs w:val="22"/>
                <w:b w:val="1"/>
                <w:bCs w:val="1"/>
                <w:color w:val="auto"/>
                <w:w w:val="99"/>
              </w:rPr>
              <w:t>LENDER</w:t>
            </w:r>
          </w:p>
        </w:tc>
        <w:tc>
          <w:tcPr>
            <w:tcW w:w="2840" w:type="dxa"/>
            <w:vAlign w:val="bottom"/>
            <w:tcBorders>
              <w:top w:val="single" w:sz="8" w:color="auto"/>
              <w:right w:val="single" w:sz="8" w:color="auto"/>
            </w:tcBorders>
          </w:tcPr>
          <w:p>
            <w:pPr>
              <w:jc w:val="center"/>
              <w:spacing w:after="0" w:line="228" w:lineRule="exact"/>
              <w:rPr>
                <w:sz w:val="20"/>
                <w:szCs w:val="20"/>
                <w:color w:val="auto"/>
              </w:rPr>
            </w:pPr>
            <w:r>
              <w:rPr>
                <w:rFonts w:ascii="Arial" w:cs="Arial" w:eastAsia="Arial" w:hAnsi="Arial"/>
                <w:sz w:val="22"/>
                <w:szCs w:val="22"/>
                <w:b w:val="1"/>
                <w:bCs w:val="1"/>
                <w:color w:val="auto"/>
              </w:rPr>
              <w:t>TRANCHE</w:t>
            </w:r>
          </w:p>
        </w:tc>
        <w:tc>
          <w:tcPr>
            <w:tcW w:w="3200" w:type="dxa"/>
            <w:vAlign w:val="bottom"/>
            <w:tcBorders>
              <w:top w:val="single" w:sz="8" w:color="auto"/>
              <w:right w:val="single" w:sz="8" w:color="auto"/>
            </w:tcBorders>
          </w:tcPr>
          <w:p>
            <w:pPr>
              <w:jc w:val="center"/>
              <w:spacing w:after="0" w:line="228" w:lineRule="exact"/>
              <w:rPr>
                <w:sz w:val="20"/>
                <w:szCs w:val="20"/>
                <w:color w:val="auto"/>
              </w:rPr>
            </w:pPr>
            <w:r>
              <w:rPr>
                <w:rFonts w:ascii="Arial" w:cs="Arial" w:eastAsia="Arial" w:hAnsi="Arial"/>
                <w:sz w:val="22"/>
                <w:szCs w:val="22"/>
                <w:b w:val="1"/>
                <w:bCs w:val="1"/>
                <w:color w:val="auto"/>
              </w:rPr>
              <w:t>TERM LOAN</w:t>
            </w:r>
          </w:p>
        </w:tc>
        <w:tc>
          <w:tcPr>
            <w:tcW w:w="980" w:type="dxa"/>
            <w:vAlign w:val="bottom"/>
          </w:tcPr>
          <w:p>
            <w:pPr>
              <w:spacing w:after="0"/>
              <w:rPr>
                <w:sz w:val="19"/>
                <w:szCs w:val="19"/>
                <w:color w:val="auto"/>
              </w:rPr>
            </w:pPr>
          </w:p>
        </w:tc>
      </w:tr>
      <w:tr>
        <w:trPr>
          <w:trHeight w:val="280"/>
        </w:trPr>
        <w:tc>
          <w:tcPr>
            <w:tcW w:w="3040" w:type="dxa"/>
            <w:vAlign w:val="bottom"/>
            <w:tcBorders>
              <w:left w:val="single" w:sz="8" w:color="auto"/>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rPr>
              <w:t>COMMITMENT</w:t>
            </w:r>
          </w:p>
        </w:tc>
        <w:tc>
          <w:tcPr>
            <w:tcW w:w="980" w:type="dxa"/>
            <w:vAlign w:val="bottom"/>
          </w:tcPr>
          <w:p>
            <w:pPr>
              <w:spacing w:after="0"/>
              <w:rPr>
                <w:sz w:val="24"/>
                <w:szCs w:val="24"/>
                <w:color w:val="auto"/>
              </w:rPr>
            </w:pPr>
          </w:p>
        </w:tc>
      </w:tr>
      <w:tr>
        <w:trPr>
          <w:trHeight w:val="205"/>
        </w:trPr>
        <w:tc>
          <w:tcPr>
            <w:tcW w:w="304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267"/>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Hercules Capital, Inc.</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Term A Loan</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$2,500,000</w:t>
            </w:r>
          </w:p>
        </w:tc>
        <w:tc>
          <w:tcPr>
            <w:tcW w:w="980" w:type="dxa"/>
            <w:vAlign w:val="bottom"/>
          </w:tcPr>
          <w:p>
            <w:pPr>
              <w:spacing w:after="0"/>
              <w:rPr>
                <w:sz w:val="23"/>
                <w:szCs w:val="23"/>
                <w:color w:val="auto"/>
              </w:rPr>
            </w:pPr>
          </w:p>
        </w:tc>
      </w:tr>
      <w:tr>
        <w:trPr>
          <w:trHeight w:val="184"/>
        </w:trPr>
        <w:tc>
          <w:tcPr>
            <w:tcW w:w="304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3200" w:type="dxa"/>
            <w:vAlign w:val="bottom"/>
            <w:tcBorders>
              <w:bottom w:val="single" w:sz="8" w:color="auto"/>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r>
      <w:tr>
        <w:trPr>
          <w:trHeight w:val="267"/>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Hercules Capital, Inc.</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Term B Loan</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$2,500,000</w:t>
            </w:r>
          </w:p>
        </w:tc>
        <w:tc>
          <w:tcPr>
            <w:tcW w:w="980" w:type="dxa"/>
            <w:vAlign w:val="bottom"/>
          </w:tcPr>
          <w:p>
            <w:pPr>
              <w:spacing w:after="0"/>
              <w:rPr>
                <w:sz w:val="23"/>
                <w:szCs w:val="23"/>
                <w:color w:val="auto"/>
              </w:rPr>
            </w:pPr>
          </w:p>
        </w:tc>
      </w:tr>
      <w:tr>
        <w:trPr>
          <w:trHeight w:val="184"/>
        </w:trPr>
        <w:tc>
          <w:tcPr>
            <w:tcW w:w="304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3200" w:type="dxa"/>
            <w:vAlign w:val="bottom"/>
            <w:tcBorders>
              <w:bottom w:val="single" w:sz="8" w:color="auto"/>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r>
      <w:tr>
        <w:trPr>
          <w:trHeight w:val="267"/>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Hercules Capital, Inc.</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Term C Loan</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$5,000,000</w:t>
            </w:r>
          </w:p>
        </w:tc>
        <w:tc>
          <w:tcPr>
            <w:tcW w:w="980" w:type="dxa"/>
            <w:vAlign w:val="bottom"/>
          </w:tcPr>
          <w:p>
            <w:pPr>
              <w:spacing w:after="0"/>
              <w:rPr>
                <w:sz w:val="23"/>
                <w:szCs w:val="23"/>
                <w:color w:val="auto"/>
              </w:rPr>
            </w:pPr>
          </w:p>
        </w:tc>
      </w:tr>
      <w:tr>
        <w:trPr>
          <w:trHeight w:val="184"/>
        </w:trPr>
        <w:tc>
          <w:tcPr>
            <w:tcW w:w="304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3200" w:type="dxa"/>
            <w:vAlign w:val="bottom"/>
            <w:tcBorders>
              <w:bottom w:val="single" w:sz="8" w:color="auto"/>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r>
      <w:tr>
        <w:trPr>
          <w:trHeight w:val="267"/>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Hercules Capital, Inc.</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Term D Loan</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$15,000,000</w:t>
            </w:r>
          </w:p>
        </w:tc>
        <w:tc>
          <w:tcPr>
            <w:tcW w:w="980" w:type="dxa"/>
            <w:vAlign w:val="bottom"/>
          </w:tcPr>
          <w:p>
            <w:pPr>
              <w:spacing w:after="0"/>
              <w:rPr>
                <w:sz w:val="23"/>
                <w:szCs w:val="23"/>
                <w:color w:val="auto"/>
              </w:rPr>
            </w:pPr>
          </w:p>
        </w:tc>
      </w:tr>
      <w:tr>
        <w:trPr>
          <w:trHeight w:val="184"/>
        </w:trPr>
        <w:tc>
          <w:tcPr>
            <w:tcW w:w="304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3200" w:type="dxa"/>
            <w:vAlign w:val="bottom"/>
            <w:tcBorders>
              <w:bottom w:val="single" w:sz="8" w:color="auto"/>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r>
      <w:tr>
        <w:trPr>
          <w:trHeight w:val="267"/>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TOTAL COMMITMENTS</w:t>
            </w:r>
          </w:p>
        </w:tc>
        <w:tc>
          <w:tcPr>
            <w:tcW w:w="2840" w:type="dxa"/>
            <w:vAlign w:val="bottom"/>
            <w:tcBorders>
              <w:right w:val="single" w:sz="8" w:color="auto"/>
            </w:tcBorders>
          </w:tcPr>
          <w:p>
            <w:pPr>
              <w:spacing w:after="0"/>
              <w:rPr>
                <w:sz w:val="23"/>
                <w:szCs w:val="23"/>
                <w:color w:val="auto"/>
              </w:rPr>
            </w:pP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$25,000,000</w:t>
            </w:r>
          </w:p>
        </w:tc>
        <w:tc>
          <w:tcPr>
            <w:tcW w:w="980" w:type="dxa"/>
            <w:vAlign w:val="bottom"/>
          </w:tcPr>
          <w:p>
            <w:pPr>
              <w:spacing w:after="0"/>
              <w:rPr>
                <w:sz w:val="23"/>
                <w:szCs w:val="23"/>
                <w:color w:val="auto"/>
              </w:rPr>
            </w:pPr>
          </w:p>
        </w:tc>
      </w:tr>
      <w:tr>
        <w:trPr>
          <w:trHeight w:val="184"/>
        </w:trPr>
        <w:tc>
          <w:tcPr>
            <w:tcW w:w="304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3200" w:type="dxa"/>
            <w:vAlign w:val="bottom"/>
            <w:tcBorders>
              <w:bottom w:val="single" w:sz="8" w:color="auto"/>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r>
      <w:tr>
        <w:trPr>
          <w:trHeight w:val="703"/>
        </w:trPr>
        <w:tc>
          <w:tcPr>
            <w:tcW w:w="3040" w:type="dxa"/>
            <w:vAlign w:val="bottom"/>
          </w:tcPr>
          <w:p>
            <w:pPr>
              <w:spacing w:after="0"/>
              <w:rPr>
                <w:sz w:val="24"/>
                <w:szCs w:val="24"/>
                <w:color w:val="auto"/>
              </w:rPr>
            </w:pPr>
          </w:p>
        </w:tc>
        <w:tc>
          <w:tcPr>
            <w:tcW w:w="2840" w:type="dxa"/>
            <w:vAlign w:val="bottom"/>
          </w:tcPr>
          <w:p>
            <w:pPr>
              <w:jc w:val="right"/>
              <w:ind w:right="632"/>
              <w:spacing w:after="0"/>
              <w:rPr>
                <w:sz w:val="20"/>
                <w:szCs w:val="20"/>
                <w:color w:val="auto"/>
              </w:rPr>
            </w:pPr>
            <w:r>
              <w:rPr>
                <w:rFonts w:ascii="Arial" w:cs="Arial" w:eastAsia="Arial" w:hAnsi="Arial"/>
                <w:sz w:val="22"/>
                <w:szCs w:val="22"/>
                <w:color w:val="auto"/>
              </w:rPr>
              <w:t>56</w:t>
            </w:r>
          </w:p>
        </w:tc>
        <w:tc>
          <w:tcPr>
            <w:tcW w:w="3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30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bl>
    <w:p>
      <w:pPr>
        <w:sectPr>
          <w:pgSz w:w="11900" w:h="16838" w:orient="portrait"/>
          <w:cols w:equalWidth="0" w:num="1">
            <w:col w:w="10060"/>
          </w:cols>
          <w:pgMar w:left="920" w:top="118" w:right="91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21.1</w:t>
      </w:r>
    </w:p>
    <w:p>
      <w:pPr>
        <w:spacing w:after="0" w:line="187" w:lineRule="exact"/>
        <w:rPr>
          <w:sz w:val="20"/>
          <w:szCs w:val="20"/>
          <w:color w:val="auto"/>
        </w:rPr>
      </w:pPr>
    </w:p>
    <w:p>
      <w:pPr>
        <w:ind w:left="3340"/>
        <w:spacing w:after="0"/>
        <w:rPr>
          <w:sz w:val="20"/>
          <w:szCs w:val="20"/>
          <w:color w:val="auto"/>
        </w:rPr>
      </w:pPr>
      <w:r>
        <w:rPr>
          <w:rFonts w:ascii="Arial" w:cs="Arial" w:eastAsia="Arial" w:hAnsi="Arial"/>
          <w:sz w:val="18"/>
          <w:szCs w:val="18"/>
          <w:b w:val="1"/>
          <w:bCs w:val="1"/>
          <w:i w:val="1"/>
          <w:iCs w:val="1"/>
          <w:color w:val="auto"/>
        </w:rPr>
        <w:t>List of Registrant’s Subsidiaries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Verastem Securities Company, incorporated in Massachusetts, a wholly 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381635</wp:posOffset>
            </wp:positionV>
            <wp:extent cx="576008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40"/>
          </w:cols>
          <w:pgMar w:left="1440" w:top="108" w:right="141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23.1</w:t>
      </w:r>
    </w:p>
    <w:p>
      <w:pPr>
        <w:spacing w:after="0" w:line="183" w:lineRule="exact"/>
        <w:rPr>
          <w:sz w:val="20"/>
          <w:szCs w:val="20"/>
          <w:color w:val="auto"/>
        </w:rPr>
      </w:pPr>
    </w:p>
    <w:p>
      <w:pPr>
        <w:ind w:right="2240" w:firstLine="2241"/>
        <w:spacing w:after="0" w:line="511"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1300" w:right="220" w:hanging="652"/>
        <w:spacing w:after="0" w:line="202" w:lineRule="exact"/>
        <w:tabs>
          <w:tab w:leader="none" w:pos="13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Registration Statement (Form S</w:t>
      </w:r>
      <w:r>
        <w:rPr>
          <w:rFonts w:ascii="MS PGothic" w:cs="MS PGothic" w:eastAsia="MS PGothic" w:hAnsi="MS PGothic"/>
          <w:sz w:val="18"/>
          <w:szCs w:val="18"/>
          <w:color w:val="auto"/>
        </w:rPr>
        <w:t>‑</w:t>
      </w:r>
      <w:r>
        <w:rPr>
          <w:rFonts w:ascii="Arial" w:cs="Arial" w:eastAsia="Arial" w:hAnsi="Arial"/>
          <w:sz w:val="18"/>
          <w:szCs w:val="18"/>
          <w:color w:val="auto"/>
        </w:rPr>
        <w:t>8 No. 333</w:t>
      </w:r>
      <w:r>
        <w:rPr>
          <w:rFonts w:ascii="MS PGothic" w:cs="MS PGothic" w:eastAsia="MS PGothic" w:hAnsi="MS PGothic"/>
          <w:sz w:val="18"/>
          <w:szCs w:val="18"/>
          <w:color w:val="auto"/>
        </w:rPr>
        <w:t>‑</w:t>
      </w:r>
      <w:r>
        <w:rPr>
          <w:rFonts w:ascii="Arial" w:cs="Arial" w:eastAsia="Arial" w:hAnsi="Arial"/>
          <w:sz w:val="18"/>
          <w:szCs w:val="18"/>
          <w:color w:val="auto"/>
        </w:rPr>
        <w:t>180475) pertaining to the 2010 Equity Incentive Plan and the 2012 Incentive Plan of Verastem, Inc.,</w:t>
      </w:r>
    </w:p>
    <w:p>
      <w:pPr>
        <w:spacing w:after="0" w:line="145" w:lineRule="exact"/>
        <w:rPr>
          <w:rFonts w:ascii="Arial" w:cs="Arial" w:eastAsia="Arial" w:hAnsi="Arial"/>
          <w:sz w:val="18"/>
          <w:szCs w:val="18"/>
          <w:color w:val="auto"/>
        </w:rPr>
      </w:pPr>
    </w:p>
    <w:p>
      <w:pPr>
        <w:ind w:left="1400" w:hanging="752"/>
        <w:spacing w:after="0" w:line="207" w:lineRule="exact"/>
        <w:tabs>
          <w:tab w:leader="none" w:pos="14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Registration Statement (Form S</w:t>
      </w:r>
      <w:r>
        <w:rPr>
          <w:rFonts w:ascii="MS PGothic" w:cs="MS PGothic" w:eastAsia="MS PGothic" w:hAnsi="MS PGothic"/>
          <w:sz w:val="18"/>
          <w:szCs w:val="18"/>
          <w:color w:val="auto"/>
        </w:rPr>
        <w:t>‑</w:t>
      </w:r>
      <w:r>
        <w:rPr>
          <w:rFonts w:ascii="Arial" w:cs="Arial" w:eastAsia="Arial" w:hAnsi="Arial"/>
          <w:sz w:val="18"/>
          <w:szCs w:val="18"/>
          <w:color w:val="auto"/>
        </w:rPr>
        <w:t>8 No. 333</w:t>
      </w:r>
      <w:r>
        <w:rPr>
          <w:rFonts w:ascii="MS PGothic" w:cs="MS PGothic" w:eastAsia="MS PGothic" w:hAnsi="MS PGothic"/>
          <w:sz w:val="18"/>
          <w:szCs w:val="18"/>
          <w:color w:val="auto"/>
        </w:rPr>
        <w:t>‑</w:t>
      </w:r>
      <w:r>
        <w:rPr>
          <w:rFonts w:ascii="Arial" w:cs="Arial" w:eastAsia="Arial" w:hAnsi="Arial"/>
          <w:sz w:val="18"/>
          <w:szCs w:val="18"/>
          <w:color w:val="auto"/>
        </w:rPr>
        <w:t>190578) pertaining to the 2012 Incentive Plan of</w:t>
      </w:r>
    </w:p>
    <w:p>
      <w:pPr>
        <w:ind w:left="1300"/>
        <w:spacing w:after="0"/>
        <w:rPr>
          <w:sz w:val="20"/>
          <w:szCs w:val="20"/>
          <w:color w:val="auto"/>
        </w:rPr>
      </w:pPr>
      <w:r>
        <w:rPr>
          <w:rFonts w:ascii="Arial" w:cs="Arial" w:eastAsia="Arial" w:hAnsi="Arial"/>
          <w:sz w:val="18"/>
          <w:szCs w:val="18"/>
          <w:color w:val="auto"/>
        </w:rPr>
        <w:t>Verastem, Inc.,</w:t>
      </w:r>
    </w:p>
    <w:p>
      <w:pPr>
        <w:spacing w:after="0" w:line="167" w:lineRule="exact"/>
        <w:rPr>
          <w:sz w:val="20"/>
          <w:szCs w:val="20"/>
          <w:color w:val="auto"/>
        </w:rPr>
      </w:pPr>
    </w:p>
    <w:p>
      <w:pPr>
        <w:ind w:left="1300" w:right="60" w:hanging="652"/>
        <w:spacing w:after="0" w:line="202" w:lineRule="exact"/>
        <w:tabs>
          <w:tab w:leader="none" w:pos="14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Registration Statement (Form S</w:t>
      </w:r>
      <w:r>
        <w:rPr>
          <w:rFonts w:ascii="MS PGothic" w:cs="MS PGothic" w:eastAsia="MS PGothic" w:hAnsi="MS PGothic"/>
          <w:sz w:val="18"/>
          <w:szCs w:val="18"/>
          <w:color w:val="auto"/>
        </w:rPr>
        <w:t>‑</w:t>
      </w:r>
      <w:r>
        <w:rPr>
          <w:rFonts w:ascii="Arial" w:cs="Arial" w:eastAsia="Arial" w:hAnsi="Arial"/>
          <w:sz w:val="18"/>
          <w:szCs w:val="18"/>
          <w:color w:val="auto"/>
        </w:rPr>
        <w:t>8 No. 333</w:t>
      </w:r>
      <w:r>
        <w:rPr>
          <w:rFonts w:ascii="MS PGothic" w:cs="MS PGothic" w:eastAsia="MS PGothic" w:hAnsi="MS PGothic"/>
          <w:sz w:val="18"/>
          <w:szCs w:val="18"/>
          <w:color w:val="auto"/>
        </w:rPr>
        <w:t>‑</w:t>
      </w:r>
      <w:r>
        <w:rPr>
          <w:rFonts w:ascii="Arial" w:cs="Arial" w:eastAsia="Arial" w:hAnsi="Arial"/>
          <w:sz w:val="18"/>
          <w:szCs w:val="18"/>
          <w:color w:val="auto"/>
        </w:rPr>
        <w:t>201075) pertaining to the 2014 Inducement Award Program of Verastem, Inc., and</w:t>
      </w:r>
    </w:p>
    <w:p>
      <w:pPr>
        <w:spacing w:after="0" w:line="145" w:lineRule="exact"/>
        <w:rPr>
          <w:rFonts w:ascii="Arial" w:cs="Arial" w:eastAsia="Arial" w:hAnsi="Arial"/>
          <w:sz w:val="18"/>
          <w:szCs w:val="18"/>
          <w:color w:val="auto"/>
        </w:rPr>
      </w:pPr>
    </w:p>
    <w:p>
      <w:pPr>
        <w:ind w:left="1400" w:hanging="752"/>
        <w:spacing w:after="0" w:line="207" w:lineRule="exact"/>
        <w:tabs>
          <w:tab w:leader="none" w:pos="1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Registration Statement (Form S</w:t>
      </w:r>
      <w:r>
        <w:rPr>
          <w:rFonts w:ascii="MS PGothic" w:cs="MS PGothic" w:eastAsia="MS PGothic" w:hAnsi="MS PGothic"/>
          <w:sz w:val="18"/>
          <w:szCs w:val="18"/>
          <w:color w:val="auto"/>
        </w:rPr>
        <w:t>‑</w:t>
      </w:r>
      <w:r>
        <w:rPr>
          <w:rFonts w:ascii="Arial" w:cs="Arial" w:eastAsia="Arial" w:hAnsi="Arial"/>
          <w:sz w:val="18"/>
          <w:szCs w:val="18"/>
          <w:color w:val="auto"/>
        </w:rPr>
        <w:t>8 No. 333</w:t>
      </w:r>
      <w:r>
        <w:rPr>
          <w:rFonts w:ascii="MS PGothic" w:cs="MS PGothic" w:eastAsia="MS PGothic" w:hAnsi="MS PGothic"/>
          <w:sz w:val="18"/>
          <w:szCs w:val="18"/>
          <w:color w:val="auto"/>
        </w:rPr>
        <w:t>‑</w:t>
      </w:r>
      <w:r>
        <w:rPr>
          <w:rFonts w:ascii="Arial" w:cs="Arial" w:eastAsia="Arial" w:hAnsi="Arial"/>
          <w:sz w:val="18"/>
          <w:szCs w:val="18"/>
          <w:color w:val="auto"/>
        </w:rPr>
        <w:t>201076) pertaining to the 2012 Incentive Plan of</w:t>
      </w:r>
    </w:p>
    <w:p>
      <w:pPr>
        <w:ind w:left="1300"/>
        <w:spacing w:after="0"/>
        <w:rPr>
          <w:sz w:val="20"/>
          <w:szCs w:val="20"/>
          <w:color w:val="auto"/>
        </w:rPr>
      </w:pPr>
      <w:r>
        <w:rPr>
          <w:rFonts w:ascii="Arial" w:cs="Arial" w:eastAsia="Arial" w:hAnsi="Arial"/>
          <w:sz w:val="18"/>
          <w:szCs w:val="18"/>
          <w:color w:val="auto"/>
        </w:rPr>
        <w:t>Verastem, Inc.</w:t>
      </w:r>
    </w:p>
    <w:p>
      <w:pPr>
        <w:spacing w:after="0" w:line="167" w:lineRule="exact"/>
        <w:rPr>
          <w:sz w:val="20"/>
          <w:szCs w:val="20"/>
          <w:color w:val="auto"/>
        </w:rPr>
      </w:pPr>
    </w:p>
    <w:p>
      <w:pPr>
        <w:ind w:left="1400" w:hanging="752"/>
        <w:spacing w:after="0" w:line="184" w:lineRule="exact"/>
        <w:tabs>
          <w:tab w:leader="none" w:pos="14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211235) pertaining to the 2012 Incentive Plan of Verastem, Inc.</w:t>
      </w:r>
    </w:p>
    <w:p>
      <w:pPr>
        <w:spacing w:after="0" w:line="206" w:lineRule="exact"/>
        <w:rPr>
          <w:sz w:val="20"/>
          <w:szCs w:val="20"/>
          <w:color w:val="auto"/>
        </w:rPr>
      </w:pPr>
    </w:p>
    <w:p>
      <w:pPr>
        <w:ind w:right="320"/>
        <w:spacing w:after="0" w:line="202" w:lineRule="exact"/>
        <w:rPr>
          <w:sz w:val="20"/>
          <w:szCs w:val="20"/>
          <w:color w:val="auto"/>
        </w:rPr>
      </w:pPr>
      <w:r>
        <w:rPr>
          <w:rFonts w:ascii="Arial" w:cs="Arial" w:eastAsia="Arial" w:hAnsi="Arial"/>
          <w:sz w:val="18"/>
          <w:szCs w:val="18"/>
          <w:color w:val="auto"/>
        </w:rPr>
        <w:t>of our report dated March 23, 2017 with respect to the consolidated financial statements of Verastem, Inc. included in this Annual Report (Form 10</w:t>
      </w:r>
      <w:r>
        <w:rPr>
          <w:rFonts w:ascii="MS PGothic" w:cs="MS PGothic" w:eastAsia="MS PGothic" w:hAnsi="MS PGothic"/>
          <w:sz w:val="18"/>
          <w:szCs w:val="18"/>
          <w:color w:val="auto"/>
        </w:rPr>
        <w:t>‑</w:t>
      </w:r>
      <w:r>
        <w:rPr>
          <w:rFonts w:ascii="Arial" w:cs="Arial" w:eastAsia="Arial" w:hAnsi="Arial"/>
          <w:sz w:val="18"/>
          <w:szCs w:val="18"/>
          <w:color w:val="auto"/>
        </w:rPr>
        <w:t>K) of Verastem, Inc. for the year ended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576008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31.1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Robert Forrester certify that:</w:t>
      </w:r>
    </w:p>
    <w:p>
      <w:pPr>
        <w:spacing w:after="0" w:line="183" w:lineRule="exact"/>
        <w:rPr>
          <w:sz w:val="20"/>
          <w:szCs w:val="20"/>
          <w:color w:val="auto"/>
        </w:rPr>
      </w:pPr>
    </w:p>
    <w:p>
      <w:pPr>
        <w:ind w:left="1320" w:hanging="672"/>
        <w:spacing w:after="0" w:line="207" w:lineRule="exact"/>
        <w:tabs>
          <w:tab w:leader="none" w:pos="1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Verastem, Inc.;</w:t>
      </w:r>
    </w:p>
    <w:p>
      <w:pPr>
        <w:spacing w:after="0" w:line="183" w:lineRule="exact"/>
        <w:rPr>
          <w:rFonts w:ascii="Arial" w:cs="Arial" w:eastAsia="Arial" w:hAnsi="Arial"/>
          <w:sz w:val="18"/>
          <w:szCs w:val="18"/>
          <w:color w:val="auto"/>
        </w:rPr>
      </w:pPr>
    </w:p>
    <w:p>
      <w:pPr>
        <w:ind w:firstLine="648"/>
        <w:spacing w:after="0" w:line="224" w:lineRule="auto"/>
        <w:tabs>
          <w:tab w:leader="none" w:pos="13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8"/>
          <w:szCs w:val="18"/>
          <w:color w:val="auto"/>
        </w:rPr>
      </w:pPr>
    </w:p>
    <w:p>
      <w:pPr>
        <w:jc w:val="both"/>
        <w:ind w:right="200" w:firstLine="648"/>
        <w:spacing w:after="0" w:line="224" w:lineRule="auto"/>
        <w:tabs>
          <w:tab w:leader="none" w:pos="13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8"/>
          <w:szCs w:val="18"/>
          <w:color w:val="auto"/>
        </w:rPr>
      </w:pPr>
    </w:p>
    <w:p>
      <w:pPr>
        <w:ind w:right="280" w:firstLine="648"/>
        <w:spacing w:after="0" w:line="194" w:lineRule="exact"/>
        <w:tabs>
          <w:tab w:leader="none" w:pos="131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640" w:right="220" w:firstLine="654"/>
        <w:spacing w:after="0" w:line="218" w:lineRule="auto"/>
        <w:tabs>
          <w:tab w:leader="none" w:pos="196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640" w:right="80" w:firstLine="654"/>
        <w:spacing w:after="0" w:line="218" w:lineRule="auto"/>
        <w:tabs>
          <w:tab w:leader="none" w:pos="197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640" w:right="80" w:firstLine="654"/>
        <w:spacing w:after="0" w:line="224" w:lineRule="auto"/>
        <w:tabs>
          <w:tab w:leader="none" w:pos="196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8"/>
          <w:szCs w:val="18"/>
          <w:color w:val="auto"/>
        </w:rPr>
      </w:pPr>
    </w:p>
    <w:p>
      <w:pPr>
        <w:ind w:left="640" w:right="40" w:firstLine="654"/>
        <w:spacing w:after="0" w:line="218" w:lineRule="auto"/>
        <w:tabs>
          <w:tab w:leader="none" w:pos="197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right="540" w:firstLine="648"/>
        <w:spacing w:after="0" w:line="224" w:lineRule="auto"/>
        <w:tabs>
          <w:tab w:leader="none" w:pos="13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8"/>
          <w:szCs w:val="18"/>
          <w:color w:val="auto"/>
        </w:rPr>
      </w:pPr>
    </w:p>
    <w:p>
      <w:pPr>
        <w:ind w:left="640" w:right="120" w:firstLine="654"/>
        <w:spacing w:after="0" w:line="224" w:lineRule="auto"/>
        <w:tabs>
          <w:tab w:leader="none" w:pos="196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8"/>
          <w:szCs w:val="18"/>
          <w:color w:val="auto"/>
        </w:rPr>
      </w:pPr>
    </w:p>
    <w:p>
      <w:pPr>
        <w:ind w:left="640" w:right="320" w:firstLine="654"/>
        <w:spacing w:after="0" w:line="234" w:lineRule="auto"/>
        <w:tabs>
          <w:tab w:leader="none" w:pos="197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Robert Forrester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-1905</wp:posOffset>
            </wp:positionV>
            <wp:extent cx="27432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4660"/>
        <w:spacing w:after="0" w:line="231" w:lineRule="auto"/>
        <w:rPr>
          <w:sz w:val="20"/>
          <w:szCs w:val="20"/>
          <w:color w:val="auto"/>
        </w:rPr>
      </w:pPr>
      <w:r>
        <w:rPr>
          <w:rFonts w:ascii="Arial" w:cs="Arial" w:eastAsia="Arial" w:hAnsi="Arial"/>
          <w:sz w:val="18"/>
          <w:szCs w:val="18"/>
          <w:color w:val="auto"/>
        </w:rPr>
        <w:t>Robert Forrester</w:t>
      </w:r>
    </w:p>
    <w:p>
      <w:pPr>
        <w:ind w:left="4660"/>
        <w:spacing w:after="0"/>
        <w:rPr>
          <w:sz w:val="20"/>
          <w:szCs w:val="20"/>
          <w:color w:val="auto"/>
        </w:rPr>
      </w:pPr>
      <w:r>
        <w:rPr>
          <w:rFonts w:ascii="Arial" w:cs="Arial" w:eastAsia="Arial" w:hAnsi="Arial"/>
          <w:sz w:val="18"/>
          <w:szCs w:val="18"/>
          <w:i w:val="1"/>
          <w:iCs w:val="1"/>
          <w:color w:val="auto"/>
        </w:rPr>
        <w:t>Chief Executive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576008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31.2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Joseph Chiapponi, certify that:</w:t>
      </w:r>
    </w:p>
    <w:p>
      <w:pPr>
        <w:spacing w:after="0" w:line="183" w:lineRule="exact"/>
        <w:rPr>
          <w:sz w:val="20"/>
          <w:szCs w:val="20"/>
          <w:color w:val="auto"/>
        </w:rPr>
      </w:pPr>
    </w:p>
    <w:p>
      <w:pPr>
        <w:ind w:left="1320" w:hanging="672"/>
        <w:spacing w:after="0" w:line="207" w:lineRule="exact"/>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Verastem, Inc.;</w:t>
      </w:r>
    </w:p>
    <w:p>
      <w:pPr>
        <w:spacing w:after="0" w:line="183" w:lineRule="exact"/>
        <w:rPr>
          <w:rFonts w:ascii="Arial" w:cs="Arial" w:eastAsia="Arial" w:hAnsi="Arial"/>
          <w:sz w:val="18"/>
          <w:szCs w:val="18"/>
          <w:color w:val="auto"/>
        </w:rPr>
      </w:pPr>
    </w:p>
    <w:p>
      <w:pPr>
        <w:ind w:firstLine="648"/>
        <w:spacing w:after="0" w:line="224" w:lineRule="auto"/>
        <w:tabs>
          <w:tab w:leader="none" w:pos="131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8"/>
          <w:szCs w:val="18"/>
          <w:color w:val="auto"/>
        </w:rPr>
      </w:pPr>
    </w:p>
    <w:p>
      <w:pPr>
        <w:jc w:val="both"/>
        <w:ind w:right="200" w:firstLine="648"/>
        <w:spacing w:after="0" w:line="224" w:lineRule="auto"/>
        <w:tabs>
          <w:tab w:leader="none" w:pos="131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8"/>
          <w:szCs w:val="18"/>
          <w:color w:val="auto"/>
        </w:rPr>
      </w:pPr>
    </w:p>
    <w:p>
      <w:pPr>
        <w:ind w:right="280" w:firstLine="648"/>
        <w:spacing w:after="0" w:line="194" w:lineRule="exact"/>
        <w:tabs>
          <w:tab w:leader="none" w:pos="131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640" w:right="220" w:firstLine="654"/>
        <w:spacing w:after="0" w:line="218" w:lineRule="auto"/>
        <w:tabs>
          <w:tab w:leader="none" w:pos="196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640" w:right="80" w:firstLine="654"/>
        <w:spacing w:after="0" w:line="218" w:lineRule="auto"/>
        <w:tabs>
          <w:tab w:leader="none" w:pos="197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640" w:right="80" w:firstLine="654"/>
        <w:spacing w:after="0" w:line="224" w:lineRule="auto"/>
        <w:tabs>
          <w:tab w:leader="none" w:pos="196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8"/>
          <w:szCs w:val="18"/>
          <w:color w:val="auto"/>
        </w:rPr>
      </w:pPr>
    </w:p>
    <w:p>
      <w:pPr>
        <w:ind w:left="640" w:right="40" w:firstLine="654"/>
        <w:spacing w:after="0" w:line="218" w:lineRule="auto"/>
        <w:tabs>
          <w:tab w:leader="none" w:pos="197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right="540" w:firstLine="648"/>
        <w:spacing w:after="0" w:line="224" w:lineRule="auto"/>
        <w:tabs>
          <w:tab w:leader="none" w:pos="131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8"/>
          <w:szCs w:val="18"/>
          <w:color w:val="auto"/>
        </w:rPr>
      </w:pPr>
    </w:p>
    <w:p>
      <w:pPr>
        <w:ind w:left="640" w:right="120" w:firstLine="654"/>
        <w:spacing w:after="0" w:line="224" w:lineRule="auto"/>
        <w:tabs>
          <w:tab w:leader="none" w:pos="196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8"/>
          <w:szCs w:val="18"/>
          <w:color w:val="auto"/>
        </w:rPr>
      </w:pPr>
    </w:p>
    <w:p>
      <w:pPr>
        <w:ind w:left="640" w:right="320" w:firstLine="654"/>
        <w:spacing w:after="0" w:line="234" w:lineRule="auto"/>
        <w:tabs>
          <w:tab w:leader="none" w:pos="197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JoSEPH CHIAPPONI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-635</wp:posOffset>
            </wp:positionV>
            <wp:extent cx="28117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4660"/>
        <w:spacing w:after="0" w:line="202" w:lineRule="auto"/>
        <w:rPr>
          <w:sz w:val="20"/>
          <w:szCs w:val="20"/>
          <w:color w:val="auto"/>
        </w:rPr>
      </w:pPr>
      <w:r>
        <w:rPr>
          <w:rFonts w:ascii="Arial" w:cs="Arial" w:eastAsia="Arial" w:hAnsi="Arial"/>
          <w:sz w:val="18"/>
          <w:szCs w:val="18"/>
          <w:color w:val="auto"/>
        </w:rPr>
        <w:t>Joseph Chiapponi</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Vice President, Finance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576008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32.1</w:t>
      </w:r>
    </w:p>
    <w:p>
      <w:pPr>
        <w:spacing w:after="0" w:line="183" w:lineRule="exact"/>
        <w:rPr>
          <w:sz w:val="20"/>
          <w:szCs w:val="20"/>
          <w:color w:val="auto"/>
        </w:rPr>
      </w:pPr>
    </w:p>
    <w:p>
      <w:pPr>
        <w:jc w:val="center"/>
        <w:spacing w:after="0" w:line="195" w:lineRule="exact"/>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2" w:lineRule="exact"/>
        <w:rPr>
          <w:sz w:val="20"/>
          <w:szCs w:val="20"/>
          <w:color w:val="auto"/>
        </w:rPr>
      </w:pPr>
    </w:p>
    <w:p>
      <w:pPr>
        <w:ind w:right="60" w:firstLine="646"/>
        <w:spacing w:after="0" w:line="189" w:lineRule="exact"/>
        <w:rPr>
          <w:sz w:val="20"/>
          <w:szCs w:val="20"/>
          <w:color w:val="auto"/>
        </w:rPr>
      </w:pPr>
      <w:r>
        <w:rPr>
          <w:rFonts w:ascii="Arial" w:cs="Arial" w:eastAsia="Arial" w:hAnsi="Arial"/>
          <w:sz w:val="17"/>
          <w:szCs w:val="17"/>
          <w:color w:val="auto"/>
        </w:rPr>
        <w:t>In connection with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Verastem, Inc. (the “Company”) for the period ended December 31, 2016 as filed with the Securities and Exchange Commission (the “SEC”) on the date hereof (the “Report”), the undersigned, Robert Forrester, Chief Executive Officer of the Company, hereby certify, pursuant to 18 U.S.C. Section 1350, as adopted pursuant to Section 906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that to my knowledge:</w:t>
      </w:r>
    </w:p>
    <w:p>
      <w:pPr>
        <w:spacing w:after="0" w:line="163" w:lineRule="exact"/>
        <w:rPr>
          <w:sz w:val="20"/>
          <w:szCs w:val="20"/>
          <w:color w:val="auto"/>
        </w:rPr>
      </w:pPr>
    </w:p>
    <w:p>
      <w:pPr>
        <w:ind w:left="640" w:right="600" w:firstLine="654"/>
        <w:spacing w:after="0" w:line="234" w:lineRule="auto"/>
        <w:tabs>
          <w:tab w:leader="none" w:pos="19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61" w:lineRule="exact"/>
        <w:rPr>
          <w:rFonts w:ascii="Arial" w:cs="Arial" w:eastAsia="Arial" w:hAnsi="Arial"/>
          <w:sz w:val="18"/>
          <w:szCs w:val="18"/>
          <w:color w:val="auto"/>
        </w:rPr>
      </w:pPr>
    </w:p>
    <w:p>
      <w:pPr>
        <w:ind w:left="640" w:right="480" w:firstLine="654"/>
        <w:spacing w:after="0" w:line="234" w:lineRule="auto"/>
        <w:tabs>
          <w:tab w:leader="none" w:pos="19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Robert Forrester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-635</wp:posOffset>
            </wp:positionV>
            <wp:extent cx="2871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ind w:left="4540"/>
        <w:spacing w:after="0" w:line="202" w:lineRule="auto"/>
        <w:rPr>
          <w:sz w:val="20"/>
          <w:szCs w:val="20"/>
          <w:color w:val="auto"/>
        </w:rPr>
      </w:pPr>
      <w:r>
        <w:rPr>
          <w:rFonts w:ascii="Arial" w:cs="Arial" w:eastAsia="Arial" w:hAnsi="Arial"/>
          <w:sz w:val="18"/>
          <w:szCs w:val="18"/>
          <w:color w:val="auto"/>
        </w:rPr>
        <w:t>Robert Forrester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2017</w:t>
      </w:r>
    </w:p>
    <w:p>
      <w:pPr>
        <w:spacing w:after="0" w:line="183" w:lineRule="exact"/>
        <w:rPr>
          <w:sz w:val="20"/>
          <w:szCs w:val="20"/>
          <w:color w:val="auto"/>
        </w:rPr>
      </w:pPr>
    </w:p>
    <w:p>
      <w:pPr>
        <w:ind w:right="240" w:firstLine="646"/>
        <w:spacing w:after="0" w:line="23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576008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32.2</w:t>
      </w:r>
    </w:p>
    <w:p>
      <w:pPr>
        <w:spacing w:after="0" w:line="183" w:lineRule="exact"/>
        <w:rPr>
          <w:sz w:val="20"/>
          <w:szCs w:val="20"/>
          <w:color w:val="auto"/>
        </w:rPr>
      </w:pPr>
    </w:p>
    <w:p>
      <w:pPr>
        <w:jc w:val="center"/>
        <w:spacing w:after="0" w:line="195" w:lineRule="exact"/>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2" w:lineRule="exact"/>
        <w:rPr>
          <w:sz w:val="20"/>
          <w:szCs w:val="20"/>
          <w:color w:val="auto"/>
        </w:rPr>
      </w:pPr>
    </w:p>
    <w:p>
      <w:pPr>
        <w:ind w:right="40" w:firstLine="646"/>
        <w:spacing w:after="0" w:line="189" w:lineRule="exact"/>
        <w:rPr>
          <w:sz w:val="20"/>
          <w:szCs w:val="20"/>
          <w:color w:val="auto"/>
        </w:rPr>
      </w:pPr>
      <w:r>
        <w:rPr>
          <w:rFonts w:ascii="Arial" w:cs="Arial" w:eastAsia="Arial" w:hAnsi="Arial"/>
          <w:sz w:val="17"/>
          <w:szCs w:val="17"/>
          <w:color w:val="auto"/>
        </w:rPr>
        <w:t>In connection with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Verastem, Inc. (the “Company”) for the period ended December 31, 2016 as filed with the Securities and Exchange Commission (the “SEC”) on the date hereof (the “Report”), the undersigned, Joseph Chiapponi, Vice President, Finance of the Company, hereby certify, pursuant to 18 U.S.C. Section 1350, as adopted pursuant to Section 906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that to my knowledge:</w:t>
      </w:r>
    </w:p>
    <w:p>
      <w:pPr>
        <w:spacing w:after="0" w:line="163" w:lineRule="exact"/>
        <w:rPr>
          <w:sz w:val="20"/>
          <w:szCs w:val="20"/>
          <w:color w:val="auto"/>
        </w:rPr>
      </w:pPr>
    </w:p>
    <w:p>
      <w:pPr>
        <w:ind w:left="640" w:right="600" w:firstLine="654"/>
        <w:spacing w:after="0" w:line="234" w:lineRule="auto"/>
        <w:tabs>
          <w:tab w:leader="none" w:pos="197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61" w:lineRule="exact"/>
        <w:rPr>
          <w:rFonts w:ascii="Arial" w:cs="Arial" w:eastAsia="Arial" w:hAnsi="Arial"/>
          <w:sz w:val="18"/>
          <w:szCs w:val="18"/>
          <w:color w:val="auto"/>
        </w:rPr>
      </w:pPr>
    </w:p>
    <w:p>
      <w:pPr>
        <w:ind w:left="640" w:right="480" w:firstLine="654"/>
        <w:spacing w:after="0" w:line="234" w:lineRule="auto"/>
        <w:tabs>
          <w:tab w:leader="none" w:pos="197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Joseph Chiapponi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-635</wp:posOffset>
            </wp:positionV>
            <wp:extent cx="28200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620"/>
        <w:spacing w:after="0" w:line="202" w:lineRule="auto"/>
        <w:rPr>
          <w:sz w:val="20"/>
          <w:szCs w:val="20"/>
          <w:color w:val="auto"/>
        </w:rPr>
      </w:pPr>
      <w:r>
        <w:rPr>
          <w:rFonts w:ascii="Arial" w:cs="Arial" w:eastAsia="Arial" w:hAnsi="Arial"/>
          <w:sz w:val="18"/>
          <w:szCs w:val="18"/>
          <w:color w:val="auto"/>
        </w:rPr>
        <w:t>Joseph Chiapponi</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Vice President, Finance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2017</w:t>
      </w:r>
    </w:p>
    <w:p>
      <w:pPr>
        <w:spacing w:after="0" w:line="183" w:lineRule="exact"/>
        <w:rPr>
          <w:sz w:val="20"/>
          <w:szCs w:val="20"/>
          <w:color w:val="auto"/>
        </w:rPr>
      </w:pPr>
    </w:p>
    <w:p>
      <w:pPr>
        <w:ind w:right="240" w:firstLine="646"/>
        <w:spacing w:after="0" w:line="23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576008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88" w:name="page289"/>
    <w:bookmarkEnd w:id="288"/>
    <w:p>
      <w:pPr>
        <w:ind w:left="80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170940" cy="3416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70940"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Verastem Reports Year-End 2016 Financial Results</w:t>
      </w:r>
    </w:p>
    <w:p>
      <w:pPr>
        <w:spacing w:after="0" w:line="14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color w:val="auto"/>
        </w:rPr>
        <w:t xml:space="preserve">BOSTON, MA – March 23, 2017 </w:t>
      </w:r>
      <w:r>
        <w:rPr>
          <w:rFonts w:ascii="Arial" w:cs="Arial" w:eastAsia="Arial" w:hAnsi="Arial"/>
          <w:sz w:val="18"/>
          <w:szCs w:val="18"/>
          <w:color w:val="auto"/>
        </w:rPr>
        <w:t>– Verastem, Inc. (NASDAQ: VSTM), focused on discovering and developing drugs to</w:t>
      </w:r>
      <w:r>
        <w:rPr>
          <w:rFonts w:ascii="Arial" w:cs="Arial" w:eastAsia="Arial" w:hAnsi="Arial"/>
          <w:sz w:val="18"/>
          <w:szCs w:val="18"/>
          <w:b w:val="1"/>
          <w:bCs w:val="1"/>
          <w:color w:val="auto"/>
        </w:rPr>
        <w:t xml:space="preserve"> </w:t>
      </w:r>
      <w:r>
        <w:rPr>
          <w:rFonts w:ascii="Arial" w:cs="Arial" w:eastAsia="Arial" w:hAnsi="Arial"/>
          <w:sz w:val="18"/>
          <w:szCs w:val="18"/>
          <w:color w:val="auto"/>
        </w:rPr>
        <w:t>treat cancer, today reported financial results for the year ended December 31, 2016, and also provided an overview of certain corporate developments.</w:t>
      </w:r>
    </w:p>
    <w:p>
      <w:pPr>
        <w:spacing w:after="0" w:line="12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“2016 was a year of significant achievement for Verastem with the in-licensing of duvelisib, a late-stage, clinical product candidate with broad potential across B-cell and T-cell lymphoid malignancies, and the advancement of defactinib into clinical development in combination with immuno-oncology agents,” said Robert Forrester, President and Chief Executive Officer of Verastem. “As we enter 2017, we are laser-focused on several important milestones, beginning with reporting top-line duvelisib data from the Phase 3 DUO™ study in chronic lymphocytic leukemia (CLL) expected mid-year 2017. There remains an unmet medical need for patients with relapsed CLL. We believe duvelisib has potential as a convenient, oral monotherapy with an expected and manageable safety profile for patients with relapsed CLL. For defactinib, we look forward to advancing our ongoing combination trials into important expansion cohorts across several high unmet need indications.”</w:t>
      </w:r>
    </w:p>
    <w:p>
      <w:pPr>
        <w:spacing w:after="0" w:line="12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Mr. Forrester continued, “On the financial front, we ended 2016 with $80.9 million in cash, cash equivalents and investments, which we believe is sufficient to support our research and development programs and operations into 2018. In March 2017, we entered into a loan facility with Hercules Capital, Inc. for up to $25.0 million, subject to certain conditions including positive DUO data, which would provide us with additional financial flexibility to advance duvelisib.”</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2016 and Recent Highlights: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Duvelisib</w:t>
      </w:r>
    </w:p>
    <w:p>
      <w:pPr>
        <w:spacing w:after="0" w:line="147" w:lineRule="exact"/>
        <w:rPr>
          <w:sz w:val="20"/>
          <w:szCs w:val="20"/>
          <w:color w:val="auto"/>
        </w:rPr>
      </w:pPr>
    </w:p>
    <w:p>
      <w:pPr>
        <w:jc w:val="both"/>
        <w:ind w:left="80" w:hanging="78"/>
        <w:spacing w:after="0" w:line="213" w:lineRule="auto"/>
        <w:tabs>
          <w:tab w:leader="none" w:pos="8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In-licensed Late-stage, Complementary Oncology Product Candidate Duvelisib </w:t>
      </w:r>
      <w:r>
        <w:rPr>
          <w:rFonts w:ascii="Arial" w:cs="Arial" w:eastAsia="Arial" w:hAnsi="Arial"/>
          <w:sz w:val="18"/>
          <w:szCs w:val="18"/>
          <w:color w:val="auto"/>
        </w:rPr>
        <w:t>– Verastem and Infinity Pharmaceuticals,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(Infinity) announced the signing of an agreement under which Verastem licensed exclusive worldwide rights to develop and commercialize duvelisib, an investigational product candidate currently in development for hematologic malignancies. Duvelisib is well aligned with Verastem's strategic focus of developing novel anti-cancer therapeutics that modulate the tumor microenvironment. The transaction provides a new oncology product candidate with demonstrated activity in lymphoid malignancies.</w:t>
      </w:r>
    </w:p>
    <w:p>
      <w:pPr>
        <w:spacing w:after="0" w:line="122" w:lineRule="exact"/>
        <w:rPr>
          <w:rFonts w:ascii="Arial" w:cs="Arial" w:eastAsia="Arial" w:hAnsi="Arial"/>
          <w:sz w:val="18"/>
          <w:szCs w:val="18"/>
          <w:color w:val="auto"/>
        </w:rPr>
      </w:pPr>
    </w:p>
    <w:p>
      <w:pPr>
        <w:jc w:val="both"/>
        <w:ind w:left="80" w:hanging="78"/>
        <w:spacing w:after="0" w:line="211" w:lineRule="auto"/>
        <w:tabs>
          <w:tab w:leader="none" w:pos="8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Ongoing Phase 3 DUO Study in Relapsed or Refractory CLL </w:t>
      </w:r>
      <w:r>
        <w:rPr>
          <w:rFonts w:ascii="Arial" w:cs="Arial" w:eastAsia="Arial" w:hAnsi="Arial"/>
          <w:sz w:val="18"/>
          <w:szCs w:val="18"/>
          <w:color w:val="auto"/>
        </w:rPr>
        <w:t>– The safety and efficacy of duvelisib is currently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evaluated in the randomized Phase 3 DUO study in patients with relapsed or refractory CLL. In the DUO study, approximately 300 patients were randomized 1:1 to receive duvelisib (25mg BID) or ofatumumab (8 weekly infusions, starting with an initial intravenous dose of 300mg on day 1 followed by 7 weekly doses of 2,000mg, then 2,000mg monthly for 4 cycles). The primary endpoint of this study is progression free survival (PFS). Key secondary endpoints include overall response rate (ORR), overall survival, duration of response (DOR) and safety. Verastem expects to report top-line data from the DUO study in mid-year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525145</wp:posOffset>
            </wp:positionV>
            <wp:extent cx="576008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89" w:name="page290"/>
    <w:bookmarkEnd w:id="289"/>
    <w:p>
      <w:pPr>
        <w:jc w:val="both"/>
        <w:ind w:left="80" w:hanging="78"/>
        <w:spacing w:after="0" w:line="233" w:lineRule="auto"/>
        <w:tabs>
          <w:tab w:leader="none" w:pos="80" w:val="left"/>
        </w:tabs>
        <w:numPr>
          <w:ilvl w:val="0"/>
          <w:numId w:val="133"/>
        </w:numPr>
        <w:rPr>
          <w:rFonts w:ascii="Arial" w:cs="Arial" w:eastAsia="Arial" w:hAnsi="Arial"/>
          <w:sz w:val="16"/>
          <w:szCs w:val="16"/>
          <w:color w:val="auto"/>
        </w:rPr>
      </w:pPr>
      <w:r>
        <w:rPr>
          <w:rFonts w:ascii="Arial" w:cs="Arial" w:eastAsia="Arial" w:hAnsi="Arial"/>
          <w:sz w:val="16"/>
          <w:szCs w:val="16"/>
          <w:b w:val="1"/>
          <w:bCs w:val="1"/>
          <w:i w:val="1"/>
          <w:iCs w:val="1"/>
          <w:color w:val="auto"/>
        </w:rPr>
        <w:t>Positive Phase 2 DYNAMO</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Data Reported at ASH 2016 </w:t>
      </w:r>
      <w:r>
        <w:rPr>
          <w:rFonts w:ascii="Arial" w:cs="Arial" w:eastAsia="Arial" w:hAnsi="Arial"/>
          <w:sz w:val="16"/>
          <w:szCs w:val="16"/>
          <w:color w:val="auto"/>
        </w:rPr>
        <w:t>– Positive Phase 2 clinical data from the DYNAMO study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demonstrating the clinical activity of duvelisib in patients with relapsed refractory indolent non-Hodgkin lymphoma (iNHL) were presented at the 58th American Society of Hematology (ASH) Annual Meeting in December 2016. In an oral presentation, titled “A phase 2 study demonstrating the clinical activity of duvelisib in patients with relapsed refractory indolent non-Hodgkin lymphoma,” (Publication ID: 1218) Ian Flinn, M.D., Ph.D. (Director, Hematologic Malignancies Program, Sarah Cannon Research Institute), described results from 129 patients with double refractory iNHL (median 3 prior anti-cancer regimens, range 1-18). The study met its primary endpoint, achieving an ORR of 46% as determined by an independent review committee (IRC) (p=0.0001; 95% CI 0.37-0.55). Among disease subgroups, the ORR was 41% in follicular lymphoma (n=83), 68% in small lymphocytic lymphoma (n=28), and 33% in marginal zone lymphoma (n=18). The median DOR among all patients was 9.9 months. Notably, 83% of patients had reductions in the size of their target lymph nodes per the IRC. Duvelisib was generally well tolerated, with an expected and manageable safety profile with appropriate risk mitigation. The DYNAMO study showed that duvelisib monotherapy has a favorable benefit-risk profile in refractory iNHL patients and may represent an important treatment option in this population.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Defactinib (VS-6063)</w:t>
      </w:r>
    </w:p>
    <w:p>
      <w:pPr>
        <w:spacing w:after="0" w:line="147" w:lineRule="exact"/>
        <w:rPr>
          <w:sz w:val="20"/>
          <w:szCs w:val="20"/>
          <w:color w:val="auto"/>
        </w:rPr>
      </w:pPr>
    </w:p>
    <w:p>
      <w:pPr>
        <w:jc w:val="both"/>
        <w:ind w:left="80" w:hanging="78"/>
        <w:spacing w:after="0" w:line="222" w:lineRule="auto"/>
        <w:tabs>
          <w:tab w:leader="none" w:pos="80" w:val="left"/>
        </w:tabs>
        <w:numPr>
          <w:ilvl w:val="0"/>
          <w:numId w:val="1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Dosed the First Patient in Combination Trial of Defactinib and Avelumab in Patients with Ovarian Cancer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announced in January 2017, the first patient was dosed in a new clinical trial evaluating avelumab, an investigational fully human anti-PD-L1 IgG1 monoclonal antibody, in combination with Verastem’s defactinib, an investigational focal adhesion kinase (FAK) inhibitor, in patients with advanced ovarian cancer. This multicenter, open-label, dose-escalation and dose-expansion Phase 1/2 clinical trial is designed to assess the safety, pharmacokinetics, pharmacodynamics, and initial observations of clinical activity of the avelumab/defactinib combination in patients with recurrent or refractory stage III-IV ovarian cancer. The study is being conducted in collaboration with the alliance between Merck KGaA, Darmstadt, Germany, which in the U.S. and Canada operates as EMD Serono, and Pfizer, and is expected to enroll approximately 100 patients at up to 15 sites across the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Financial</w:t>
      </w:r>
    </w:p>
    <w:p>
      <w:pPr>
        <w:spacing w:after="0" w:line="147" w:lineRule="exact"/>
        <w:rPr>
          <w:sz w:val="20"/>
          <w:szCs w:val="20"/>
          <w:color w:val="auto"/>
        </w:rPr>
      </w:pPr>
    </w:p>
    <w:p>
      <w:pPr>
        <w:jc w:val="both"/>
        <w:ind w:left="80" w:hanging="78"/>
        <w:spacing w:after="0" w:line="224" w:lineRule="auto"/>
        <w:tabs>
          <w:tab w:leader="none" w:pos="80" w:val="left"/>
        </w:tabs>
        <w:numPr>
          <w:ilvl w:val="0"/>
          <w:numId w:val="1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Hagop Youssoufian, MSc, M.D., Named Head of Hematology and Oncology Development </w:t>
      </w:r>
      <w:r>
        <w:rPr>
          <w:rFonts w:ascii="Arial" w:cs="Arial" w:eastAsia="Arial" w:hAnsi="Arial"/>
          <w:sz w:val="17"/>
          <w:szCs w:val="17"/>
          <w:color w:val="auto"/>
        </w:rPr>
        <w:t>– In January 2017,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Youssoufian assumed this leadership role at Verastem to oversee the clinical and regulatory development of Verastem’s pipeline, including duvelisib, and provide overall strategic and tactical leadership to our hematology-oncology clinical programs. Dr. Youssoufian brings over 25 years of product development and commercialization experience to Verastem, having served in senior leadership roles at several oncology-focused companies, including BIND Therapeutics, Progenics Pharmaceuticals, Ziopharm Oncology, Imclone Systems, Sanofi Aventis and Bristol-Myers Squibb where he was involved in the development of Sprycel®, Taxotere® and Erbitux®.</w:t>
      </w:r>
    </w:p>
    <w:p>
      <w:pPr>
        <w:spacing w:after="0" w:line="122" w:lineRule="exact"/>
        <w:rPr>
          <w:rFonts w:ascii="Arial" w:cs="Arial" w:eastAsia="Arial" w:hAnsi="Arial"/>
          <w:sz w:val="17"/>
          <w:szCs w:val="17"/>
          <w:color w:val="auto"/>
        </w:rPr>
      </w:pPr>
    </w:p>
    <w:p>
      <w:pPr>
        <w:jc w:val="both"/>
        <w:ind w:left="80" w:hanging="78"/>
        <w:spacing w:after="0" w:line="207" w:lineRule="auto"/>
        <w:tabs>
          <w:tab w:leader="none" w:pos="80" w:val="left"/>
        </w:tabs>
        <w:numPr>
          <w:ilvl w:val="0"/>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Key Personnel Appointments </w:t>
      </w:r>
      <w:r>
        <w:rPr>
          <w:rFonts w:ascii="Arial" w:cs="Arial" w:eastAsia="Arial" w:hAnsi="Arial"/>
          <w:sz w:val="18"/>
          <w:szCs w:val="18"/>
          <w:color w:val="auto"/>
        </w:rPr>
        <w:t>– Recently, Michael Ferraresso joined Verastem as Vice President,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Verastem also appointed several highly experienced individuals to the Clinical and Scientific Advisory Board including:</w:t>
      </w:r>
    </w:p>
    <w:p>
      <w:pPr>
        <w:ind w:left="820" w:hanging="172"/>
        <w:spacing w:after="0" w:line="194" w:lineRule="auto"/>
        <w:tabs>
          <w:tab w:leader="none" w:pos="820" w:val="left"/>
        </w:tabs>
        <w:numPr>
          <w:ilvl w:val="0"/>
          <w:numId w:val="136"/>
        </w:numPr>
        <w:rPr>
          <w:rFonts w:ascii="Courier New" w:cs="Courier New" w:eastAsia="Courier New" w:hAnsi="Courier New"/>
          <w:sz w:val="18"/>
          <w:szCs w:val="18"/>
          <w:color w:val="auto"/>
        </w:rPr>
      </w:pPr>
      <w:r>
        <w:rPr>
          <w:rFonts w:ascii="Arial" w:cs="Arial" w:eastAsia="Arial" w:hAnsi="Arial"/>
          <w:sz w:val="18"/>
          <w:szCs w:val="18"/>
          <w:color w:val="auto"/>
        </w:rPr>
        <w:t>Lori Kunkel, M.D., Former Chief Medical Officer, Pharmacyclics</w:t>
      </w:r>
    </w:p>
    <w:p>
      <w:pPr>
        <w:ind w:left="780" w:hanging="132"/>
        <w:spacing w:after="0" w:line="188" w:lineRule="auto"/>
        <w:tabs>
          <w:tab w:leader="none" w:pos="780" w:val="left"/>
        </w:tabs>
        <w:numPr>
          <w:ilvl w:val="0"/>
          <w:numId w:val="136"/>
        </w:numPr>
        <w:rPr>
          <w:rFonts w:ascii="Courier New" w:cs="Courier New" w:eastAsia="Courier New" w:hAnsi="Courier New"/>
          <w:sz w:val="18"/>
          <w:szCs w:val="18"/>
          <w:color w:val="auto"/>
        </w:rPr>
      </w:pPr>
      <w:r>
        <w:rPr>
          <w:rFonts w:ascii="Arial" w:cs="Arial" w:eastAsia="Arial" w:hAnsi="Arial"/>
          <w:sz w:val="18"/>
          <w:szCs w:val="18"/>
          <w:color w:val="auto"/>
        </w:rPr>
        <w:t>Edmund J. Pezalla, M.D., MPH, Former VP, Pharmaceutical Policy and Strategy at Aetna</w:t>
      </w:r>
    </w:p>
    <w:p>
      <w:pPr>
        <w:ind w:left="860" w:hanging="212"/>
        <w:spacing w:after="0" w:line="188" w:lineRule="auto"/>
        <w:tabs>
          <w:tab w:leader="none" w:pos="860" w:val="left"/>
        </w:tabs>
        <w:numPr>
          <w:ilvl w:val="0"/>
          <w:numId w:val="136"/>
        </w:numPr>
        <w:rPr>
          <w:rFonts w:ascii="Courier New" w:cs="Courier New" w:eastAsia="Courier New" w:hAnsi="Courier New"/>
          <w:sz w:val="18"/>
          <w:szCs w:val="18"/>
          <w:color w:val="auto"/>
        </w:rPr>
      </w:pPr>
      <w:r>
        <w:rPr>
          <w:rFonts w:ascii="Arial" w:cs="Arial" w:eastAsia="Arial" w:hAnsi="Arial"/>
          <w:sz w:val="18"/>
          <w:szCs w:val="18"/>
          <w:color w:val="auto"/>
        </w:rPr>
        <w:t>Greg Berk, M.D., Former Chief Medical Officer, Verastem</w:t>
      </w:r>
    </w:p>
    <w:p>
      <w:pPr>
        <w:ind w:left="840" w:hanging="192"/>
        <w:spacing w:after="0" w:line="185" w:lineRule="auto"/>
        <w:tabs>
          <w:tab w:leader="none" w:pos="840" w:val="left"/>
        </w:tabs>
        <w:numPr>
          <w:ilvl w:val="0"/>
          <w:numId w:val="136"/>
        </w:numPr>
        <w:rPr>
          <w:rFonts w:ascii="Courier New" w:cs="Courier New" w:eastAsia="Courier New" w:hAnsi="Courier New"/>
          <w:sz w:val="18"/>
          <w:szCs w:val="18"/>
          <w:color w:val="auto"/>
        </w:rPr>
      </w:pPr>
      <w:r>
        <w:rPr>
          <w:rFonts w:ascii="Arial" w:cs="Arial" w:eastAsia="Arial" w:hAnsi="Arial"/>
          <w:sz w:val="18"/>
          <w:szCs w:val="18"/>
          <w:color w:val="auto"/>
        </w:rPr>
        <w:t>Cheryl Cohen, Former Chief Commercial Officer, Medivation</w:t>
      </w:r>
    </w:p>
    <w:p>
      <w:pPr>
        <w:spacing w:after="0" w:line="233" w:lineRule="auto"/>
        <w:rPr>
          <w:sz w:val="20"/>
          <w:szCs w:val="20"/>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Brian Stuglik, PharmD., Former VP and Chief Marketing Officer, Oncology Global Marketing, Eli 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410210</wp:posOffset>
            </wp:positionV>
            <wp:extent cx="576008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462" w:right="1419" w:bottom="1440" w:gutter="0" w:footer="0" w:header="0"/>
        </w:sectPr>
      </w:pPr>
    </w:p>
    <w:bookmarkStart w:id="290" w:name="page291"/>
    <w:bookmarkEnd w:id="290"/>
    <w:p>
      <w:pPr>
        <w:jc w:val="both"/>
        <w:ind w:left="80" w:hanging="78"/>
        <w:spacing w:after="0" w:line="213" w:lineRule="auto"/>
        <w:tabs>
          <w:tab w:leader="none" w:pos="80"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Secured $25 Million Loan Facility </w:t>
      </w:r>
      <w:r>
        <w:rPr>
          <w:rFonts w:ascii="Arial" w:cs="Arial" w:eastAsia="Arial" w:hAnsi="Arial"/>
          <w:sz w:val="18"/>
          <w:szCs w:val="18"/>
          <w:color w:val="auto"/>
        </w:rPr>
        <w:t>– In March 2017, Verastem entered into a Loan and Security Agreement with Hercules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Inc. for up to $25.0 million in financing. Verastem received the first $2.5 million of financing under the Loan and Security Agreement when the transaction closed. The proceeds will be used for Verastem’s ongoing research and development programs and for general corporate purposes. Additional tranches of up to $22.5 million in aggregate will be available subject to certain conditions, including positive data from the Phase 3 DUO clinical trial evaluating duvelisib in patients with relapsed or refractory CLL.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2016 Financial Results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Net loss for the year ended December 31, 2016 (2016 Period) was $36.4 million, or $0.99 per share, as compared to a net loss of $57.9 million, or $1.61 per share, for the year ended December 31, 2015 (2015 Period). Net loss includes non-cash stock-based compensation expense of $6.2 million and $9.7 million for the 2016 Period and 2015 Period, respectively.</w:t>
      </w:r>
    </w:p>
    <w:p>
      <w:pPr>
        <w:spacing w:after="0" w:line="106"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Research and development expense for the 2016 Period was $19.8 million compared to $40.6 million for the 2015 Period. The $20.8 million decrease from the 2015 Period to the 2016 Period was primarily related to a decrease of $15.6 million in external contract research organization expense for outsourced biology, chemistry, development and clinical services, which includes our clinical trial costs, a $3.4 million decrease in personnel related costs, primarily due to the reduction in workforce in October 2015, a decrease of $1.3 million in stock-based compensation expense and a decrease of $1.5 million in lab supplies, travel and other research and development expense. These decreases were partially offset by an increase of approximately $947,000 in consulting and professional fees.</w:t>
      </w:r>
    </w:p>
    <w:p>
      <w:pPr>
        <w:spacing w:after="0" w:line="123"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General and administrative expense for the 2016 Period was $17.2 million compared to $17.6 million for the 2015 Period. The approximate $411,000 decrease from the 2015 Period to the 2016 Period primarily resulted from a decrease of $2.1 million in stock-based compensation expense. This decrease was partially offset by increases of $1.1 million in consulting and professional fees, approximately $280,000 in personnel costs, and a net increase of approximately $306,000 of other general and administrative costs.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2016, Verastem had cash, cash equivalents and investments of $80.9 million compared to $110.3 million as of December 31, 2015. Verastem used $29.5 million for operating activities during the 2016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number of outstanding common shares as of December 31, 2016, was 36,992,418.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4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Based on our current operating plans, we expect to have sufficient cash, cash equivalents and investments to fund our research and development programs and operations into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521970</wp:posOffset>
            </wp:positionV>
            <wp:extent cx="576008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462" w:right="141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color w:val="auto"/>
        </w:rPr>
        <w:t>Conference Call Information</w:t>
      </w:r>
    </w:p>
    <w:p>
      <w:pPr>
        <w:spacing w:after="0" w:line="14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Verastem management team will host a conference call today, Thursday, March 23, 2017, at 4:30 PM (ET). The call can be accessed by dialing 1-877-341-5660 or 1-315-625-3226 five minutes prior to the start of the call and providing the passcode 89196444.</w:t>
      </w:r>
    </w:p>
    <w:p>
      <w:pPr>
        <w:spacing w:after="0" w:line="1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live, listen-only webcast of the conference call can be accessed by visiting the investors section of the Company’s website at www.verastem.com. A replay of the webcast will be archived on the Company’s website for 90 days following the call.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Tumor Microenvironment</w:t>
      </w:r>
    </w:p>
    <w:p>
      <w:pPr>
        <w:spacing w:after="0" w:line="147"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tumor microenvironment encompasses various cellular populations and extracellular matrices within the tumor or cancer niche that support cancer cell survival. This includes immunosuppressive cell populations such as regulatory T-cells, myeloid-derived suppressor cells, M2 tumor-associated macrophages, as well as tumor-associated fibroblasts and extracellular matrix proteins which can hamper the entry and therapeutic benefit of cytotoxic immune cells and anti-cancer drugs. In addition to targeting the proliferative and survival signaling of cancer cells, Verastem’s product candidates, including duvelisib and defactinib, also target the tumor microenvironment as a mechanism of action to potentially improve a patient’s response to therapy.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Duvelisib</w:t>
      </w:r>
    </w:p>
    <w:p>
      <w:pPr>
        <w:spacing w:after="0" w:line="147"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Duvelisib is an investigational, dual inhibitor of phosphoinositide 3-kinase (PI3K)-delta and PI3K-gamma, two enzymes that are known to help support the growth and survival of malignant B-cells and T-cells. PI3K signaling may lead to the proliferation of malignant B-cells and is thought to play a role in the formation and maintenance of the supportive tumor microenvironment.</w:t>
      </w:r>
      <w:r>
        <w:rPr>
          <w:rFonts w:ascii="Arial" w:cs="Arial" w:eastAsia="Arial" w:hAnsi="Arial"/>
          <w:sz w:val="8"/>
          <w:szCs w:val="8"/>
          <w:color w:val="auto"/>
        </w:rPr>
        <w:t>1,2,3</w:t>
      </w:r>
      <w:r>
        <w:rPr>
          <w:rFonts w:ascii="Arial" w:cs="Arial" w:eastAsia="Arial" w:hAnsi="Arial"/>
          <w:sz w:val="18"/>
          <w:szCs w:val="18"/>
          <w:color w:val="auto"/>
        </w:rPr>
        <w:t xml:space="preserve"> Duvelisib is currently being evaluated in late- and mid-stage clinical trials, including DUO™, a randomized, Phase 3 monotherapy study in patients with relapsed or refractory CLL</w:t>
      </w:r>
      <w:r>
        <w:rPr>
          <w:rFonts w:ascii="Arial" w:cs="Arial" w:eastAsia="Arial" w:hAnsi="Arial"/>
          <w:sz w:val="8"/>
          <w:szCs w:val="8"/>
          <w:color w:val="auto"/>
        </w:rPr>
        <w:t>4</w:t>
      </w:r>
      <w:r>
        <w:rPr>
          <w:rFonts w:ascii="Arial" w:cs="Arial" w:eastAsia="Arial" w:hAnsi="Arial"/>
          <w:sz w:val="18"/>
          <w:szCs w:val="18"/>
          <w:color w:val="auto"/>
        </w:rPr>
        <w:t>, and DYNAMO™, a single-arm, Phase 2 monotherapy study in patients with refractory iNHL that achieved its primary endpoint of ORR upon top-line analysis of efficacy data</w:t>
      </w:r>
      <w:r>
        <w:rPr>
          <w:rFonts w:ascii="Arial" w:cs="Arial" w:eastAsia="Arial" w:hAnsi="Arial"/>
          <w:sz w:val="8"/>
          <w:szCs w:val="8"/>
          <w:color w:val="auto"/>
        </w:rPr>
        <w:t>5</w:t>
      </w:r>
      <w:r>
        <w:rPr>
          <w:rFonts w:ascii="Arial" w:cs="Arial" w:eastAsia="Arial" w:hAnsi="Arial"/>
          <w:sz w:val="18"/>
          <w:szCs w:val="18"/>
          <w:color w:val="auto"/>
        </w:rPr>
        <w:t>. Duvelisib is also being evaluated for the treatment of hematologic malignancies through investigator-sponsored studies, including T-cell lymphoma.</w:t>
      </w:r>
      <w:r>
        <w:rPr>
          <w:rFonts w:ascii="Arial" w:cs="Arial" w:eastAsia="Arial" w:hAnsi="Arial"/>
          <w:sz w:val="8"/>
          <w:szCs w:val="8"/>
          <w:color w:val="auto"/>
        </w:rPr>
        <w:t>6</w:t>
      </w:r>
      <w:r>
        <w:rPr>
          <w:rFonts w:ascii="Arial" w:cs="Arial" w:eastAsia="Arial" w:hAnsi="Arial"/>
          <w:sz w:val="18"/>
          <w:szCs w:val="18"/>
          <w:color w:val="auto"/>
        </w:rPr>
        <w:t xml:space="preserve"> Information about duvelisib clinical trials can be found on www.clinicaltrials.gov.</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Defactinib</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Defactinib is an investigational inhibitor of FAK, a non-receptor tyrosine kinase encoded by the PTK-2 gene that mediates oncogenic signaling in response to cellular adhesion and growth factors.</w:t>
      </w:r>
      <w:r>
        <w:rPr>
          <w:rFonts w:ascii="Arial" w:cs="Arial" w:eastAsia="Arial" w:hAnsi="Arial"/>
          <w:sz w:val="7"/>
          <w:szCs w:val="7"/>
          <w:color w:val="auto"/>
        </w:rPr>
        <w:t>7</w:t>
      </w:r>
      <w:r>
        <w:rPr>
          <w:rFonts w:ascii="Arial" w:cs="Arial" w:eastAsia="Arial" w:hAnsi="Arial"/>
          <w:sz w:val="16"/>
          <w:szCs w:val="16"/>
          <w:color w:val="auto"/>
        </w:rPr>
        <w:t xml:space="preserve"> Based on the multi-faceted roles of FAK, defactinib is used to treat cancer through modulation of the tumor microenvironment, enhancement of anti-tumor immunity, and reduction of cancer stem cells.</w:t>
      </w:r>
      <w:r>
        <w:rPr>
          <w:rFonts w:ascii="Arial" w:cs="Arial" w:eastAsia="Arial" w:hAnsi="Arial"/>
          <w:sz w:val="7"/>
          <w:szCs w:val="7"/>
          <w:color w:val="auto"/>
        </w:rPr>
        <w:t>8,9</w:t>
      </w:r>
      <w:r>
        <w:rPr>
          <w:rFonts w:ascii="Arial" w:cs="Arial" w:eastAsia="Arial" w:hAnsi="Arial"/>
          <w:sz w:val="16"/>
          <w:szCs w:val="16"/>
          <w:color w:val="auto"/>
        </w:rPr>
        <w:t xml:space="preserve"> Defactinib is currently being evaluated in three separate clinical collaborations in combination with immunotherapeutic agents for the treatment of several different cancer types including pancreatic cancer, ovarian cancer, non-small cell lung cancer, and mesothelioma. These studies are combination clinical trials with pembrolizumab and avelumab from Merck &amp; Co. and Pfizer/Merck KGaA, respectively.</w:t>
      </w:r>
      <w:r>
        <w:rPr>
          <w:rFonts w:ascii="Arial" w:cs="Arial" w:eastAsia="Arial" w:hAnsi="Arial"/>
          <w:sz w:val="7"/>
          <w:szCs w:val="7"/>
          <w:color w:val="auto"/>
        </w:rPr>
        <w:t>10,11,12</w:t>
      </w:r>
      <w:r>
        <w:rPr>
          <w:rFonts w:ascii="Arial" w:cs="Arial" w:eastAsia="Arial" w:hAnsi="Arial"/>
          <w:sz w:val="16"/>
          <w:szCs w:val="16"/>
          <w:color w:val="auto"/>
        </w:rPr>
        <w:t xml:space="preserve"> Information about these and additional clinical trials evaluating the safety and efficacy of defactinib can be found on www.clinicaltrials.gov.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521970</wp:posOffset>
            </wp:positionV>
            <wp:extent cx="576008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060"/>
          </w:cols>
          <w:pgMar w:left="1420" w:top="458" w:right="141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t>About Verastem, Inc.</w:t>
      </w:r>
    </w:p>
    <w:p>
      <w:pPr>
        <w:spacing w:after="0" w:line="147" w:lineRule="exact"/>
        <w:rPr>
          <w:sz w:val="20"/>
          <w:szCs w:val="20"/>
          <w:color w:val="auto"/>
        </w:rPr>
      </w:pPr>
    </w:p>
    <w:p>
      <w:pPr>
        <w:jc w:val="both"/>
        <w:ind w:right="140"/>
        <w:spacing w:after="0" w:line="237" w:lineRule="auto"/>
        <w:rPr>
          <w:sz w:val="20"/>
          <w:szCs w:val="20"/>
          <w:color w:val="auto"/>
        </w:rPr>
      </w:pPr>
      <w:r>
        <w:rPr>
          <w:rFonts w:ascii="Arial" w:cs="Arial" w:eastAsia="Arial" w:hAnsi="Arial"/>
          <w:sz w:val="16"/>
          <w:szCs w:val="16"/>
          <w:color w:val="auto"/>
        </w:rPr>
        <w:t>Verastem, Inc. (NASDAQ:VSTM) is a biopharmaceutical company focused on discovering and developing drugs to improve outcomes for patients with cancer. Verastem is currently developing duvelisib, a dual inhibitor of PI3K-delta and PI3K-gamma, which has successfully met its primary endpoint in a Phase 2 study in iNHL and is currently being evaluated in a Phase 3 clinical trial in patients with CLL. In addition, Verastem is developing the FAK inhibitor defactinib, which is currently being evaluated in three separate clinical collaborations in combination with immunotherapeutic agents for the treatment of several different cancer types, including pancreatic cancer, ovarian cancer and non-small cell lung cancer, and mesothelioma. Verastem’s product candidates seek to treat cancer by modulating the local tumor microenvironment, enhancing anti-tumor immunity and reducing cancer stem cells. For more information, please visit www.verastem.com.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Verastem forward-looking statements notice:</w:t>
      </w:r>
    </w:p>
    <w:p>
      <w:pPr>
        <w:spacing w:after="0" w:line="147" w:lineRule="exact"/>
        <w:rPr>
          <w:sz w:val="20"/>
          <w:szCs w:val="20"/>
          <w:color w:val="auto"/>
        </w:rPr>
      </w:pPr>
    </w:p>
    <w:p>
      <w:pPr>
        <w:jc w:val="both"/>
        <w:ind w:right="140"/>
        <w:spacing w:after="0" w:line="230" w:lineRule="auto"/>
        <w:rPr>
          <w:sz w:val="20"/>
          <w:szCs w:val="20"/>
          <w:color w:val="auto"/>
        </w:rPr>
      </w:pPr>
      <w:r>
        <w:rPr>
          <w:rFonts w:ascii="Arial" w:cs="Arial" w:eastAsia="Arial" w:hAnsi="Arial"/>
          <w:sz w:val="16"/>
          <w:szCs w:val="16"/>
          <w:color w:val="auto"/>
        </w:rPr>
        <w:t>This press release includes forward-looking statements about Verastem's strategy, future plans and prospects, including statements regarding the development and activity of Verastem's investigational product candidates, including duvelisib and defactinib (VS-6063), and Verastem's PI3K and FAK programs generally, the structure of our planned and pending clinical trials and the timeline and indications for clinical development, including reporting top-line data, and regulatory submissions, our rights to develop or commercialize our product candidates and our ability to finance contemplated development activities and fund operations for a specified period. The words "anticipate," "believe," "estimate," "expect," "intend," "may," "plan," "predict," "project," "target," "potential," "will," "would," "could," "should," "continue," and similar expressions are intended to identify forward-looking statements, although not all forward-looking statements contain these identifying words. Each forward-looking statement is subject to risks and uncertainties that could cause actual results to differ materially from those expressed or implied in such statement. Applicable risks and uncertainties include the risks that the preclinical testing of Verastem's product candidates and preliminary or interim data from clinical trials may not be predictive of the results or success of ongoing or later clinical trials; that data may not be available when expected, including for the Phase 3 DUO™ study; that enrollment of clinical trials may take longer than expected; that our product candidates will cause unexpected safety events or result in an unmanageable safety profile as compared to their level of efficacy; that duvelisib will be ineffective at treating patients with lymphoid malignancies; that Verastem will be unable to successfully initiate or complete the clinical development of its product candidates; that the development of Verastem's product candidates will take longer or cost more than planned; that Verastem may not have sufficient cash to fund its contemplated operations; that Verastem or Infinity will fail to fully perform under the duvelisib license agreement; that the transition of the duvelisib program from Infinity will not be completed; that Verastem may be unable to make additional draws under its debt facility or obtain adequate financing in the future through product licensing, co-promotional arrangements, public or private equity, debt financing or otherwise; that Verastem will not pursue or submit regulatory filings for its product candidates, including for duvelisib in patients with CLL or iNHL; and that Verastem's product candidates will not receive regulatory approval, become commercially successful products, or result in new treatment options being offered to patients. Other risks and uncertainties include those identified under the heading "Risk Factors" in Verastem's Annual Report on Form 10-K for the year ended December 31, 2016 and in any subsequent filings with the U.S. Securities and Exchange Commission. The forward-looking statements contained in this press release reflect Verastem's views as of the date of this release, and Verastem does not undertake and specifically disclaims any obligation to update any forward-looking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Verastem, Inc.</w:t>
      </w:r>
    </w:p>
    <w:p>
      <w:pPr>
        <w:spacing w:after="0" w:line="202" w:lineRule="auto"/>
        <w:rPr>
          <w:sz w:val="20"/>
          <w:szCs w:val="20"/>
          <w:color w:val="auto"/>
        </w:rPr>
      </w:pPr>
      <w:r>
        <w:rPr>
          <w:rFonts w:ascii="Arial" w:cs="Arial" w:eastAsia="Arial" w:hAnsi="Arial"/>
          <w:sz w:val="18"/>
          <w:szCs w:val="18"/>
          <w:color w:val="auto"/>
        </w:rPr>
        <w:t>Brian Sullivan, 781-292-4214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bsullivan@verastem.com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ind w:right="20" w:firstLine="2"/>
        <w:spacing w:after="0" w:line="202" w:lineRule="auto"/>
        <w:tabs>
          <w:tab w:leader="none" w:pos="103" w:val="left"/>
        </w:tabs>
        <w:numPr>
          <w:ilvl w:val="0"/>
          <w:numId w:val="138"/>
        </w:numPr>
        <w:rPr>
          <w:rFonts w:ascii="Arial" w:cs="Arial" w:eastAsia="Arial" w:hAnsi="Arial"/>
          <w:sz w:val="9"/>
          <w:szCs w:val="9"/>
          <w:color w:val="auto"/>
        </w:rPr>
      </w:pPr>
      <w:r>
        <w:rPr>
          <w:rFonts w:ascii="Arial" w:cs="Arial" w:eastAsia="Arial" w:hAnsi="Arial"/>
          <w:sz w:val="18"/>
          <w:szCs w:val="18"/>
          <w:color w:val="auto"/>
        </w:rPr>
        <w:t>Winkler D.G., Faia K.L., DiNitto J.P. et al. PI3K-delta and PI3K-gamma inhibition by IPI-145 abrogates immune responses and suppresses activity in autoimmune and inflammatory disease models. Chem Biol 2013; 20:1-11.</w:t>
      </w:r>
    </w:p>
    <w:p>
      <w:pPr>
        <w:spacing w:after="0" w:line="1" w:lineRule="exact"/>
        <w:rPr>
          <w:rFonts w:ascii="Arial" w:cs="Arial" w:eastAsia="Arial" w:hAnsi="Arial"/>
          <w:sz w:val="9"/>
          <w:szCs w:val="9"/>
          <w:color w:val="auto"/>
        </w:rPr>
      </w:pPr>
    </w:p>
    <w:p>
      <w:pPr>
        <w:spacing w:after="0" w:line="214" w:lineRule="auto"/>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7"/>
          <w:szCs w:val="17"/>
          <w:color w:val="auto"/>
        </w:rPr>
        <w:t>Reif K et al.Cutting Edge: Differential Roles for Phosphoinositide 3 kinases, p110-gamma and p110-delta, in lymphocyte</w:t>
      </w:r>
      <w:r>
        <w:rPr>
          <w:rFonts w:ascii="Arial" w:cs="Arial" w:eastAsia="Arial" w:hAnsi="Arial"/>
          <w:sz w:val="9"/>
          <w:szCs w:val="9"/>
          <w:color w:val="auto"/>
        </w:rPr>
        <w:t xml:space="preserve"> </w:t>
      </w:r>
      <w:r>
        <w:rPr>
          <w:rFonts w:ascii="Arial" w:cs="Arial" w:eastAsia="Arial" w:hAnsi="Arial"/>
          <w:sz w:val="17"/>
          <w:szCs w:val="17"/>
          <w:color w:val="auto"/>
        </w:rPr>
        <w:t>chemotaxis and homing. J Immunol 2004:173:2236-2240.</w:t>
      </w:r>
    </w:p>
    <w:p>
      <w:pPr>
        <w:spacing w:after="0" w:line="1" w:lineRule="exact"/>
        <w:rPr>
          <w:rFonts w:ascii="Arial" w:cs="Arial" w:eastAsia="Arial" w:hAnsi="Arial"/>
          <w:sz w:val="9"/>
          <w:szCs w:val="9"/>
          <w:color w:val="auto"/>
        </w:rPr>
      </w:pPr>
    </w:p>
    <w:p>
      <w:pPr>
        <w:spacing w:after="0" w:line="214"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7"/>
          <w:szCs w:val="17"/>
          <w:color w:val="auto"/>
        </w:rPr>
        <w:t>Schmid M et al. Receptor Tyrosine Kinases and TLR/IL1Rs Unexpectedly activate myeloid cell PI3K, a single convergent</w:t>
      </w:r>
      <w:r>
        <w:rPr>
          <w:rFonts w:ascii="Arial" w:cs="Arial" w:eastAsia="Arial" w:hAnsi="Arial"/>
          <w:sz w:val="9"/>
          <w:szCs w:val="9"/>
          <w:color w:val="auto"/>
        </w:rPr>
        <w:t xml:space="preserve"> </w:t>
      </w:r>
      <w:r>
        <w:rPr>
          <w:rFonts w:ascii="Arial" w:cs="Arial" w:eastAsia="Arial" w:hAnsi="Arial"/>
          <w:sz w:val="17"/>
          <w:szCs w:val="17"/>
          <w:color w:val="auto"/>
        </w:rPr>
        <w:t>point promoting tumor inflammation and progression. Cancer Cell 2011;19:715-727.</w:t>
      </w:r>
    </w:p>
    <w:p>
      <w:pPr>
        <w:spacing w:after="0" w:line="1" w:lineRule="exact"/>
        <w:rPr>
          <w:rFonts w:ascii="Arial" w:cs="Arial" w:eastAsia="Arial" w:hAnsi="Arial"/>
          <w:sz w:val="9"/>
          <w:szCs w:val="9"/>
          <w:color w:val="auto"/>
        </w:rPr>
      </w:pPr>
    </w:p>
    <w:p>
      <w:pPr>
        <w:spacing w:after="0" w:line="214"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7"/>
          <w:szCs w:val="17"/>
          <w:color w:val="auto"/>
        </w:rPr>
        <w:t>www.clinicaltrials.gov, NCT02004522</w:t>
      </w:r>
    </w:p>
    <w:p>
      <w:pPr>
        <w:spacing w:after="0" w:line="214" w:lineRule="auto"/>
        <w:rPr>
          <w:rFonts w:ascii="Arial" w:cs="Arial" w:eastAsia="Arial" w:hAnsi="Arial"/>
          <w:sz w:val="9"/>
          <w:szCs w:val="9"/>
          <w:color w:val="auto"/>
        </w:rPr>
      </w:pPr>
      <w:r>
        <w:rPr>
          <w:rFonts w:ascii="Arial" w:cs="Arial" w:eastAsia="Arial" w:hAnsi="Arial"/>
          <w:sz w:val="9"/>
          <w:szCs w:val="9"/>
          <w:color w:val="auto"/>
        </w:rPr>
        <w:t xml:space="preserve">5 </w:t>
      </w:r>
      <w:r>
        <w:rPr>
          <w:rFonts w:ascii="Arial" w:cs="Arial" w:eastAsia="Arial" w:hAnsi="Arial"/>
          <w:sz w:val="17"/>
          <w:szCs w:val="17"/>
          <w:color w:val="auto"/>
        </w:rPr>
        <w:t>www.clinicaltrials.gov, NCT01882803</w:t>
      </w:r>
    </w:p>
    <w:p>
      <w:pPr>
        <w:spacing w:after="0" w:line="214" w:lineRule="auto"/>
        <w:rPr>
          <w:rFonts w:ascii="Arial" w:cs="Arial" w:eastAsia="Arial" w:hAnsi="Arial"/>
          <w:sz w:val="9"/>
          <w:szCs w:val="9"/>
          <w:color w:val="auto"/>
        </w:rPr>
      </w:pPr>
      <w:r>
        <w:rPr>
          <w:rFonts w:ascii="Arial" w:cs="Arial" w:eastAsia="Arial" w:hAnsi="Arial"/>
          <w:sz w:val="9"/>
          <w:szCs w:val="9"/>
          <w:color w:val="auto"/>
        </w:rPr>
        <w:t xml:space="preserve">6 </w:t>
      </w:r>
      <w:r>
        <w:rPr>
          <w:rFonts w:ascii="Arial" w:cs="Arial" w:eastAsia="Arial" w:hAnsi="Arial"/>
          <w:sz w:val="17"/>
          <w:szCs w:val="17"/>
          <w:color w:val="auto"/>
        </w:rPr>
        <w:t>www.clinicaltrials.gov, NCT02783625, NCT02783625, NCT02158091</w:t>
      </w:r>
    </w:p>
    <w:p>
      <w:pPr>
        <w:spacing w:after="0" w:line="214" w:lineRule="auto"/>
        <w:rPr>
          <w:rFonts w:ascii="Arial" w:cs="Arial" w:eastAsia="Arial" w:hAnsi="Arial"/>
          <w:sz w:val="9"/>
          <w:szCs w:val="9"/>
          <w:color w:val="auto"/>
        </w:rPr>
      </w:pPr>
      <w:r>
        <w:rPr>
          <w:rFonts w:ascii="Arial" w:cs="Arial" w:eastAsia="Arial" w:hAnsi="Arial"/>
          <w:sz w:val="9"/>
          <w:szCs w:val="9"/>
          <w:color w:val="auto"/>
        </w:rPr>
        <w:t>7</w:t>
      </w:r>
      <w:r>
        <w:rPr>
          <w:rFonts w:ascii="Arial" w:cs="Arial" w:eastAsia="Arial" w:hAnsi="Arial"/>
          <w:sz w:val="17"/>
          <w:szCs w:val="17"/>
          <w:color w:val="auto"/>
        </w:rPr>
        <w:t>Schaller MD and Parsons JT. Focal adhesion kinase: an integrin-linked protein tyrosine kinase. Trends Cell Biol. 1993 3: 258-62.</w:t>
      </w:r>
    </w:p>
    <w:p>
      <w:pPr>
        <w:spacing w:after="0" w:line="1" w:lineRule="exact"/>
        <w:rPr>
          <w:rFonts w:ascii="Arial" w:cs="Arial" w:eastAsia="Arial" w:hAnsi="Arial"/>
          <w:sz w:val="9"/>
          <w:szCs w:val="9"/>
          <w:color w:val="auto"/>
        </w:rPr>
      </w:pPr>
    </w:p>
    <w:p>
      <w:pPr>
        <w:spacing w:after="0" w:line="214" w:lineRule="auto"/>
        <w:rPr>
          <w:rFonts w:ascii="Arial" w:cs="Arial" w:eastAsia="Arial" w:hAnsi="Arial"/>
          <w:sz w:val="9"/>
          <w:szCs w:val="9"/>
          <w:color w:val="auto"/>
        </w:rPr>
      </w:pPr>
      <w:r>
        <w:rPr>
          <w:rFonts w:ascii="Arial" w:cs="Arial" w:eastAsia="Arial" w:hAnsi="Arial"/>
          <w:sz w:val="9"/>
          <w:szCs w:val="9"/>
          <w:color w:val="auto"/>
        </w:rPr>
        <w:t>8</w:t>
      </w:r>
      <w:r>
        <w:rPr>
          <w:rFonts w:ascii="Arial" w:cs="Arial" w:eastAsia="Arial" w:hAnsi="Arial"/>
          <w:sz w:val="17"/>
          <w:szCs w:val="17"/>
          <w:color w:val="auto"/>
        </w:rPr>
        <w:t>Jiang H et al. Targeting focal adhesion kinase renders pancreatic cancers responsive to checkpoint immunotherapy. Nat Med</w:t>
      </w:r>
      <w:r>
        <w:rPr>
          <w:rFonts w:ascii="Arial" w:cs="Arial" w:eastAsia="Arial" w:hAnsi="Arial"/>
          <w:sz w:val="9"/>
          <w:szCs w:val="9"/>
          <w:color w:val="auto"/>
        </w:rPr>
        <w:t xml:space="preserve"> </w:t>
      </w:r>
      <w:r>
        <w:rPr>
          <w:rFonts w:ascii="Arial" w:cs="Arial" w:eastAsia="Arial" w:hAnsi="Arial"/>
          <w:sz w:val="17"/>
          <w:szCs w:val="17"/>
          <w:color w:val="auto"/>
        </w:rPr>
        <w:t>2016: Aug 22(8) 851-60.</w:t>
      </w:r>
    </w:p>
    <w:p>
      <w:pPr>
        <w:spacing w:after="0" w:line="1" w:lineRule="exact"/>
        <w:rPr>
          <w:rFonts w:ascii="Arial" w:cs="Arial" w:eastAsia="Arial" w:hAnsi="Arial"/>
          <w:sz w:val="9"/>
          <w:szCs w:val="9"/>
          <w:color w:val="auto"/>
        </w:rPr>
      </w:pPr>
    </w:p>
    <w:p>
      <w:pPr>
        <w:ind w:right="500"/>
        <w:spacing w:after="0" w:line="214" w:lineRule="auto"/>
        <w:rPr>
          <w:rFonts w:ascii="Arial" w:cs="Arial" w:eastAsia="Arial" w:hAnsi="Arial"/>
          <w:sz w:val="9"/>
          <w:szCs w:val="9"/>
          <w:color w:val="auto"/>
        </w:rPr>
      </w:pPr>
      <w:r>
        <w:rPr>
          <w:rFonts w:ascii="Arial" w:cs="Arial" w:eastAsia="Arial" w:hAnsi="Arial"/>
          <w:sz w:val="9"/>
          <w:szCs w:val="9"/>
          <w:color w:val="auto"/>
        </w:rPr>
        <w:t>9</w:t>
      </w:r>
      <w:r>
        <w:rPr>
          <w:rFonts w:ascii="Arial" w:cs="Arial" w:eastAsia="Arial" w:hAnsi="Arial"/>
          <w:sz w:val="17"/>
          <w:szCs w:val="17"/>
          <w:color w:val="auto"/>
        </w:rPr>
        <w:t>Sulzmaier FJ et al. FAK in cancer: mechanistic findings and clinical applications. Nature Rev Cancer. 2014 14: 598-610.</w:t>
      </w:r>
      <w:r>
        <w:rPr>
          <w:rFonts w:ascii="Arial" w:cs="Arial" w:eastAsia="Arial" w:hAnsi="Arial"/>
          <w:sz w:val="9"/>
          <w:szCs w:val="9"/>
          <w:color w:val="auto"/>
        </w:rPr>
        <w:t xml:space="preserve"> 10 </w:t>
      </w:r>
      <w:r>
        <w:rPr>
          <w:rFonts w:ascii="Arial" w:cs="Arial" w:eastAsia="Arial" w:hAnsi="Arial"/>
          <w:sz w:val="17"/>
          <w:szCs w:val="17"/>
          <w:color w:val="auto"/>
        </w:rPr>
        <w:t>www.clinicaltrials.gov, NCT02546531</w:t>
      </w:r>
    </w:p>
    <w:p>
      <w:pPr>
        <w:spacing w:after="0" w:line="1" w:lineRule="exact"/>
        <w:rPr>
          <w:rFonts w:ascii="Arial" w:cs="Arial" w:eastAsia="Arial" w:hAnsi="Arial"/>
          <w:sz w:val="9"/>
          <w:szCs w:val="9"/>
          <w:color w:val="auto"/>
        </w:rPr>
      </w:pPr>
    </w:p>
    <w:p>
      <w:pPr>
        <w:spacing w:after="0" w:line="214" w:lineRule="auto"/>
        <w:rPr>
          <w:rFonts w:ascii="Arial" w:cs="Arial" w:eastAsia="Arial" w:hAnsi="Arial"/>
          <w:sz w:val="9"/>
          <w:szCs w:val="9"/>
          <w:color w:val="auto"/>
        </w:rPr>
      </w:pPr>
      <w:r>
        <w:rPr>
          <w:rFonts w:ascii="Arial" w:cs="Arial" w:eastAsia="Arial" w:hAnsi="Arial"/>
          <w:sz w:val="9"/>
          <w:szCs w:val="9"/>
          <w:color w:val="auto"/>
        </w:rPr>
        <w:t xml:space="preserve">11 </w:t>
      </w:r>
      <w:r>
        <w:rPr>
          <w:rFonts w:ascii="Arial" w:cs="Arial" w:eastAsia="Arial" w:hAnsi="Arial"/>
          <w:sz w:val="17"/>
          <w:szCs w:val="17"/>
          <w:color w:val="auto"/>
        </w:rPr>
        <w:t>www.clinicaltrials.gov, NCT02943317</w:t>
      </w:r>
    </w:p>
    <w:p>
      <w:pPr>
        <w:spacing w:after="0"/>
        <w:rPr>
          <w:rFonts w:ascii="Arial" w:cs="Arial" w:eastAsia="Arial" w:hAnsi="Arial"/>
          <w:sz w:val="9"/>
          <w:szCs w:val="9"/>
          <w:color w:val="auto"/>
        </w:rPr>
      </w:pPr>
      <w:r>
        <w:rPr>
          <w:rFonts w:ascii="Arial" w:cs="Arial" w:eastAsia="Arial" w:hAnsi="Arial"/>
          <w:sz w:val="9"/>
          <w:szCs w:val="9"/>
          <w:color w:val="auto"/>
        </w:rPr>
        <w:t xml:space="preserve">12 </w:t>
      </w:r>
      <w:r>
        <w:rPr>
          <w:rFonts w:ascii="Arial" w:cs="Arial" w:eastAsia="Arial" w:hAnsi="Arial"/>
          <w:sz w:val="17"/>
          <w:szCs w:val="17"/>
          <w:color w:val="auto"/>
        </w:rPr>
        <w:t>www.clinicaltrials.gov, NCT02758587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541655</wp:posOffset>
            </wp:positionV>
            <wp:extent cx="576008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ectPr>
          <w:pgSz w:w="11900" w:h="16838" w:orient="portrait"/>
          <w:cols w:equalWidth="0" w:num="1">
            <w:col w:w="9200"/>
          </w:cols>
          <w:pgMar w:left="1420" w:top="458" w:right="1279" w:bottom="1440" w:gutter="0" w:footer="0" w:header="0"/>
        </w:sectPr>
      </w:pPr>
    </w:p>
    <w:bookmarkStart w:id="293" w:name="page294"/>
    <w:bookmarkEnd w:id="293"/>
    <w:p>
      <w:pPr>
        <w:jc w:val="center"/>
        <w:ind w:left="1840"/>
        <w:spacing w:after="0"/>
        <w:rPr>
          <w:sz w:val="20"/>
          <w:szCs w:val="20"/>
          <w:color w:val="auto"/>
        </w:rPr>
      </w:pPr>
      <w:r>
        <w:rPr>
          <w:rFonts w:ascii="Arial" w:cs="Arial" w:eastAsia="Arial" w:hAnsi="Arial"/>
          <w:sz w:val="20"/>
          <w:szCs w:val="20"/>
          <w:b w:val="1"/>
          <w:bCs w:val="1"/>
          <w:color w:val="auto"/>
        </w:rPr>
        <w:t>Verastem, Inc.</w:t>
      </w:r>
    </w:p>
    <w:p>
      <w:pPr>
        <w:jc w:val="center"/>
        <w:ind w:left="1840"/>
        <w:spacing w:after="0" w:line="196" w:lineRule="auto"/>
        <w:rPr>
          <w:sz w:val="20"/>
          <w:szCs w:val="20"/>
          <w:color w:val="auto"/>
        </w:rPr>
      </w:pPr>
      <w:r>
        <w:rPr>
          <w:rFonts w:ascii="Arial" w:cs="Arial" w:eastAsia="Arial" w:hAnsi="Arial"/>
          <w:sz w:val="20"/>
          <w:szCs w:val="20"/>
          <w:b w:val="1"/>
          <w:bCs w:val="1"/>
          <w:color w:val="auto"/>
        </w:rPr>
        <w:t>Unaudited Selected Consolidated Balance Sheets</w:t>
      </w:r>
    </w:p>
    <w:p>
      <w:pPr>
        <w:spacing w:after="0" w:line="1" w:lineRule="exact"/>
        <w:rPr>
          <w:sz w:val="20"/>
          <w:szCs w:val="20"/>
          <w:color w:val="auto"/>
        </w:rPr>
      </w:pPr>
    </w:p>
    <w:p>
      <w:pPr>
        <w:jc w:val="center"/>
        <w:ind w:left="1840"/>
        <w:spacing w:after="0"/>
        <w:rPr>
          <w:sz w:val="20"/>
          <w:szCs w:val="20"/>
          <w:color w:val="auto"/>
        </w:rPr>
      </w:pPr>
      <w:r>
        <w:rPr>
          <w:rFonts w:ascii="Arial" w:cs="Arial" w:eastAsia="Arial" w:hAnsi="Arial"/>
          <w:sz w:val="20"/>
          <w:szCs w:val="20"/>
          <w:color w:val="auto"/>
        </w:rPr>
        <w:t>(in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b w:val="1"/>
                <w:bCs w:val="1"/>
                <w:color w:val="auto"/>
                <w:w w:val="87"/>
              </w:rPr>
              <w:t>December 31,</w:t>
            </w:r>
          </w:p>
        </w:tc>
      </w:tr>
      <w:tr>
        <w:trPr>
          <w:trHeight w:val="215"/>
        </w:trPr>
        <w:tc>
          <w:tcPr>
            <w:tcW w:w="5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1"/>
              <w:spacing w:after="0" w:line="215" w:lineRule="exact"/>
              <w:rPr>
                <w:sz w:val="20"/>
                <w:szCs w:val="20"/>
                <w:color w:val="auto"/>
              </w:rPr>
            </w:pPr>
            <w:r>
              <w:rPr>
                <w:rFonts w:ascii="Arial" w:cs="Arial" w:eastAsia="Arial" w:hAnsi="Arial"/>
                <w:sz w:val="20"/>
                <w:szCs w:val="20"/>
                <w:b w:val="1"/>
                <w:bCs w:val="1"/>
                <w:color w:val="auto"/>
              </w:rPr>
              <w:t>2016</w:t>
            </w:r>
          </w:p>
        </w:tc>
      </w:tr>
      <w:tr>
        <w:trPr>
          <w:trHeight w:val="205"/>
        </w:trPr>
        <w:tc>
          <w:tcPr>
            <w:tcW w:w="5820" w:type="dxa"/>
            <w:vAlign w:val="bottom"/>
          </w:tcPr>
          <w:p>
            <w:pPr>
              <w:spacing w:after="0" w:line="206" w:lineRule="exact"/>
              <w:rPr>
                <w:sz w:val="20"/>
                <w:szCs w:val="20"/>
                <w:color w:val="auto"/>
              </w:rPr>
            </w:pPr>
            <w:r>
              <w:rPr>
                <w:rFonts w:ascii="Arial" w:cs="Arial" w:eastAsia="Arial" w:hAnsi="Arial"/>
                <w:sz w:val="20"/>
                <w:szCs w:val="20"/>
                <w:color w:val="auto"/>
              </w:rPr>
              <w:t>Cash, cash equivalents and investments</w:t>
            </w:r>
          </w:p>
        </w:tc>
        <w:tc>
          <w:tcPr>
            <w:tcW w:w="120" w:type="dxa"/>
            <w:vAlign w:val="bottom"/>
          </w:tcPr>
          <w:p>
            <w:pPr>
              <w:jc w:val="right"/>
              <w:spacing w:after="0" w:line="206" w:lineRule="exact"/>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line="206" w:lineRule="exact"/>
              <w:rPr>
                <w:sz w:val="20"/>
                <w:szCs w:val="20"/>
                <w:color w:val="auto"/>
              </w:rPr>
            </w:pPr>
            <w:r>
              <w:rPr>
                <w:rFonts w:ascii="Arial" w:cs="Arial" w:eastAsia="Arial" w:hAnsi="Arial"/>
                <w:sz w:val="20"/>
                <w:szCs w:val="20"/>
                <w:color w:val="auto"/>
              </w:rPr>
              <w:t>80,897</w:t>
            </w:r>
          </w:p>
        </w:tc>
      </w:tr>
      <w:tr>
        <w:trPr>
          <w:trHeight w:val="229"/>
        </w:trPr>
        <w:tc>
          <w:tcPr>
            <w:tcW w:w="5820" w:type="dxa"/>
            <w:vAlign w:val="bottom"/>
          </w:tcPr>
          <w:p>
            <w:pPr>
              <w:spacing w:after="0" w:line="229" w:lineRule="exact"/>
              <w:rPr>
                <w:sz w:val="20"/>
                <w:szCs w:val="20"/>
                <w:color w:val="auto"/>
              </w:rPr>
            </w:pPr>
            <w:r>
              <w:rPr>
                <w:rFonts w:ascii="Arial" w:cs="Arial" w:eastAsia="Arial" w:hAnsi="Arial"/>
                <w:sz w:val="20"/>
                <w:szCs w:val="20"/>
                <w:color w:val="auto"/>
              </w:rPr>
              <w:t>Prepaid expenses and other current assets</w:t>
            </w:r>
          </w:p>
        </w:tc>
        <w:tc>
          <w:tcPr>
            <w:tcW w:w="12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0"/>
                <w:szCs w:val="20"/>
                <w:color w:val="auto"/>
              </w:rPr>
              <w:t>398</w:t>
            </w:r>
          </w:p>
        </w:tc>
      </w:tr>
      <w:tr>
        <w:trPr>
          <w:trHeight w:val="229"/>
        </w:trPr>
        <w:tc>
          <w:tcPr>
            <w:tcW w:w="5820" w:type="dxa"/>
            <w:vAlign w:val="bottom"/>
          </w:tcPr>
          <w:p>
            <w:pPr>
              <w:spacing w:after="0" w:line="229" w:lineRule="exact"/>
              <w:rPr>
                <w:sz w:val="20"/>
                <w:szCs w:val="20"/>
                <w:color w:val="auto"/>
              </w:rPr>
            </w:pPr>
            <w:r>
              <w:rPr>
                <w:rFonts w:ascii="Arial" w:cs="Arial" w:eastAsia="Arial" w:hAnsi="Arial"/>
                <w:sz w:val="20"/>
                <w:szCs w:val="20"/>
                <w:color w:val="auto"/>
              </w:rPr>
              <w:t>Property and equipment, net</w:t>
            </w:r>
          </w:p>
        </w:tc>
        <w:tc>
          <w:tcPr>
            <w:tcW w:w="12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0"/>
                <w:szCs w:val="20"/>
                <w:color w:val="auto"/>
              </w:rPr>
              <w:t>1,417</w:t>
            </w:r>
          </w:p>
        </w:tc>
      </w:tr>
      <w:tr>
        <w:trPr>
          <w:trHeight w:val="246"/>
        </w:trPr>
        <w:tc>
          <w:tcPr>
            <w:tcW w:w="5820" w:type="dxa"/>
            <w:vAlign w:val="bottom"/>
          </w:tcPr>
          <w:p>
            <w:pPr>
              <w:spacing w:after="0"/>
              <w:rPr>
                <w:sz w:val="20"/>
                <w:szCs w:val="20"/>
                <w:color w:val="auto"/>
              </w:rPr>
            </w:pPr>
            <w:r>
              <w:rPr>
                <w:rFonts w:ascii="Arial" w:cs="Arial" w:eastAsia="Arial" w:hAnsi="Arial"/>
                <w:sz w:val="20"/>
                <w:szCs w:val="20"/>
                <w:color w:val="auto"/>
              </w:rPr>
              <w:t>Other assets</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917</w:t>
            </w:r>
          </w:p>
        </w:tc>
      </w:tr>
      <w:tr>
        <w:trPr>
          <w:trHeight w:val="229"/>
        </w:trPr>
        <w:tc>
          <w:tcPr>
            <w:tcW w:w="5820" w:type="dxa"/>
            <w:vAlign w:val="bottom"/>
          </w:tcPr>
          <w:p>
            <w:pPr>
              <w:spacing w:after="0" w:line="222" w:lineRule="exact"/>
              <w:rPr>
                <w:sz w:val="20"/>
                <w:szCs w:val="20"/>
                <w:color w:val="auto"/>
              </w:rPr>
            </w:pPr>
            <w:r>
              <w:rPr>
                <w:rFonts w:ascii="Arial" w:cs="Arial" w:eastAsia="Arial" w:hAnsi="Arial"/>
                <w:sz w:val="20"/>
                <w:szCs w:val="20"/>
                <w:b w:val="1"/>
                <w:bCs w:val="1"/>
                <w:color w:val="auto"/>
              </w:rPr>
              <w:t>Total assets</w:t>
            </w:r>
          </w:p>
        </w:tc>
        <w:tc>
          <w:tcPr>
            <w:tcW w:w="12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b w:val="1"/>
                <w:bCs w:val="1"/>
                <w:color w:val="auto"/>
                <w:w w:val="71"/>
              </w:rPr>
              <w:t>$</w:t>
            </w:r>
          </w:p>
        </w:tc>
        <w:tc>
          <w:tcPr>
            <w:tcW w:w="128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b w:val="1"/>
                <w:bCs w:val="1"/>
                <w:color w:val="auto"/>
              </w:rPr>
              <w:t>83,629</w:t>
            </w:r>
          </w:p>
        </w:tc>
      </w:tr>
      <w:tr>
        <w:trPr>
          <w:trHeight w:val="400"/>
        </w:trPr>
        <w:tc>
          <w:tcPr>
            <w:tcW w:w="5820" w:type="dxa"/>
            <w:vAlign w:val="bottom"/>
          </w:tcPr>
          <w:p>
            <w:pPr>
              <w:spacing w:after="0"/>
              <w:rPr>
                <w:sz w:val="20"/>
                <w:szCs w:val="20"/>
                <w:color w:val="auto"/>
              </w:rPr>
            </w:pPr>
            <w:r>
              <w:rPr>
                <w:rFonts w:ascii="Arial" w:cs="Arial" w:eastAsia="Arial" w:hAnsi="Arial"/>
                <w:sz w:val="20"/>
                <w:szCs w:val="20"/>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10,991</w:t>
            </w:r>
          </w:p>
        </w:tc>
      </w:tr>
      <w:tr>
        <w:trPr>
          <w:trHeight w:val="229"/>
        </w:trPr>
        <w:tc>
          <w:tcPr>
            <w:tcW w:w="5820" w:type="dxa"/>
            <w:vAlign w:val="bottom"/>
          </w:tcPr>
          <w:p>
            <w:pPr>
              <w:spacing w:after="0" w:line="229" w:lineRule="exact"/>
              <w:rPr>
                <w:sz w:val="20"/>
                <w:szCs w:val="20"/>
                <w:color w:val="auto"/>
              </w:rPr>
            </w:pPr>
            <w:r>
              <w:rPr>
                <w:rFonts w:ascii="Arial" w:cs="Arial" w:eastAsia="Arial" w:hAnsi="Arial"/>
                <w:sz w:val="20"/>
                <w:szCs w:val="20"/>
                <w:color w:val="auto"/>
              </w:rPr>
              <w:t>Other liabilities</w:t>
            </w:r>
          </w:p>
        </w:tc>
        <w:tc>
          <w:tcPr>
            <w:tcW w:w="12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0"/>
                <w:szCs w:val="20"/>
                <w:color w:val="auto"/>
              </w:rPr>
              <w:t>341</w:t>
            </w:r>
          </w:p>
        </w:tc>
      </w:tr>
      <w:tr>
        <w:trPr>
          <w:trHeight w:val="246"/>
        </w:trPr>
        <w:tc>
          <w:tcPr>
            <w:tcW w:w="5820" w:type="dxa"/>
            <w:vAlign w:val="bottom"/>
          </w:tcPr>
          <w:p>
            <w:pPr>
              <w:spacing w:after="0"/>
              <w:rPr>
                <w:sz w:val="20"/>
                <w:szCs w:val="20"/>
                <w:color w:val="auto"/>
              </w:rPr>
            </w:pPr>
            <w:r>
              <w:rPr>
                <w:rFonts w:ascii="Arial" w:cs="Arial" w:eastAsia="Arial" w:hAnsi="Arial"/>
                <w:sz w:val="20"/>
                <w:szCs w:val="20"/>
                <w:color w:val="auto"/>
              </w:rPr>
              <w:t>Stockholders’ equity</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72,297</w:t>
            </w:r>
          </w:p>
        </w:tc>
      </w:tr>
      <w:tr>
        <w:trPr>
          <w:trHeight w:val="229"/>
        </w:trPr>
        <w:tc>
          <w:tcPr>
            <w:tcW w:w="5820" w:type="dxa"/>
            <w:vAlign w:val="bottom"/>
          </w:tcPr>
          <w:p>
            <w:pPr>
              <w:spacing w:after="0" w:line="222" w:lineRule="exact"/>
              <w:rPr>
                <w:sz w:val="20"/>
                <w:szCs w:val="20"/>
                <w:color w:val="auto"/>
              </w:rPr>
            </w:pPr>
            <w:r>
              <w:rPr>
                <w:rFonts w:ascii="Arial" w:cs="Arial" w:eastAsia="Arial" w:hAnsi="Arial"/>
                <w:sz w:val="20"/>
                <w:szCs w:val="20"/>
                <w:b w:val="1"/>
                <w:bCs w:val="1"/>
                <w:color w:val="auto"/>
              </w:rPr>
              <w:t>Total liabilities and stockholders’ equity</w:t>
            </w:r>
          </w:p>
        </w:tc>
        <w:tc>
          <w:tcPr>
            <w:tcW w:w="12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b w:val="1"/>
                <w:bCs w:val="1"/>
                <w:color w:val="auto"/>
                <w:w w:val="71"/>
              </w:rPr>
              <w:t>$</w:t>
            </w:r>
          </w:p>
        </w:tc>
        <w:tc>
          <w:tcPr>
            <w:tcW w:w="128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b w:val="1"/>
                <w:bCs w:val="1"/>
                <w:color w:val="auto"/>
              </w:rPr>
              <w:t>83,629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-1187450</wp:posOffset>
            </wp:positionV>
            <wp:extent cx="5751195"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51195"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-606425</wp:posOffset>
            </wp:positionV>
            <wp:extent cx="5751195" cy="145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51195"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-315595</wp:posOffset>
            </wp:positionV>
            <wp:extent cx="5751195" cy="145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51195"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-896620</wp:posOffset>
            </wp:positionV>
            <wp:extent cx="5751195" cy="1708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51195" cy="1708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-1486535</wp:posOffset>
            </wp:positionV>
            <wp:extent cx="5751195" cy="1536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51195" cy="1536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546735</wp:posOffset>
            </wp:positionV>
            <wp:extent cx="576008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6008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8"/>
        <w:spacing w:after="0"/>
        <w:rPr>
          <w:sz w:val="20"/>
          <w:szCs w:val="20"/>
          <w:color w:val="auto"/>
        </w:rPr>
      </w:pPr>
      <w:r>
        <w:rPr>
          <w:rFonts w:ascii="Arial" w:cs="Arial" w:eastAsia="Arial" w:hAnsi="Arial"/>
          <w:sz w:val="19"/>
          <w:szCs w:val="19"/>
          <w:b w:val="1"/>
          <w:bCs w:val="1"/>
          <w:color w:val="auto"/>
        </w:rPr>
        <w:t>December 31,</w:t>
      </w:r>
    </w:p>
    <w:p>
      <w:pPr>
        <w:jc w:val="center"/>
        <w:ind w:right="118"/>
        <w:spacing w:after="0" w:line="224" w:lineRule="auto"/>
        <w:rPr>
          <w:sz w:val="20"/>
          <w:szCs w:val="20"/>
          <w:color w:val="auto"/>
        </w:rPr>
      </w:pPr>
      <w:r>
        <w:rPr>
          <w:rFonts w:ascii="Arial" w:cs="Arial" w:eastAsia="Arial" w:hAnsi="Arial"/>
          <w:sz w:val="20"/>
          <w:szCs w:val="20"/>
          <w:b w:val="1"/>
          <w:bCs w:val="1"/>
          <w:color w:val="auto"/>
        </w:rPr>
        <w:t>2015</w:t>
      </w:r>
    </w:p>
    <w:p>
      <w:pPr>
        <w:spacing w:after="0" w:line="1" w:lineRule="exact"/>
        <w:rPr>
          <w:sz w:val="20"/>
          <w:szCs w:val="20"/>
          <w:color w:val="auto"/>
        </w:rPr>
      </w:pPr>
    </w:p>
    <w:p>
      <w:pPr>
        <w:ind w:left="681" w:hanging="681"/>
        <w:spacing w:after="0"/>
        <w:tabs>
          <w:tab w:leader="none" w:pos="68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110,258</w:t>
      </w:r>
    </w:p>
    <w:p>
      <w:pPr>
        <w:spacing w:after="0" w:line="44" w:lineRule="exact"/>
        <w:rPr>
          <w:rFonts w:ascii="Arial" w:cs="Arial" w:eastAsia="Arial" w:hAnsi="Arial"/>
          <w:sz w:val="16"/>
          <w:szCs w:val="16"/>
          <w:color w:val="auto"/>
        </w:rPr>
      </w:pPr>
    </w:p>
    <w:p>
      <w:pPr>
        <w:ind w:left="1021"/>
        <w:spacing w:after="0"/>
        <w:rPr>
          <w:rFonts w:ascii="Arial" w:cs="Arial" w:eastAsia="Arial" w:hAnsi="Arial"/>
          <w:sz w:val="16"/>
          <w:szCs w:val="16"/>
          <w:color w:val="auto"/>
        </w:rPr>
      </w:pPr>
      <w:r>
        <w:rPr>
          <w:rFonts w:ascii="Arial" w:cs="Arial" w:eastAsia="Arial" w:hAnsi="Arial"/>
          <w:sz w:val="16"/>
          <w:szCs w:val="16"/>
          <w:color w:val="auto"/>
        </w:rPr>
        <w:t>585</w:t>
      </w:r>
    </w:p>
    <w:p>
      <w:pPr>
        <w:spacing w:after="0" w:line="44" w:lineRule="exact"/>
        <w:rPr>
          <w:sz w:val="20"/>
          <w:szCs w:val="20"/>
          <w:color w:val="auto"/>
        </w:rPr>
      </w:pPr>
    </w:p>
    <w:p>
      <w:pPr>
        <w:jc w:val="right"/>
        <w:ind w:right="179"/>
        <w:spacing w:after="0"/>
        <w:rPr>
          <w:sz w:val="20"/>
          <w:szCs w:val="20"/>
          <w:color w:val="auto"/>
        </w:rPr>
      </w:pPr>
      <w:r>
        <w:rPr>
          <w:rFonts w:ascii="Arial" w:cs="Arial" w:eastAsia="Arial" w:hAnsi="Arial"/>
          <w:sz w:val="20"/>
          <w:szCs w:val="20"/>
          <w:color w:val="auto"/>
        </w:rPr>
        <w:t>2,048</w:t>
      </w:r>
    </w:p>
    <w:p>
      <w:pPr>
        <w:jc w:val="right"/>
        <w:ind w:right="179"/>
        <w:spacing w:after="0"/>
        <w:rPr>
          <w:sz w:val="20"/>
          <w:szCs w:val="20"/>
          <w:color w:val="auto"/>
        </w:rPr>
      </w:pPr>
      <w:r>
        <w:rPr>
          <w:rFonts w:ascii="Arial" w:cs="Arial" w:eastAsia="Arial" w:hAnsi="Arial"/>
          <w:sz w:val="20"/>
          <w:szCs w:val="20"/>
          <w:color w:val="auto"/>
        </w:rPr>
        <w:t>203</w:t>
      </w:r>
    </w:p>
    <w:p>
      <w:pPr>
        <w:spacing w:after="0" w:line="4" w:lineRule="exact"/>
        <w:rPr>
          <w:sz w:val="20"/>
          <w:szCs w:val="20"/>
          <w:color w:val="auto"/>
        </w:rPr>
      </w:pPr>
    </w:p>
    <w:p>
      <w:pPr>
        <w:ind w:left="681" w:hanging="681"/>
        <w:spacing w:after="0"/>
        <w:tabs>
          <w:tab w:leader="none" w:pos="681"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113,094</w:t>
      </w:r>
    </w:p>
    <w:p>
      <w:pPr>
        <w:spacing w:after="0" w:line="253" w:lineRule="exact"/>
        <w:rPr>
          <w:sz w:val="20"/>
          <w:szCs w:val="20"/>
          <w:color w:val="auto"/>
        </w:rPr>
      </w:pPr>
    </w:p>
    <w:p>
      <w:pPr>
        <w:ind w:left="781" w:hanging="781"/>
        <w:spacing w:after="0"/>
        <w:tabs>
          <w:tab w:leader="none" w:pos="78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10,040</w:t>
      </w:r>
    </w:p>
    <w:p>
      <w:pPr>
        <w:spacing w:after="0" w:line="60" w:lineRule="exact"/>
        <w:rPr>
          <w:rFonts w:ascii="Arial" w:cs="Arial" w:eastAsia="Arial" w:hAnsi="Arial"/>
          <w:sz w:val="16"/>
          <w:szCs w:val="16"/>
          <w:color w:val="auto"/>
        </w:rPr>
      </w:pPr>
    </w:p>
    <w:p>
      <w:pPr>
        <w:ind w:left="1021"/>
        <w:spacing w:after="0"/>
        <w:rPr>
          <w:rFonts w:ascii="Arial" w:cs="Arial" w:eastAsia="Arial" w:hAnsi="Arial"/>
          <w:sz w:val="16"/>
          <w:szCs w:val="16"/>
          <w:color w:val="auto"/>
        </w:rPr>
      </w:pPr>
      <w:r>
        <w:rPr>
          <w:rFonts w:ascii="Arial" w:cs="Arial" w:eastAsia="Arial" w:hAnsi="Arial"/>
          <w:sz w:val="16"/>
          <w:szCs w:val="16"/>
          <w:color w:val="auto"/>
        </w:rPr>
        <w:t>585</w:t>
      </w:r>
    </w:p>
    <w:p>
      <w:pPr>
        <w:spacing w:after="0" w:line="45" w:lineRule="exact"/>
        <w:rPr>
          <w:sz w:val="20"/>
          <w:szCs w:val="20"/>
          <w:color w:val="auto"/>
        </w:rPr>
      </w:pPr>
    </w:p>
    <w:p>
      <w:pPr>
        <w:jc w:val="right"/>
        <w:ind w:right="179"/>
        <w:spacing w:after="0"/>
        <w:rPr>
          <w:sz w:val="20"/>
          <w:szCs w:val="20"/>
          <w:color w:val="auto"/>
        </w:rPr>
      </w:pPr>
      <w:r>
        <w:rPr>
          <w:rFonts w:ascii="Arial" w:cs="Arial" w:eastAsia="Arial" w:hAnsi="Arial"/>
          <w:sz w:val="20"/>
          <w:szCs w:val="20"/>
          <w:color w:val="auto"/>
        </w:rPr>
        <w:t>102,469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8718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681" w:hanging="681"/>
        <w:spacing w:after="0"/>
        <w:tabs>
          <w:tab w:leader="none" w:pos="681"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113,094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87185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71855" cy="17145"/>
                    </a:xfrm>
                    <a:prstGeom prst="rect">
                      <a:avLst/>
                    </a:prstGeom>
                    <a:noFill/>
                  </pic:spPr>
                </pic:pic>
              </a:graphicData>
            </a:graphic>
          </wp:anchor>
        </w:drawing>
      </w:r>
    </w:p>
    <w:p>
      <w:pPr>
        <w:sectPr>
          <w:pgSz w:w="11900" w:h="16838" w:orient="portrait"/>
          <w:cols w:equalWidth="0" w:num="2">
            <w:col w:w="7220" w:space="319"/>
            <w:col w:w="1500"/>
          </w:cols>
          <w:pgMar w:left="1420" w:top="434" w:right="1440" w:bottom="1440" w:gutter="0" w:footer="0" w:header="0"/>
        </w:sectPr>
      </w:pPr>
    </w:p>
    <w:bookmarkStart w:id="294" w:name="page295"/>
    <w:bookmarkEnd w:id="294"/>
    <w:p>
      <w:pPr>
        <w:jc w:val="center"/>
        <w:spacing w:after="0"/>
        <w:rPr>
          <w:sz w:val="20"/>
          <w:szCs w:val="20"/>
          <w:color w:val="auto"/>
        </w:rPr>
      </w:pPr>
      <w:r>
        <w:rPr>
          <w:rFonts w:ascii="Arial" w:cs="Arial" w:eastAsia="Arial" w:hAnsi="Arial"/>
          <w:sz w:val="20"/>
          <w:szCs w:val="20"/>
          <w:b w:val="1"/>
          <w:bCs w:val="1"/>
          <w:color w:val="auto"/>
        </w:rPr>
        <w:t>Verastem, Inc.</w:t>
      </w:r>
    </w:p>
    <w:p>
      <w:pPr>
        <w:jc w:val="center"/>
        <w:spacing w:after="0" w:line="196" w:lineRule="auto"/>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except per share amounts)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5"/>
          </w:tcPr>
          <w:p>
            <w:pPr>
              <w:ind w:left="20"/>
              <w:spacing w:after="0"/>
              <w:rPr>
                <w:sz w:val="20"/>
                <w:szCs w:val="20"/>
                <w:color w:val="auto"/>
              </w:rPr>
            </w:pPr>
            <w:r>
              <w:rPr>
                <w:rFonts w:ascii="Arial" w:cs="Arial" w:eastAsia="Arial" w:hAnsi="Arial"/>
                <w:sz w:val="20"/>
                <w:szCs w:val="20"/>
                <w:b w:val="1"/>
                <w:bCs w:val="1"/>
                <w:color w:val="auto"/>
                <w:w w:val="97"/>
              </w:rPr>
              <w:t>Year ended December 31,</w:t>
            </w:r>
          </w:p>
        </w:tc>
        <w:tc>
          <w:tcPr>
            <w:tcW w:w="0" w:type="dxa"/>
            <w:vAlign w:val="bottom"/>
          </w:tcPr>
          <w:p>
            <w:pPr>
              <w:spacing w:after="0"/>
              <w:rPr>
                <w:sz w:val="1"/>
                <w:szCs w:val="1"/>
                <w:color w:val="auto"/>
              </w:rPr>
            </w:pPr>
          </w:p>
        </w:tc>
      </w:tr>
      <w:tr>
        <w:trPr>
          <w:trHeight w:val="182"/>
        </w:trPr>
        <w:tc>
          <w:tcPr>
            <w:tcW w:w="6520" w:type="dxa"/>
            <w:vAlign w:val="bottom"/>
            <w:vMerge w:val="restart"/>
          </w:tcPr>
          <w:p>
            <w:pPr>
              <w:spacing w:after="0"/>
              <w:rPr>
                <w:sz w:val="20"/>
                <w:szCs w:val="20"/>
                <w:color w:val="auto"/>
              </w:rPr>
            </w:pPr>
            <w:r>
              <w:rPr>
                <w:rFonts w:ascii="Arial" w:cs="Arial" w:eastAsia="Arial" w:hAnsi="Arial"/>
                <w:sz w:val="20"/>
                <w:szCs w:val="20"/>
                <w:color w:val="auto"/>
              </w:rPr>
              <w:t>Operating expenses:</w:t>
            </w: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241"/>
              <w:spacing w:after="0" w:line="182" w:lineRule="exact"/>
              <w:rPr>
                <w:sz w:val="20"/>
                <w:szCs w:val="20"/>
                <w:color w:val="auto"/>
              </w:rPr>
            </w:pPr>
            <w:r>
              <w:rPr>
                <w:rFonts w:ascii="Arial" w:cs="Arial" w:eastAsia="Arial" w:hAnsi="Arial"/>
                <w:sz w:val="20"/>
                <w:szCs w:val="20"/>
                <w:b w:val="1"/>
                <w:bCs w:val="1"/>
                <w:color w:val="auto"/>
              </w:rPr>
              <w:t>2016</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41"/>
              <w:spacing w:after="0" w:line="182" w:lineRule="exact"/>
              <w:rPr>
                <w:sz w:val="20"/>
                <w:szCs w:val="20"/>
                <w:color w:val="auto"/>
              </w:rPr>
            </w:pPr>
            <w:r>
              <w:rPr>
                <w:rFonts w:ascii="Arial" w:cs="Arial" w:eastAsia="Arial" w:hAnsi="Arial"/>
                <w:sz w:val="20"/>
                <w:szCs w:val="20"/>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line="229" w:lineRule="exact"/>
              <w:rPr>
                <w:sz w:val="20"/>
                <w:szCs w:val="20"/>
                <w:color w:val="auto"/>
              </w:rPr>
            </w:pPr>
            <w:r>
              <w:rPr>
                <w:rFonts w:ascii="Arial" w:cs="Arial" w:eastAsia="Arial" w:hAnsi="Arial"/>
                <w:sz w:val="20"/>
                <w:szCs w:val="20"/>
                <w:color w:val="auto"/>
              </w:rPr>
              <w:t>Research and development</w:t>
            </w:r>
          </w:p>
        </w:tc>
        <w:tc>
          <w:tcPr>
            <w:tcW w:w="120" w:type="dxa"/>
            <w:vAlign w:val="bottom"/>
            <w:shd w:val="clear" w:color="auto" w:fill="CCEEFF"/>
          </w:tcPr>
          <w:p>
            <w:pPr>
              <w:jc w:val="right"/>
              <w:spacing w:after="0" w:line="229"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CCEEFF"/>
          </w:tcPr>
          <w:p>
            <w:pPr>
              <w:jc w:val="right"/>
              <w:spacing w:after="0" w:line="229" w:lineRule="exact"/>
              <w:rPr>
                <w:sz w:val="20"/>
                <w:szCs w:val="20"/>
                <w:color w:val="auto"/>
              </w:rPr>
            </w:pPr>
            <w:r>
              <w:rPr>
                <w:rFonts w:ascii="Arial" w:cs="Arial" w:eastAsia="Arial" w:hAnsi="Arial"/>
                <w:sz w:val="20"/>
                <w:szCs w:val="20"/>
                <w:color w:val="auto"/>
              </w:rPr>
              <w:t>19,779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1"/>
              <w:spacing w:after="0" w:line="229" w:lineRule="exact"/>
              <w:rPr>
                <w:sz w:val="20"/>
                <w:szCs w:val="20"/>
                <w:color w:val="auto"/>
              </w:rPr>
            </w:pPr>
            <w:r>
              <w:rPr>
                <w:rFonts w:ascii="Arial" w:cs="Arial" w:eastAsia="Arial" w:hAnsi="Arial"/>
                <w:sz w:val="20"/>
                <w:szCs w:val="20"/>
                <w:color w:val="auto"/>
                <w:w w:val="71"/>
              </w:rPr>
              <w:t>$</w:t>
            </w:r>
          </w:p>
        </w:tc>
        <w:tc>
          <w:tcPr>
            <w:tcW w:w="860" w:type="dxa"/>
            <w:vAlign w:val="bottom"/>
            <w:shd w:val="clear" w:color="auto" w:fill="CCEEFF"/>
          </w:tcPr>
          <w:p>
            <w:pPr>
              <w:jc w:val="right"/>
              <w:spacing w:after="0" w:line="229" w:lineRule="exact"/>
              <w:rPr>
                <w:sz w:val="20"/>
                <w:szCs w:val="20"/>
                <w:color w:val="auto"/>
              </w:rPr>
            </w:pPr>
            <w:r>
              <w:rPr>
                <w:rFonts w:ascii="Arial" w:cs="Arial" w:eastAsia="Arial" w:hAnsi="Arial"/>
                <w:sz w:val="20"/>
                <w:szCs w:val="20"/>
                <w:color w:val="auto"/>
              </w:rPr>
              <w:t>40,565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20"/>
              <w:spacing w:after="0" w:line="229" w:lineRule="exact"/>
              <w:rPr>
                <w:sz w:val="20"/>
                <w:szCs w:val="20"/>
                <w:color w:val="auto"/>
              </w:rPr>
            </w:pPr>
            <w:r>
              <w:rPr>
                <w:rFonts w:ascii="Arial" w:cs="Arial" w:eastAsia="Arial" w:hAnsi="Arial"/>
                <w:sz w:val="20"/>
                <w:szCs w:val="20"/>
                <w:color w:val="auto"/>
              </w:rPr>
              <w:t>General and administrative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17,223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17,634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20" w:type="dxa"/>
            <w:vAlign w:val="bottom"/>
            <w:shd w:val="clear" w:color="auto" w:fill="CCEEFF"/>
          </w:tcPr>
          <w:p>
            <w:pPr>
              <w:spacing w:after="0" w:line="222" w:lineRule="exact"/>
              <w:rPr>
                <w:sz w:val="20"/>
                <w:szCs w:val="20"/>
                <w:color w:val="auto"/>
              </w:rPr>
            </w:pPr>
            <w:r>
              <w:rPr>
                <w:rFonts w:ascii="Arial" w:cs="Arial" w:eastAsia="Arial" w:hAnsi="Arial"/>
                <w:sz w:val="20"/>
                <w:szCs w:val="20"/>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222" w:lineRule="exact"/>
              <w:rPr>
                <w:sz w:val="20"/>
                <w:szCs w:val="20"/>
                <w:color w:val="auto"/>
              </w:rPr>
            </w:pPr>
            <w:r>
              <w:rPr>
                <w:rFonts w:ascii="Arial" w:cs="Arial" w:eastAsia="Arial" w:hAnsi="Arial"/>
                <w:sz w:val="20"/>
                <w:szCs w:val="20"/>
                <w:color w:val="auto"/>
              </w:rPr>
              <w:t>37,002</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22" w:lineRule="exact"/>
              <w:rPr>
                <w:sz w:val="20"/>
                <w:szCs w:val="20"/>
                <w:color w:val="auto"/>
              </w:rPr>
            </w:pPr>
            <w:r>
              <w:rPr>
                <w:rFonts w:ascii="Arial" w:cs="Arial" w:eastAsia="Arial" w:hAnsi="Arial"/>
                <w:sz w:val="20"/>
                <w:szCs w:val="20"/>
                <w:color w:val="auto"/>
              </w:rPr>
              <w:t>58,199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line="222" w:lineRule="exact"/>
              <w:rPr>
                <w:sz w:val="20"/>
                <w:szCs w:val="20"/>
                <w:color w:val="auto"/>
              </w:rPr>
            </w:pPr>
            <w:r>
              <w:rPr>
                <w:rFonts w:ascii="Arial" w:cs="Arial" w:eastAsia="Arial" w:hAnsi="Arial"/>
                <w:sz w:val="20"/>
                <w:szCs w:val="20"/>
                <w:color w:val="auto"/>
              </w:rPr>
              <w:t>Loss from operations</w:t>
            </w:r>
          </w:p>
        </w:tc>
        <w:tc>
          <w:tcPr>
            <w:tcW w:w="12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(37,002)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line="222" w:lineRule="exact"/>
              <w:rPr>
                <w:sz w:val="20"/>
                <w:szCs w:val="20"/>
                <w:color w:val="auto"/>
              </w:rPr>
            </w:pPr>
            <w:r>
              <w:rPr>
                <w:rFonts w:ascii="Arial" w:cs="Arial" w:eastAsia="Arial" w:hAnsi="Arial"/>
                <w:sz w:val="20"/>
                <w:szCs w:val="20"/>
                <w:color w:val="auto"/>
              </w:rPr>
              <w:t>(58,199)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spacing w:after="0" w:line="229" w:lineRule="exact"/>
              <w:rPr>
                <w:sz w:val="20"/>
                <w:szCs w:val="20"/>
                <w:color w:val="auto"/>
              </w:rPr>
            </w:pPr>
            <w:r>
              <w:rPr>
                <w:rFonts w:ascii="Arial" w:cs="Arial" w:eastAsia="Arial" w:hAnsi="Arial"/>
                <w:sz w:val="20"/>
                <w:szCs w:val="20"/>
                <w:color w:val="auto"/>
              </w:rPr>
              <w:t>Interest income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0"/>
                <w:szCs w:val="20"/>
                <w:color w:val="auto"/>
              </w:rPr>
              <w:t>562</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0"/>
                <w:szCs w:val="20"/>
                <w:color w:val="auto"/>
              </w:rPr>
              <w:t>334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spacing w:after="0" w:line="222" w:lineRule="exact"/>
              <w:rPr>
                <w:sz w:val="20"/>
                <w:szCs w:val="20"/>
                <w:color w:val="auto"/>
              </w:rPr>
            </w:pPr>
            <w:r>
              <w:rPr>
                <w:rFonts w:ascii="Arial" w:cs="Arial" w:eastAsia="Arial" w:hAnsi="Arial"/>
                <w:sz w:val="20"/>
                <w:szCs w:val="20"/>
                <w:b w:val="1"/>
                <w:bCs w:val="1"/>
                <w:color w:val="auto"/>
              </w:rPr>
              <w:t>Net loss</w:t>
            </w:r>
          </w:p>
        </w:tc>
        <w:tc>
          <w:tcPr>
            <w:tcW w:w="12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b w:val="1"/>
                <w:bCs w:val="1"/>
                <w:color w:val="auto"/>
                <w:w w:val="71"/>
              </w:rPr>
              <w:t>$</w:t>
            </w:r>
          </w:p>
        </w:tc>
        <w:tc>
          <w:tcPr>
            <w:tcW w:w="98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b w:val="1"/>
                <w:bCs w:val="1"/>
                <w:color w:val="auto"/>
              </w:rPr>
              <w:t>(36,440)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21"/>
              <w:spacing w:after="0" w:line="222" w:lineRule="exact"/>
              <w:rPr>
                <w:sz w:val="20"/>
                <w:szCs w:val="20"/>
                <w:color w:val="auto"/>
              </w:rPr>
            </w:pPr>
            <w:r>
              <w:rPr>
                <w:rFonts w:ascii="Arial" w:cs="Arial" w:eastAsia="Arial" w:hAnsi="Arial"/>
                <w:sz w:val="20"/>
                <w:szCs w:val="20"/>
                <w:b w:val="1"/>
                <w:bCs w:val="1"/>
                <w:color w:val="auto"/>
                <w:w w:val="71"/>
              </w:rPr>
              <w:t>$</w:t>
            </w:r>
          </w:p>
        </w:tc>
        <w:tc>
          <w:tcPr>
            <w:tcW w:w="86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b w:val="1"/>
                <w:bCs w:val="1"/>
                <w:color w:val="auto"/>
              </w:rPr>
              <w:t>(57,865)</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20" w:type="dxa"/>
            <w:vAlign w:val="bottom"/>
            <w:tcBorders>
              <w:bottom w:val="single" w:sz="8" w:color="CCEEFF"/>
            </w:tcBorders>
            <w:shd w:val="clear" w:color="auto" w:fill="CCEEFF"/>
          </w:tcPr>
          <w:p>
            <w:pPr>
              <w:spacing w:after="0" w:line="229" w:lineRule="exact"/>
              <w:rPr>
                <w:sz w:val="20"/>
                <w:szCs w:val="20"/>
                <w:color w:val="auto"/>
              </w:rPr>
            </w:pPr>
            <w:r>
              <w:rPr>
                <w:rFonts w:ascii="Arial" w:cs="Arial" w:eastAsia="Arial" w:hAnsi="Arial"/>
                <w:sz w:val="20"/>
                <w:szCs w:val="20"/>
                <w:b w:val="1"/>
                <w:bCs w:val="1"/>
                <w:color w:val="auto"/>
              </w:rPr>
              <w:t>Net loss per share—basic and diluted</w:t>
            </w:r>
          </w:p>
        </w:tc>
        <w:tc>
          <w:tcPr>
            <w:tcW w:w="1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0"/>
                <w:szCs w:val="20"/>
                <w:b w:val="1"/>
                <w:bCs w:val="1"/>
                <w:color w:val="auto"/>
                <w:w w:val="71"/>
              </w:rPr>
              <w:t>$</w:t>
            </w:r>
          </w:p>
        </w:tc>
        <w:tc>
          <w:tcPr>
            <w:tcW w:w="9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0"/>
                <w:szCs w:val="20"/>
                <w:b w:val="1"/>
                <w:bCs w:val="1"/>
                <w:color w:val="auto"/>
              </w:rPr>
              <w:t>(0.99)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1"/>
              <w:spacing w:after="0" w:line="229" w:lineRule="exact"/>
              <w:rPr>
                <w:sz w:val="20"/>
                <w:szCs w:val="20"/>
                <w:color w:val="auto"/>
              </w:rPr>
            </w:pPr>
            <w:r>
              <w:rPr>
                <w:rFonts w:ascii="Arial" w:cs="Arial" w:eastAsia="Arial" w:hAnsi="Arial"/>
                <w:sz w:val="20"/>
                <w:szCs w:val="20"/>
                <w:b w:val="1"/>
                <w:bCs w:val="1"/>
                <w:color w:val="auto"/>
                <w:w w:val="71"/>
              </w:rPr>
              <w:t>$</w:t>
            </w:r>
          </w:p>
        </w:tc>
        <w:tc>
          <w:tcPr>
            <w:tcW w:w="8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0"/>
                <w:szCs w:val="20"/>
                <w:b w:val="1"/>
                <w:bCs w:val="1"/>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5"/>
                <w:szCs w:val="15"/>
                <w:b w:val="1"/>
                <w:bCs w:val="1"/>
                <w:color w:val="auto"/>
              </w:rPr>
              <w:t>Weighted-average number of common shares used in net loss per share-</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36,988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35,932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line="202" w:lineRule="exact"/>
              <w:rPr>
                <w:sz w:val="20"/>
                <w:szCs w:val="20"/>
                <w:color w:val="auto"/>
              </w:rPr>
            </w:pPr>
            <w:r>
              <w:rPr>
                <w:rFonts w:ascii="Arial" w:cs="Arial" w:eastAsia="Arial" w:hAnsi="Arial"/>
                <w:sz w:val="20"/>
                <w:szCs w:val="20"/>
                <w:b w:val="1"/>
                <w:bCs w:val="1"/>
                <w:color w:val="auto"/>
              </w:rPr>
              <w:t>basic and diluted</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0"/>
        </w:trPr>
        <w:tc>
          <w:tcPr>
            <w:tcW w:w="6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60"/>
      </w:cols>
      <w:pgMar w:left="1420" w:top="43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1)"/>
      <w:numFmt w:val="decimal"/>
      <w:start w:val="7"/>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1)"/>
      <w:numFmt w:val="decimal"/>
      <w:start w:val="10"/>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1."/>
      <w:numFmt w:val="decimal"/>
      <w:start w:val="2"/>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1)"/>
      <w:numFmt w:val="decimal"/>
      <w:start w:val="7"/>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1."/>
      <w:numFmt w:val="decimal"/>
      <w:start w:val="1"/>
    </w:lvl>
    <w:lvl w:ilvl="1">
      <w:lvlJc w:val="left"/>
      <w:lvlText w:val="%2."/>
      <w:numFmt w:val="lowerLetter"/>
      <w:start w:val="1"/>
    </w:lvl>
  </w:abstractNum>
  <w:abstractNum w:abstractNumId="59">
    <w:nsid w:val="5F3534A4"/>
    <w:multiLevelType w:val="hybridMultilevel"/>
    <w:lvl w:ilvl="0">
      <w:lvlJc w:val="left"/>
      <w:lvlText w:val="%1."/>
      <w:numFmt w:val="decimal"/>
      <w:start w:val="3"/>
    </w:lvl>
    <w:lvl w:ilvl="1">
      <w:lvlJc w:val="left"/>
      <w:lvlText w:val="%2."/>
      <w:numFmt w:val="lowerLetter"/>
      <w:start w:val="1"/>
    </w:lvl>
  </w:abstractNum>
  <w:abstractNum w:abstractNumId="60">
    <w:nsid w:val="73A1821B"/>
    <w:multiLevelType w:val="hybridMultilevel"/>
    <w:lvl w:ilvl="0">
      <w:lvlJc w:val="left"/>
      <w:lvlText w:val="%1"/>
      <w:numFmt w:val="decimal"/>
      <w:start w:val="1"/>
    </w:lvl>
    <w:lvl w:ilvl="1">
      <w:lvlJc w:val="left"/>
      <w:lvlText w:val="%2."/>
      <w:numFmt w:val="lowerLetter"/>
      <w:start w:val="3"/>
    </w:lvl>
  </w:abstractNum>
  <w:abstractNum w:abstractNumId="61">
    <w:nsid w:val="7DE67713"/>
    <w:multiLevelType w:val="hybridMultilevel"/>
    <w:lvl w:ilvl="0">
      <w:lvlJc w:val="left"/>
      <w:lvlText w:val="%1."/>
      <w:numFmt w:val="decimal"/>
      <w:start w:val="5"/>
    </w:lvl>
    <w:lvl w:ilvl="1">
      <w:lvlJc w:val="left"/>
      <w:lvlText w:val="%2."/>
      <w:numFmt w:val="lowerLetter"/>
      <w:start w:val="1"/>
    </w:lvl>
  </w:abstractNum>
  <w:abstractNum w:abstractNumId="62">
    <w:nsid w:val="555C55B5"/>
    <w:multiLevelType w:val="hybridMultilevel"/>
    <w:lvl w:ilvl="0">
      <w:lvlJc w:val="left"/>
      <w:lvlText w:val="%1."/>
      <w:numFmt w:val="decimal"/>
      <w:start w:val="7"/>
    </w:lvl>
    <w:lvl w:ilvl="1">
      <w:lvlJc w:val="left"/>
      <w:lvlText w:val="%2."/>
      <w:numFmt w:val="lowerLetter"/>
      <w:start w:val="1"/>
    </w:lvl>
  </w:abstractNum>
  <w:abstractNum w:abstractNumId="63">
    <w:nsid w:val="3FA62ACA"/>
    <w:multiLevelType w:val="hybridMultilevel"/>
    <w:lvl w:ilvl="0">
      <w:lvlJc w:val="left"/>
      <w:lvlText w:val="%1"/>
      <w:numFmt w:val="decimal"/>
      <w:start w:val="1"/>
    </w:lvl>
    <w:lvl w:ilvl="1">
      <w:lvlJc w:val="left"/>
      <w:lvlText w:val="%2."/>
      <w:numFmt w:val="lowerLetter"/>
      <w:start w:val="3"/>
    </w:lvl>
  </w:abstractNum>
  <w:abstractNum w:abstractNumId="64">
    <w:nsid w:val="14FCE74E"/>
    <w:multiLevelType w:val="hybridMultilevel"/>
    <w:lvl w:ilvl="0">
      <w:lvlJc w:val="left"/>
      <w:lvlText w:val="%1."/>
      <w:numFmt w:val="decimal"/>
      <w:start w:val="8"/>
    </w:lvl>
    <w:lvl w:ilvl="1">
      <w:lvlJc w:val="left"/>
      <w:lvlText w:val="%2."/>
      <w:numFmt w:val="lowerLetter"/>
      <w:start w:val="1"/>
    </w:lvl>
  </w:abstractNum>
  <w:abstractNum w:abstractNumId="65">
    <w:nsid w:val="6A3DD3E8"/>
    <w:multiLevelType w:val="hybridMultilevel"/>
    <w:lvl w:ilvl="0">
      <w:lvlJc w:val="left"/>
      <w:lvlText w:val="%1."/>
      <w:numFmt w:val="decimal"/>
      <w:start w:val="1"/>
    </w:lvl>
  </w:abstractNum>
  <w:abstractNum w:abstractNumId="66">
    <w:nsid w:val="71C91298"/>
    <w:multiLevelType w:val="hybridMultilevel"/>
    <w:lvl w:ilvl="0">
      <w:lvlJc w:val="left"/>
      <w:lvlText w:val="%1."/>
      <w:numFmt w:val="decimal"/>
      <w:start w:val="1"/>
    </w:lvl>
  </w:abstractNum>
  <w:abstractNum w:abstractNumId="67">
    <w:nsid w:val="9DAF632"/>
    <w:multiLevelType w:val="hybridMultilevel"/>
    <w:lvl w:ilvl="0">
      <w:lvlJc w:val="left"/>
      <w:lvlText w:val="%1."/>
      <w:numFmt w:val="decimal"/>
      <w:start w:val="2"/>
    </w:lvl>
  </w:abstractNum>
  <w:abstractNum w:abstractNumId="68">
    <w:nsid w:val="53299938"/>
    <w:multiLevelType w:val="hybridMultilevel"/>
    <w:lvl w:ilvl="0">
      <w:lvlJc w:val="left"/>
      <w:lvlText w:val="%1."/>
      <w:numFmt w:val="decimal"/>
      <w:start w:val="4"/>
    </w:lvl>
  </w:abstractNum>
  <w:abstractNum w:abstractNumId="69">
    <w:nsid w:val="1FBFE8E0"/>
    <w:multiLevelType w:val="hybridMultilevel"/>
    <w:lvl w:ilvl="0">
      <w:lvlJc w:val="left"/>
      <w:lvlText w:val="(%1)"/>
      <w:numFmt w:val="lowerRoman"/>
      <w:start w:val="3"/>
    </w:lvl>
  </w:abstractNum>
  <w:abstractNum w:abstractNumId="70">
    <w:nsid w:val="5092CA79"/>
    <w:multiLevelType w:val="hybridMultilevel"/>
    <w:lvl w:ilvl="0">
      <w:lvlJc w:val="left"/>
      <w:lvlText w:val="%1."/>
      <w:numFmt w:val="decimal"/>
      <w:start w:val="5"/>
    </w:lvl>
    <w:lvl w:ilvl="1">
      <w:lvlJc w:val="left"/>
      <w:lvlText w:val="(%2)"/>
      <w:numFmt w:val="lowerRoman"/>
      <w:start w:val="1"/>
    </w:lvl>
  </w:abstractNum>
  <w:abstractNum w:abstractNumId="71">
    <w:nsid w:val="1D545C4D"/>
    <w:multiLevelType w:val="hybridMultilevel"/>
    <w:lvl w:ilvl="0">
      <w:lvlJc w:val="left"/>
      <w:lvlText w:val="%1."/>
      <w:numFmt w:val="decimal"/>
      <w:start w:val="6"/>
    </w:lvl>
  </w:abstractNum>
  <w:abstractNum w:abstractNumId="72">
    <w:nsid w:val="59ADEA3D"/>
    <w:multiLevelType w:val="hybridMultilevel"/>
    <w:lvl w:ilvl="0">
      <w:lvlJc w:val="left"/>
      <w:lvlText w:val="%1."/>
      <w:numFmt w:val="decimal"/>
      <w:start w:val="7"/>
    </w:lvl>
  </w:abstractNum>
  <w:abstractNum w:abstractNumId="73">
    <w:nsid w:val="288F1A34"/>
    <w:multiLevelType w:val="hybridMultilevel"/>
    <w:lvl w:ilvl="0">
      <w:lvlJc w:val="left"/>
      <w:lvlText w:val="%1."/>
      <w:numFmt w:val="decimal"/>
      <w:start w:val="8"/>
    </w:lvl>
  </w:abstractNum>
  <w:abstractNum w:abstractNumId="74">
    <w:nsid w:val="2A155DBC"/>
    <w:multiLevelType w:val="hybridMultilevel"/>
    <w:lvl w:ilvl="0">
      <w:lvlJc w:val="left"/>
      <w:lvlText w:val="%1."/>
      <w:numFmt w:val="decimal"/>
      <w:start w:val="1"/>
    </w:lvl>
  </w:abstractNum>
  <w:abstractNum w:abstractNumId="75">
    <w:nsid w:val="1D9F6E5F"/>
    <w:multiLevelType w:val="hybridMultilevel"/>
    <w:lvl w:ilvl="0">
      <w:lvlJc w:val="left"/>
      <w:lvlText w:val="%1."/>
      <w:numFmt w:val="decimal"/>
      <w:start w:val="2"/>
    </w:lvl>
  </w:abstractNum>
  <w:abstractNum w:abstractNumId="76">
    <w:nsid w:val="97E1B4E"/>
    <w:multiLevelType w:val="hybridMultilevel"/>
    <w:lvl w:ilvl="0">
      <w:lvlJc w:val="left"/>
      <w:lvlText w:val="(%1)"/>
      <w:numFmt w:val="lowerLetter"/>
      <w:start w:val="3"/>
    </w:lvl>
  </w:abstractNum>
  <w:abstractNum w:abstractNumId="77">
    <w:nsid w:val="51088277"/>
    <w:multiLevelType w:val="hybridMultilevel"/>
    <w:lvl w:ilvl="0">
      <w:lvlJc w:val="left"/>
      <w:lvlText w:val="(%1)"/>
      <w:numFmt w:val="lowerLetter"/>
      <w:start w:val="2"/>
    </w:lvl>
  </w:abstractNum>
  <w:abstractNum w:abstractNumId="78">
    <w:nsid w:val="1CA0C5FA"/>
    <w:multiLevelType w:val="hybridMultilevel"/>
    <w:lvl w:ilvl="0">
      <w:lvlJc w:val="left"/>
      <w:lvlText w:val="(%1)"/>
      <w:numFmt w:val="lowerLetter"/>
      <w:start w:val="1"/>
    </w:lvl>
  </w:abstractNum>
  <w:abstractNum w:abstractNumId="79">
    <w:nsid w:val="53584BCB"/>
    <w:multiLevelType w:val="hybridMultilevel"/>
    <w:lvl w:ilvl="0">
      <w:lvlJc w:val="left"/>
      <w:lvlText w:val="(%1)"/>
      <w:numFmt w:val="lowerLetter"/>
      <w:start w:val="1"/>
    </w:lvl>
    <w:lvl w:ilvl="1">
      <w:lvlJc w:val="left"/>
      <w:lvlText w:val="-"/>
      <w:numFmt w:val="bullet"/>
      <w:start w:val="1"/>
    </w:lvl>
  </w:abstractNum>
  <w:abstractNum w:abstractNumId="80">
    <w:nsid w:val="415E286C"/>
    <w:multiLevelType w:val="hybridMultilevel"/>
    <w:lvl w:ilvl="0">
      <w:lvlJc w:val="left"/>
      <w:lvlText w:val="(%1)"/>
      <w:numFmt w:val="lowerRoman"/>
      <w:start w:val="2"/>
    </w:lvl>
  </w:abstractNum>
  <w:abstractNum w:abstractNumId="81">
    <w:nsid w:val="7C58FD05"/>
    <w:multiLevelType w:val="hybridMultilevel"/>
    <w:lvl w:ilvl="0">
      <w:lvlJc w:val="left"/>
      <w:lvlText w:val="(%1)"/>
      <w:numFmt w:val="lowerLetter"/>
      <w:start w:val="26"/>
    </w:lvl>
  </w:abstractNum>
  <w:abstractNum w:abstractNumId="82">
    <w:nsid w:val="23D86AAC"/>
    <w:multiLevelType w:val="hybridMultilevel"/>
    <w:lvl w:ilvl="0">
      <w:lvlJc w:val="left"/>
      <w:lvlText w:val="(%1)"/>
      <w:numFmt w:val="lowerRoman"/>
      <w:start w:val="2"/>
    </w:lvl>
  </w:abstractNum>
  <w:abstractNum w:abstractNumId="83">
    <w:nsid w:val="45E6D486"/>
    <w:multiLevelType w:val="hybridMultilevel"/>
    <w:lvl w:ilvl="0">
      <w:lvlJc w:val="left"/>
      <w:lvlText w:val="(%1)"/>
      <w:numFmt w:val="lowerLetter"/>
      <w:start w:val="3"/>
    </w:lvl>
  </w:abstractNum>
  <w:abstractNum w:abstractNumId="84">
    <w:nsid w:val="5C10FE21"/>
    <w:multiLevelType w:val="hybridMultilevel"/>
    <w:lvl w:ilvl="0">
      <w:lvlJc w:val="left"/>
      <w:lvlText w:val="(%1)"/>
      <w:numFmt w:val="lowerLetter"/>
      <w:start w:val="1"/>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1)"/>
      <w:numFmt w:val="lowerLetter"/>
      <w:start w:val="26"/>
    </w:lvl>
  </w:abstractNum>
  <w:abstractNum w:abstractNumId="87">
    <w:nsid w:val="4BD8591A"/>
    <w:multiLevelType w:val="hybridMultilevel"/>
    <w:lvl w:ilvl="0">
      <w:lvlJc w:val="left"/>
      <w:lvlText w:val="(%1)"/>
      <w:numFmt w:val="lowerLetter"/>
      <w:start w:val="3"/>
    </w:lvl>
    <w:lvl w:ilvl="1">
      <w:lvlJc w:val="left"/>
      <w:lvlText w:val="-"/>
      <w:numFmt w:val="bullet"/>
      <w:start w:val="1"/>
    </w:lvl>
  </w:abstractNum>
  <w:abstractNum w:abstractNumId="88">
    <w:nsid w:val="78DF6A55"/>
    <w:multiLevelType w:val="hybridMultilevel"/>
    <w:lvl w:ilvl="0">
      <w:lvlJc w:val="left"/>
      <w:lvlText w:val="(%1)"/>
      <w:numFmt w:val="lowerRoman"/>
      <w:start w:val="1"/>
    </w:lvl>
  </w:abstractNum>
  <w:abstractNum w:abstractNumId="89">
    <w:nsid w:val="39B7AAA2"/>
    <w:multiLevelType w:val="hybridMultilevel"/>
    <w:lvl w:ilvl="0">
      <w:lvlJc w:val="left"/>
      <w:lvlText w:val="%1."/>
      <w:numFmt w:val="upperLetter"/>
      <w:start w:val="1"/>
    </w:lvl>
  </w:abstractNum>
  <w:abstractNum w:abstractNumId="90">
    <w:nsid w:val="2B0D8DBE"/>
    <w:multiLevelType w:val="hybridMultilevel"/>
    <w:lvl w:ilvl="0">
      <w:lvlJc w:val="left"/>
      <w:lvlText w:val="(%1)"/>
      <w:numFmt w:val="lowerLetter"/>
      <w:start w:val="2"/>
    </w:lvl>
  </w:abstractNum>
  <w:abstractNum w:abstractNumId="91">
    <w:nsid w:val="6C80EC70"/>
    <w:multiLevelType w:val="hybridMultilevel"/>
    <w:lvl w:ilvl="0">
      <w:lvlJc w:val="left"/>
      <w:lvlText w:val="(%1)"/>
      <w:numFmt w:val="upperLetter"/>
      <w:start w:val="1"/>
    </w:lvl>
  </w:abstractNum>
  <w:abstractNum w:abstractNumId="92">
    <w:nsid w:val="379E21B5"/>
    <w:multiLevelType w:val="hybridMultilevel"/>
    <w:lvl w:ilvl="0">
      <w:lvlJc w:val="left"/>
      <w:lvlText w:val="(%1)"/>
      <w:numFmt w:val="lowerRoman"/>
      <w:start w:val="2"/>
    </w:lvl>
  </w:abstractNum>
  <w:abstractNum w:abstractNumId="93">
    <w:nsid w:val="69E373"/>
    <w:multiLevelType w:val="hybridMultilevel"/>
    <w:lvl w:ilvl="0">
      <w:lvlJc w:val="left"/>
      <w:lvlText w:val="(%1)"/>
      <w:numFmt w:val="lowerRoman"/>
      <w:start w:val="7"/>
    </w:lvl>
  </w:abstractNum>
  <w:abstractNum w:abstractNumId="94">
    <w:nsid w:val="2C27173B"/>
    <w:multiLevelType w:val="hybridMultilevel"/>
    <w:lvl w:ilvl="0">
      <w:lvlJc w:val="left"/>
      <w:lvlText w:val="(%1)"/>
      <w:numFmt w:val="lowerLetter"/>
      <w:start w:val="1"/>
    </w:lvl>
  </w:abstractNum>
  <w:abstractNum w:abstractNumId="95">
    <w:nsid w:val="4C9B0904"/>
    <w:multiLevelType w:val="hybridMultilevel"/>
    <w:lvl w:ilvl="0">
      <w:lvlJc w:val="left"/>
      <w:lvlText w:val="%1"/>
      <w:numFmt w:val="lowerLetter"/>
      <w:start w:val="1"/>
    </w:lvl>
    <w:lvl w:ilvl="1">
      <w:lvlJc w:val="left"/>
      <w:lvlText w:val="(%2)"/>
      <w:numFmt w:val="lowerLetter"/>
      <w:start w:val="2"/>
    </w:lvl>
  </w:abstractNum>
  <w:abstractNum w:abstractNumId="96">
    <w:nsid w:val="6AA7B75C"/>
    <w:multiLevelType w:val="hybridMultilevel"/>
    <w:lvl w:ilvl="0">
      <w:lvlJc w:val="left"/>
      <w:lvlText w:val="(%1)"/>
      <w:numFmt w:val="lowerLetter"/>
      <w:start w:val="9"/>
    </w:lvl>
    <w:lvl w:ilvl="1">
      <w:lvlJc w:val="left"/>
      <w:lvlText w:val="(%2)"/>
      <w:numFmt w:val="lowerLetter"/>
      <w:start w:val="3"/>
    </w:lvl>
  </w:abstractNum>
  <w:abstractNum w:abstractNumId="97">
    <w:nsid w:val="1DF029D3"/>
    <w:multiLevelType w:val="hybridMultilevel"/>
    <w:lvl w:ilvl="0">
      <w:lvlJc w:val="left"/>
      <w:lvlText w:val="(%1)"/>
      <w:numFmt w:val="lowerLetter"/>
      <w:start w:val="1"/>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4"/>
    </w:lvl>
  </w:abstractNum>
  <w:abstractNum w:abstractNumId="101">
    <w:nsid w:val="2708C9AF"/>
    <w:multiLevelType w:val="hybridMultilevel"/>
    <w:lvl w:ilvl="0">
      <w:lvlJc w:val="left"/>
      <w:lvlText w:val="(%1)"/>
      <w:numFmt w:val="lowerRoman"/>
      <w:start w:val="2"/>
    </w:lvl>
  </w:abstractNum>
  <w:abstractNum w:abstractNumId="102">
    <w:nsid w:val="5B25ACE2"/>
    <w:multiLevelType w:val="hybridMultilevel"/>
    <w:lvl w:ilvl="0">
      <w:lvlJc w:val="left"/>
      <w:lvlText w:val="(%1)"/>
      <w:numFmt w:val="lowerLetter"/>
      <w:start w:val="1"/>
    </w:lvl>
  </w:abstractNum>
  <w:abstractNum w:abstractNumId="103">
    <w:nsid w:val="175DFCF0"/>
    <w:multiLevelType w:val="hybridMultilevel"/>
    <w:lvl w:ilvl="0">
      <w:lvlJc w:val="left"/>
      <w:lvlText w:val="(%1)"/>
      <w:numFmt w:val="lowerLetter"/>
      <w:start w:val="4"/>
    </w:lvl>
  </w:abstractNum>
  <w:abstractNum w:abstractNumId="104">
    <w:nsid w:val="4F97E3E4"/>
    <w:multiLevelType w:val="hybridMultilevel"/>
    <w:lvl w:ilvl="0">
      <w:lvlJc w:val="left"/>
      <w:lvlText w:val="(%1)"/>
      <w:numFmt w:val="lowerRoman"/>
      <w:start w:val="3"/>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1)"/>
      <w:numFmt w:val="lowerLetter"/>
      <w:start w:val="2"/>
    </w:lvl>
  </w:abstractNum>
  <w:abstractNum w:abstractNumId="107">
    <w:nsid w:val="5915FF32"/>
    <w:multiLevelType w:val="hybridMultilevel"/>
    <w:lvl w:ilvl="0">
      <w:lvlJc w:val="left"/>
      <w:lvlText w:val="(%1)"/>
      <w:numFmt w:val="lowerLetter"/>
      <w:start w:val="3"/>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lowerLetter"/>
      <w:start w:val="1"/>
    </w:lvl>
  </w:abstractNum>
  <w:abstractNum w:abstractNumId="110">
    <w:nsid w:val="2C6E4AFD"/>
    <w:multiLevelType w:val="hybridMultilevel"/>
    <w:lvl w:ilvl="0">
      <w:lvlJc w:val="left"/>
      <w:lvlText w:val="(%1)"/>
      <w:numFmt w:val="lowerLetter"/>
      <w:start w:val="1"/>
    </w:lvl>
  </w:abstractNum>
  <w:abstractNum w:abstractNumId="111">
    <w:nsid w:val="17A1B582"/>
    <w:multiLevelType w:val="hybridMultilevel"/>
    <w:lvl w:ilvl="0">
      <w:lvlJc w:val="left"/>
      <w:lvlText w:val="(%1)"/>
      <w:numFmt w:val="lowerLetter"/>
      <w:start w:val="2"/>
    </w:lvl>
  </w:abstractNum>
  <w:abstractNum w:abstractNumId="112">
    <w:nsid w:val="4DF72E4E"/>
    <w:multiLevelType w:val="hybridMultilevel"/>
    <w:lvl w:ilvl="0">
      <w:lvlJc w:val="left"/>
      <w:lvlText w:val="(%1)"/>
      <w:numFmt w:val="lowerLetter"/>
      <w:start w:val="2"/>
    </w:lvl>
  </w:abstractNum>
  <w:abstractNum w:abstractNumId="113">
    <w:nsid w:val="5046B5A9"/>
    <w:multiLevelType w:val="hybridMultilevel"/>
    <w:lvl w:ilvl="0">
      <w:lvlJc w:val="left"/>
      <w:lvlText w:val="(%1)"/>
      <w:numFmt w:val="lowerLetter"/>
      <w:start w:val="1"/>
    </w:lvl>
  </w:abstractNum>
  <w:abstractNum w:abstractNumId="114">
    <w:nsid w:val="5D888A08"/>
    <w:multiLevelType w:val="hybridMultilevel"/>
    <w:lvl w:ilvl="0">
      <w:lvlJc w:val="left"/>
      <w:lvlText w:val="(%1)"/>
      <w:numFmt w:val="lowerRoman"/>
      <w:start w:val="1"/>
    </w:lvl>
  </w:abstractNum>
  <w:abstractNum w:abstractNumId="115">
    <w:nsid w:val="2A082C7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16">
    <w:nsid w:val="5EC6AFD4"/>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17">
    <w:nsid w:val="19E21BB2"/>
    <w:multiLevelType w:val="hybridMultilevel"/>
    <w:lvl w:ilvl="0">
      <w:lvlJc w:val="left"/>
      <w:lvlText w:val="(%1)"/>
      <w:numFmt w:val="lowerRoman"/>
      <w:start w:val="4"/>
    </w:lvl>
    <w:lvl w:ilvl="1">
      <w:lvlJc w:val="left"/>
      <w:lvlText w:val="(%2)"/>
      <w:numFmt w:val="lowerLetter"/>
      <w:start w:val="7"/>
    </w:lvl>
    <w:lvl w:ilvl="2">
      <w:lvlJc w:val="left"/>
      <w:lvlText w:val="%3"/>
      <w:numFmt w:val="lowerRoman"/>
      <w:start w:val="1"/>
    </w:lvl>
  </w:abstractNum>
  <w:abstractNum w:abstractNumId="118">
    <w:nsid w:val="75E0858A"/>
    <w:multiLevelType w:val="hybridMultilevel"/>
    <w:lvl w:ilvl="0">
      <w:lvlJc w:val="left"/>
      <w:lvlText w:val="%1."/>
      <w:numFmt w:val="decimal"/>
      <w:start w:val="1"/>
    </w:lvl>
  </w:abstractNum>
  <w:abstractNum w:abstractNumId="119">
    <w:nsid w:val="57A61A29"/>
    <w:multiLevelType w:val="hybridMultilevel"/>
    <w:lvl w:ilvl="0">
      <w:lvlJc w:val="left"/>
      <w:lvlText w:val="%1."/>
      <w:numFmt w:val="decimal"/>
      <w:start w:val="2"/>
    </w:lvl>
  </w:abstractNum>
  <w:abstractNum w:abstractNumId="120">
    <w:nsid w:val="5399C654"/>
    <w:multiLevelType w:val="hybridMultilevel"/>
    <w:lvl w:ilvl="0">
      <w:lvlJc w:val="left"/>
      <w:lvlText w:val="%1."/>
      <w:numFmt w:val="decimal"/>
      <w:start w:val="3"/>
    </w:lvl>
  </w:abstractNum>
  <w:abstractNum w:abstractNumId="121">
    <w:nsid w:val="20EE1348"/>
    <w:multiLevelType w:val="hybridMultilevel"/>
    <w:lvl w:ilvl="0">
      <w:lvlJc w:val="left"/>
      <w:lvlText w:val="%1."/>
      <w:numFmt w:val="upperLetter"/>
      <w:start w:val="1"/>
    </w:lvl>
  </w:abstractNum>
  <w:abstractNum w:abstractNumId="122">
    <w:nsid w:val="4427069A"/>
    <w:multiLevelType w:val="hybridMultilevel"/>
    <w:lvl w:ilvl="0">
      <w:lvlJc w:val="left"/>
      <w:lvlText w:val="%1."/>
      <w:numFmt w:val="decimal"/>
      <w:start w:val="1"/>
    </w:lvl>
  </w:abstractNum>
  <w:abstractNum w:abstractNumId="123">
    <w:nsid w:val="B37E80A"/>
    <w:multiLevelType w:val="hybridMultilevel"/>
    <w:lvl w:ilvl="0">
      <w:lvlJc w:val="left"/>
      <w:lvlText w:val="%1."/>
      <w:numFmt w:val="decimal"/>
      <w:start w:val="3"/>
    </w:lvl>
  </w:abstractNum>
  <w:abstractNum w:abstractNumId="124">
    <w:nsid w:val="2157F6BC"/>
    <w:multiLevelType w:val="hybridMultilevel"/>
    <w:lvl w:ilvl="0">
      <w:lvlJc w:val="left"/>
      <w:lvlText w:val="(%1)"/>
      <w:numFmt w:val="decimal"/>
      <w:start w:val="1"/>
    </w:lvl>
  </w:abstractNum>
  <w:abstractNum w:abstractNumId="125">
    <w:nsid w:val="704E1DD5"/>
    <w:multiLevelType w:val="hybridMultilevel"/>
    <w:lvl w:ilvl="0">
      <w:lvlJc w:val="left"/>
      <w:lvlText w:val="(%1)"/>
      <w:numFmt w:val="decimal"/>
      <w:start w:val="3"/>
    </w:lvl>
  </w:abstractNum>
  <w:abstractNum w:abstractNumId="126">
    <w:nsid w:val="57D2F10E"/>
    <w:multiLevelType w:val="hybridMultilevel"/>
    <w:lvl w:ilvl="0">
      <w:lvlJc w:val="left"/>
      <w:lvlText w:val="(%1)"/>
      <w:numFmt w:val="decimal"/>
      <w:start w:val="5"/>
    </w:lvl>
  </w:abstractNum>
  <w:abstractNum w:abstractNumId="127">
    <w:nsid w:val="BFFAE18"/>
    <w:multiLevelType w:val="hybridMultilevel"/>
    <w:lvl w:ilvl="0">
      <w:lvlJc w:val="left"/>
      <w:lvlText w:val="%1."/>
      <w:numFmt w:val="decimal"/>
      <w:start w:val="1"/>
    </w:lvl>
    <w:lvl w:ilvl="1">
      <w:lvlJc w:val="left"/>
      <w:lvlText w:val="%2)"/>
      <w:numFmt w:val="lowerLetter"/>
      <w:start w:val="1"/>
    </w:lvl>
  </w:abstractNum>
  <w:abstractNum w:abstractNumId="128">
    <w:nsid w:val="E3E47A8"/>
    <w:multiLevelType w:val="hybridMultilevel"/>
    <w:lvl w:ilvl="0">
      <w:lvlJc w:val="left"/>
      <w:lvlText w:val="%1."/>
      <w:numFmt w:val="decimal"/>
      <w:start w:val="1"/>
    </w:lvl>
    <w:lvl w:ilvl="1">
      <w:lvlJc w:val="left"/>
      <w:lvlText w:val="%2)"/>
      <w:numFmt w:val="lowerLetter"/>
      <w:start w:val="1"/>
    </w:lvl>
  </w:abstractNum>
  <w:abstractNum w:abstractNumId="129">
    <w:nsid w:val="2E48F044"/>
    <w:multiLevelType w:val="hybridMultilevel"/>
    <w:lvl w:ilvl="0">
      <w:lvlJc w:val="left"/>
      <w:lvlText w:val="(%1)"/>
      <w:numFmt w:val="decimal"/>
      <w:start w:val="1"/>
    </w:lvl>
  </w:abstractNum>
  <w:abstractNum w:abstractNumId="130">
    <w:nsid w:val="49D0FEAC"/>
    <w:multiLevelType w:val="hybridMultilevel"/>
    <w:lvl w:ilvl="0">
      <w:lvlJc w:val="left"/>
      <w:lvlText w:val="(%1)"/>
      <w:numFmt w:val="decimal"/>
      <w:start w:val="1"/>
    </w:lvl>
  </w:abstractNum>
  <w:abstractNum w:abstractNumId="131">
    <w:nsid w:val="4BEE5A5B"/>
    <w:multiLevelType w:val="hybridMultilevel"/>
    <w:lvl w:ilvl="0">
      <w:lvlJc w:val="left"/>
      <w:lvlText w:val="·"/>
      <w:numFmt w:val="bullet"/>
      <w:start w:val="1"/>
    </w:lvl>
  </w:abstractNum>
  <w:abstractNum w:abstractNumId="132">
    <w:nsid w:val="5551B9F3"/>
    <w:multiLevelType w:val="hybridMultilevel"/>
    <w:lvl w:ilvl="0">
      <w:lvlJc w:val="left"/>
      <w:lvlText w:val="·"/>
      <w:numFmt w:val="bullet"/>
      <w:start w:val="1"/>
    </w:lvl>
  </w:abstractNum>
  <w:abstractNum w:abstractNumId="133">
    <w:nsid w:val="24F6AB8E"/>
    <w:multiLevelType w:val="hybridMultilevel"/>
    <w:lvl w:ilvl="0">
      <w:lvlJc w:val="left"/>
      <w:lvlText w:val="·"/>
      <w:numFmt w:val="bullet"/>
      <w:start w:val="1"/>
    </w:lvl>
  </w:abstractNum>
  <w:abstractNum w:abstractNumId="134">
    <w:nsid w:val="634C574C"/>
    <w:multiLevelType w:val="hybridMultilevel"/>
    <w:lvl w:ilvl="0">
      <w:lvlJc w:val="left"/>
      <w:lvlText w:val="·"/>
      <w:numFmt w:val="bullet"/>
      <w:start w:val="1"/>
    </w:lvl>
  </w:abstractNum>
  <w:abstractNum w:abstractNumId="135">
    <w:nsid w:val="24E99DD7"/>
    <w:multiLevelType w:val="hybridMultilevel"/>
    <w:lvl w:ilvl="0">
      <w:lvlJc w:val="left"/>
      <w:lvlText w:val="o"/>
      <w:numFmt w:val="bullet"/>
      <w:start w:val="1"/>
    </w:lvl>
  </w:abstractNum>
  <w:abstractNum w:abstractNumId="136">
    <w:nsid w:val="2A31B62D"/>
    <w:multiLevelType w:val="hybridMultilevel"/>
    <w:lvl w:ilvl="0">
      <w:lvlJc w:val="left"/>
      <w:lvlText w:val="·"/>
      <w:numFmt w:val="bullet"/>
      <w:start w:val="1"/>
    </w:lvl>
  </w:abstractNum>
  <w:abstractNum w:abstractNumId="137">
    <w:nsid w:val="1849C29B"/>
    <w:multiLevelType w:val="hybridMultilevel"/>
    <w:lvl w:ilvl="0">
      <w:lvlJc w:val="left"/>
      <w:lvlText w:val="1"/>
      <w:numFmt w:val="bullet"/>
      <w:start w:val="1"/>
    </w:lvl>
  </w:abstractNum>
  <w:abstractNum w:abstractNumId="138">
    <w:nsid w:val="7DFF9D09"/>
    <w:multiLevelType w:val="hybridMultilevel"/>
    <w:lvl w:ilvl="0">
      <w:lvlJc w:val="left"/>
      <w:lvlText w:val="$"/>
      <w:numFmt w:val="bullet"/>
      <w:start w:val="1"/>
    </w:lvl>
  </w:abstractNum>
  <w:abstractNum w:abstractNumId="139">
    <w:nsid w:val="754342"/>
    <w:multiLevelType w:val="hybridMultilevel"/>
    <w:lvl w:ilvl="0">
      <w:lvlJc w:val="left"/>
      <w:lvlText w:val="$"/>
      <w:numFmt w:val="bullet"/>
      <w:start w:val="1"/>
    </w:lvl>
  </w:abstractNum>
  <w:abstractNum w:abstractNumId="140">
    <w:nsid w:val="69E7F3E5"/>
    <w:multiLevelType w:val="hybridMultilevel"/>
    <w:lvl w:ilvl="0">
      <w:lvlJc w:val="left"/>
      <w:lvlText w:val="$"/>
      <w:numFmt w:val="bullet"/>
      <w:start w:val="1"/>
    </w:lvl>
  </w:abstractNum>
  <w:abstractNum w:abstractNumId="141">
    <w:nsid w:val="2A6DE80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2019-12-29T06:51:43Z</dcterms:created>
  <dcterms:modified xsi:type="dcterms:W3CDTF">2019-12-29T06:51:43Z</dcterms:modified>
</cp:coreProperties>
</file>