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5,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Verastem,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80" w:type="dxa"/>
            <w:vAlign w:val="bottom"/>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27-3269467</w:t>
            </w:r>
          </w:p>
        </w:tc>
      </w:tr>
      <w:tr>
        <w:trPr>
          <w:trHeight w:val="21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80" w:type="dxa"/>
            <w:vAlign w:val="bottom"/>
          </w:tcPr>
          <w:p>
            <w:pPr>
              <w:jc w:val="center"/>
              <w:ind w:left="285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233"/>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incorporation or organization)</w:t>
            </w:r>
          </w:p>
        </w:tc>
        <w:tc>
          <w:tcPr>
            <w:tcW w:w="5480" w:type="dxa"/>
            <w:vAlign w:val="bottom"/>
          </w:tcPr>
          <w:p>
            <w:pPr>
              <w:spacing w:after="0"/>
              <w:rPr>
                <w:sz w:val="20"/>
                <w:szCs w:val="20"/>
                <w:color w:val="auto"/>
              </w:rPr>
            </w:pPr>
          </w:p>
        </w:tc>
      </w:tr>
      <w:tr>
        <w:trPr>
          <w:trHeight w:val="405"/>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117 Kendrick St., Suite 500</w:t>
            </w:r>
          </w:p>
        </w:tc>
        <w:tc>
          <w:tcPr>
            <w:tcW w:w="5480" w:type="dxa"/>
            <w:vAlign w:val="bottom"/>
          </w:tcPr>
          <w:p>
            <w:pPr>
              <w:spacing w:after="0"/>
              <w:rPr>
                <w:sz w:val="24"/>
                <w:szCs w:val="24"/>
                <w:color w:val="auto"/>
              </w:rPr>
            </w:pPr>
          </w:p>
        </w:tc>
      </w:tr>
      <w:tr>
        <w:trPr>
          <w:trHeight w:val="21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Needham, MA</w:t>
            </w:r>
          </w:p>
        </w:tc>
        <w:tc>
          <w:tcPr>
            <w:tcW w:w="5480" w:type="dxa"/>
            <w:vAlign w:val="bottom"/>
          </w:tcPr>
          <w:p>
            <w:pPr>
              <w:jc w:val="right"/>
              <w:ind w:right="951"/>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233"/>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5480" w:type="dxa"/>
            <w:vAlign w:val="bottom"/>
          </w:tcPr>
          <w:p>
            <w:pPr>
              <w:jc w:val="center"/>
              <w:ind w:left="2851"/>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09"/>
        </w:trPr>
        <w:tc>
          <w:tcPr>
            <w:tcW w:w="2960" w:type="dxa"/>
            <w:vAlign w:val="bottom"/>
          </w:tcPr>
          <w:p>
            <w:pPr>
              <w:spacing w:after="0"/>
              <w:rPr>
                <w:sz w:val="24"/>
                <w:szCs w:val="24"/>
                <w:color w:val="auto"/>
              </w:rPr>
            </w:pPr>
          </w:p>
        </w:tc>
        <w:tc>
          <w:tcPr>
            <w:tcW w:w="5480" w:type="dxa"/>
            <w:vAlign w:val="bottom"/>
          </w:tcPr>
          <w:p>
            <w:pPr>
              <w:jc w:val="center"/>
              <w:ind w:right="2711"/>
              <w:spacing w:after="0"/>
              <w:rPr>
                <w:sz w:val="20"/>
                <w:szCs w:val="20"/>
                <w:color w:val="auto"/>
              </w:rPr>
            </w:pPr>
            <w:r>
              <w:rPr>
                <w:rFonts w:ascii="Times New Roman" w:cs="Times New Roman" w:eastAsia="Times New Roman" w:hAnsi="Times New Roman"/>
                <w:sz w:val="18"/>
                <w:szCs w:val="18"/>
                <w:b w:val="1"/>
                <w:bCs w:val="1"/>
                <w:color w:val="auto"/>
                <w:w w:val="98"/>
              </w:rPr>
              <w:t>2014 Inducement Award Program</w:t>
            </w:r>
          </w:p>
        </w:tc>
      </w:tr>
      <w:tr>
        <w:trPr>
          <w:trHeight w:val="233"/>
        </w:trPr>
        <w:tc>
          <w:tcPr>
            <w:tcW w:w="2960" w:type="dxa"/>
            <w:vAlign w:val="bottom"/>
          </w:tcPr>
          <w:p>
            <w:pPr>
              <w:spacing w:after="0"/>
              <w:rPr>
                <w:sz w:val="20"/>
                <w:szCs w:val="20"/>
                <w:color w:val="auto"/>
              </w:rPr>
            </w:pPr>
          </w:p>
        </w:tc>
        <w:tc>
          <w:tcPr>
            <w:tcW w:w="5480" w:type="dxa"/>
            <w:vAlign w:val="bottom"/>
          </w:tcPr>
          <w:p>
            <w:pPr>
              <w:jc w:val="center"/>
              <w:ind w:right="2691"/>
              <w:spacing w:after="0"/>
              <w:rPr>
                <w:sz w:val="20"/>
                <w:szCs w:val="20"/>
                <w:color w:val="auto"/>
              </w:rPr>
            </w:pPr>
            <w:r>
              <w:rPr>
                <w:rFonts w:ascii="Times New Roman" w:cs="Times New Roman" w:eastAsia="Times New Roman" w:hAnsi="Times New Roman"/>
                <w:sz w:val="18"/>
                <w:szCs w:val="18"/>
                <w:color w:val="auto"/>
                <w:w w:val="99"/>
              </w:rPr>
              <w:t>(Full title of the plan)</w:t>
            </w:r>
          </w:p>
        </w:tc>
      </w:tr>
    </w:tbl>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Daniel Paterson</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Verastem, Inc.</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117 Kendrick St., Suite 500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Needham, MA 02494</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292-4200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Marko S. Zatylny</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Boston, MA 02199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(617) 951-7000</w:t>
      </w:r>
    </w:p>
    <w:p>
      <w:pPr>
        <w:spacing w:after="0" w:line="202" w:lineRule="exact"/>
        <w:rPr>
          <w:sz w:val="24"/>
          <w:szCs w:val="24"/>
          <w:color w:val="auto"/>
        </w:rPr>
      </w:pPr>
    </w:p>
    <w:p>
      <w:pPr>
        <w:ind w:right="160" w:firstLine="32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464" w:right="319" w:bottom="1440" w:gutter="0" w:footer="0" w:header="0"/>
        </w:sectPr>
      </w:pPr>
    </w:p>
    <w:p>
      <w:pPr>
        <w:spacing w:after="0" w:line="136" w:lineRule="exact"/>
        <w:rPr>
          <w:sz w:val="24"/>
          <w:szCs w:val="24"/>
          <w:color w:val="auto"/>
        </w:rPr>
      </w:pPr>
    </w:p>
    <w:p>
      <w:pPr>
        <w:ind w:left="16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9" w:lineRule="exact"/>
        <w:rPr>
          <w:sz w:val="24"/>
          <w:szCs w:val="24"/>
          <w:color w:val="auto"/>
        </w:rPr>
      </w:pPr>
    </w:p>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9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7" w:lineRule="exact"/>
        <w:rPr>
          <w:sz w:val="24"/>
          <w:szCs w:val="24"/>
          <w:color w:val="auto"/>
        </w:rPr>
      </w:pPr>
    </w:p>
    <w:p>
      <w:pPr>
        <w:jc w:val="center"/>
        <w:ind w:right="196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 w:lineRule="exact"/>
        <w:rPr>
          <w:sz w:val="24"/>
          <w:szCs w:val="24"/>
          <w:color w:val="auto"/>
        </w:rPr>
      </w:pPr>
    </w:p>
    <w:p>
      <w:pPr>
        <w:jc w:val="center"/>
        <w:ind w:right="19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420" w:space="720"/>
            <w:col w:w="4120"/>
          </w:cols>
          <w:pgMar w:left="320" w:top="464" w:right="319" w:bottom="1440" w:gutter="0" w:footer="0" w:header="0"/>
          <w:type w:val="continuous"/>
        </w:sectPr>
      </w:pPr>
    </w:p>
    <w:p>
      <w:pPr>
        <w:spacing w:after="0" w:line="12" w:lineRule="exact"/>
        <w:rPr>
          <w:sz w:val="24"/>
          <w:szCs w:val="24"/>
          <w:color w:val="auto"/>
        </w:rPr>
      </w:pPr>
    </w:p>
    <w:p>
      <w:pPr>
        <w:ind w:right="320" w:firstLine="321"/>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464" w:right="31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firstLine="641"/>
        <w:spacing w:after="0" w:line="268" w:lineRule="auto"/>
        <w:rPr>
          <w:sz w:val="20"/>
          <w:szCs w:val="20"/>
          <w:color w:val="auto"/>
        </w:rPr>
      </w:pPr>
      <w:r>
        <w:rPr>
          <w:rFonts w:ascii="Times New Roman" w:cs="Times New Roman" w:eastAsia="Times New Roman" w:hAnsi="Times New Roman"/>
          <w:sz w:val="17"/>
          <w:szCs w:val="17"/>
          <w:color w:val="auto"/>
        </w:rPr>
        <w:t>This Registration Statement on Form S-8 is being filed to register an additional 500,000 shares under the Registrant’s 2014 Inducement Award Program. Pursuant to General Instruction E to Form S-8, the Registrant incorporates by reference, except to the extent supplemented, amended or superseded by the information set forth herein, into this Registration Statement the entire contents of its Registration Statements on Form S-8 (File Nos. 333-201075, 333-218768, 333-223616, 333-228309, 333-229430, 333-277948, 333-291253 and 333-296364) filed with the Securities and Exchange Commission</w:t>
      </w:r>
    </w:p>
    <w:p>
      <w:pPr>
        <w:spacing w:after="0" w:line="1" w:lineRule="exact"/>
        <w:rPr>
          <w:sz w:val="20"/>
          <w:szCs w:val="20"/>
          <w:color w:val="auto"/>
        </w:rPr>
      </w:pPr>
    </w:p>
    <w:p>
      <w:pPr>
        <w:ind w:right="5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13">
        <w:r>
          <w:rPr>
            <w:rFonts w:ascii="Times New Roman" w:cs="Times New Roman" w:eastAsia="Times New Roman" w:hAnsi="Times New Roman"/>
            <w:sz w:val="18"/>
            <w:szCs w:val="18"/>
            <w:u w:val="single" w:color="auto"/>
            <w:color w:val="0000FF"/>
          </w:rPr>
          <w:t>December 19, 2014</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FF"/>
          </w:rPr>
          <w:t>June 15, 2017</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FF"/>
          </w:rPr>
          <w:t>March 13, 2018</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FF"/>
          </w:rPr>
          <w:t>November 9, 2018</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FF"/>
          </w:rPr>
          <w:t>January 30, 2019</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November 4,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May 29, 2026</w:t>
        </w:r>
      </w:hyperlink>
      <w:r>
        <w:rPr>
          <w:rFonts w:ascii="Times New Roman" w:cs="Times New Roman" w:eastAsia="Times New Roman" w:hAnsi="Times New Roman"/>
          <w:sz w:val="18"/>
          <w:szCs w:val="18"/>
          <w:color w:val="auto"/>
        </w:rPr>
        <w:t>, respectively.</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00" w:type="dxa"/>
            <w:vAlign w:val="bottom"/>
            <w:gridSpan w:val="14"/>
          </w:tcPr>
          <w:p>
            <w:pPr>
              <w:jc w:val="center"/>
              <w:ind w:right="5140"/>
              <w:spacing w:after="0"/>
              <w:rPr>
                <w:sz w:val="20"/>
                <w:szCs w:val="20"/>
                <w:color w:val="auto"/>
              </w:rPr>
            </w:pPr>
            <w:r>
              <w:rPr>
                <w:rFonts w:ascii="Times New Roman" w:cs="Times New Roman" w:eastAsia="Times New Roman" w:hAnsi="Times New Roman"/>
                <w:sz w:val="18"/>
                <w:szCs w:val="18"/>
                <w:b w:val="1"/>
                <w:bCs w:val="1"/>
                <w:color w:val="auto"/>
                <w:w w:val="94"/>
              </w:rPr>
              <w:t>PART II</w:t>
            </w: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00" w:type="dxa"/>
            <w:vAlign w:val="bottom"/>
            <w:gridSpan w:val="2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7"/>
              </w:rPr>
              <w:t>INFORMATION REQUIRED IN THE REGISTRATION STATEMENT</w:t>
            </w:r>
          </w:p>
        </w:tc>
      </w:tr>
      <w:tr>
        <w:trPr>
          <w:trHeight w:val="427"/>
        </w:trPr>
        <w:tc>
          <w:tcPr>
            <w:tcW w:w="1124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r>
      <w:tr>
        <w:trPr>
          <w:trHeight w:val="427"/>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00" w:type="dxa"/>
            <w:vAlign w:val="bottom"/>
            <w:gridSpan w:val="14"/>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7"/>
        </w:trPr>
        <w:tc>
          <w:tcPr>
            <w:tcW w:w="20" w:type="dxa"/>
            <w:vAlign w:val="bottom"/>
          </w:tcPr>
          <w:p>
            <w:pPr>
              <w:spacing w:after="0"/>
              <w:rPr>
                <w:sz w:val="14"/>
                <w:szCs w:val="14"/>
                <w:color w:val="auto"/>
              </w:rPr>
            </w:pPr>
          </w:p>
        </w:tc>
        <w:tc>
          <w:tcPr>
            <w:tcW w:w="200" w:type="dxa"/>
            <w:vAlign w:val="bottom"/>
            <w:tcBorders>
              <w:top w:val="single" w:sz="8" w:color="auto"/>
              <w:bottom w:val="single" w:sz="8" w:color="0000EE"/>
            </w:tcBorders>
          </w:tcPr>
          <w:p>
            <w:pPr>
              <w:spacing w:after="0" w:line="167" w:lineRule="exact"/>
              <w:rPr>
                <w:rFonts w:ascii="Times New Roman" w:cs="Times New Roman" w:eastAsia="Times New Roman" w:hAnsi="Times New Roman"/>
                <w:sz w:val="18"/>
                <w:szCs w:val="18"/>
                <w:color w:val="0000EE"/>
                <w:w w:val="79"/>
              </w:rPr>
            </w:pPr>
            <w:hyperlink r:id="rId22">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1</w:t>
              </w:r>
            </w:hyperlink>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0" w:type="dxa"/>
            <w:vAlign w:val="bottom"/>
            <w:tcBorders>
              <w:top w:val="single" w:sz="8" w:color="auto"/>
              <w:bottom w:val="single" w:sz="8" w:color="0000EE"/>
            </w:tcBorders>
            <w:gridSpan w:val="21"/>
          </w:tcPr>
          <w:p>
            <w:pPr>
              <w:spacing w:after="0" w:line="167"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Restated Certificate of Incorporation of the Registrant (incorporated by reference to Exhibit 3.1 to the Annual Report on Form 10-K filed by</w:t>
              </w:r>
            </w:hyperlink>
          </w:p>
        </w:tc>
        <w:tc>
          <w:tcPr>
            <w:tcW w:w="100" w:type="dxa"/>
            <w:vAlign w:val="bottom"/>
            <w:tcBorders>
              <w:top w:val="single" w:sz="8" w:color="auto"/>
            </w:tcBorders>
            <w:gridSpan w:val="3"/>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the Registrant on March 12, 2019)</w:t>
              </w:r>
            </w:hyperlink>
          </w:p>
        </w:tc>
        <w:tc>
          <w:tcPr>
            <w:tcW w:w="7620" w:type="dxa"/>
            <w:vAlign w:val="bottom"/>
            <w:gridSpan w:val="20"/>
          </w:tcPr>
          <w:p>
            <w:pPr>
              <w:spacing w:after="0"/>
              <w:rPr>
                <w:sz w:val="16"/>
                <w:szCs w:val="16"/>
                <w:color w:val="auto"/>
              </w:rPr>
            </w:pPr>
          </w:p>
        </w:tc>
      </w:tr>
      <w:tr>
        <w:trPr>
          <w:trHeight w:val="194"/>
        </w:trPr>
        <w:tc>
          <w:tcPr>
            <w:tcW w:w="2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2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to the Restated Certificate of Incorporation of the Registrant (incorporated by reference to Exhibit 3.2 to the</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0" w:type="dxa"/>
            <w:vAlign w:val="bottom"/>
            <w:tcBorders>
              <w:top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Annual Report on Form 10-K filed by the Registrant on March 12, 2019)</w:t>
              </w:r>
            </w:hyperlink>
          </w:p>
        </w:tc>
        <w:tc>
          <w:tcPr>
            <w:tcW w:w="500" w:type="dxa"/>
            <w:vAlign w:val="bottom"/>
            <w:gridSpan w:val="7"/>
          </w:tcPr>
          <w:p>
            <w:pPr>
              <w:spacing w:after="0"/>
              <w:rPr>
                <w:sz w:val="16"/>
                <w:szCs w:val="16"/>
                <w:color w:val="auto"/>
              </w:rPr>
            </w:pPr>
          </w:p>
        </w:tc>
      </w:tr>
      <w:tr>
        <w:trPr>
          <w:trHeight w:val="20"/>
        </w:trPr>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2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Certificate of Amendment to the Restated Certificate of Incorporation of Verastem, Inc. (incorporated by reference to Exhibit 3.1 to the</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40" w:type="dxa"/>
            <w:vAlign w:val="bottom"/>
            <w:tcBorders>
              <w:top w:val="single" w:sz="8" w:color="0000EE"/>
            </w:tcBorders>
            <w:gridSpan w:val="18"/>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8-K filed by the Registrant with the Securities and Exchange Commission on May 21, 2020)</w:t>
              </w:r>
            </w:hyperlink>
          </w:p>
        </w:tc>
        <w:tc>
          <w:tcPr>
            <w:tcW w:w="460" w:type="dxa"/>
            <w:vAlign w:val="bottom"/>
            <w:gridSpan w:val="6"/>
          </w:tcPr>
          <w:p>
            <w:pPr>
              <w:spacing w:after="0"/>
              <w:rPr>
                <w:sz w:val="16"/>
                <w:szCs w:val="16"/>
                <w:color w:val="auto"/>
              </w:rPr>
            </w:pPr>
          </w:p>
        </w:tc>
      </w:tr>
      <w:tr>
        <w:trPr>
          <w:trHeight w:val="20"/>
        </w:trPr>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2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Certificate of Amendment to the Restated Certificate of Incorporation of Verastem, Inc. (incorporated by reference to Exhibit 3.1 to the</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40" w:type="dxa"/>
            <w:vAlign w:val="bottom"/>
            <w:tcBorders>
              <w:top w:val="single" w:sz="8" w:color="0000EE"/>
            </w:tcBorders>
            <w:gridSpan w:val="18"/>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8-K filed by the Registrant with the Securities and Exchange Commission on May 31, 2023)</w:t>
              </w:r>
            </w:hyperlink>
          </w:p>
        </w:tc>
        <w:tc>
          <w:tcPr>
            <w:tcW w:w="460" w:type="dxa"/>
            <w:vAlign w:val="bottom"/>
            <w:gridSpan w:val="6"/>
          </w:tcPr>
          <w:p>
            <w:pPr>
              <w:spacing w:after="0"/>
              <w:rPr>
                <w:sz w:val="16"/>
                <w:szCs w:val="16"/>
                <w:color w:val="auto"/>
              </w:rPr>
            </w:pPr>
          </w:p>
        </w:tc>
      </w:tr>
      <w:tr>
        <w:trPr>
          <w:trHeight w:val="20"/>
        </w:trPr>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2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Amended and Restated Bylaws of the Registrant (incorporated by reference to Exhibit 3.4 to Amendment No. 3 to the Registration Statement</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tcBorders>
              <w:top w:val="single" w:sz="8" w:color="0000EE"/>
            </w:tcBorders>
            <w:gridSpan w:val="24"/>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on Form S-1 filed by the Registrant with the Securities and Exchange Commission on January 13, 2012)</w:t>
              </w:r>
            </w:hyperlink>
          </w:p>
        </w:tc>
      </w:tr>
      <w:tr>
        <w:trPr>
          <w:trHeight w:val="20"/>
        </w:trPr>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2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6</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Inducement Award Nonstatutory Stock Option Agreement (incorporated by reference to Exhibit 10.11 of the Registrant’s Annual</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20" w:type="dxa"/>
            <w:vAlign w:val="bottom"/>
            <w:tcBorders>
              <w:top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Report on Form 10-K filed by the Registrant on March 13, 2018)</w:t>
              </w:r>
            </w:hyperlink>
          </w:p>
        </w:tc>
        <w:tc>
          <w:tcPr>
            <w:tcW w:w="280" w:type="dxa"/>
            <w:vAlign w:val="bottom"/>
            <w:gridSpan w:val="5"/>
          </w:tcPr>
          <w:p>
            <w:pPr>
              <w:spacing w:after="0"/>
              <w:rPr>
                <w:sz w:val="16"/>
                <w:szCs w:val="16"/>
                <w:color w:val="auto"/>
              </w:rPr>
            </w:pPr>
          </w:p>
        </w:tc>
      </w:tr>
      <w:tr>
        <w:trPr>
          <w:trHeight w:val="20"/>
        </w:trPr>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2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7</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 of Inducement Award Restricted Stock Unit Agreement (incorporated by reference to Exhibit 4.3 of the Registrant’s Quarterly Report</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40" w:type="dxa"/>
            <w:vAlign w:val="bottom"/>
            <w:tcBorders>
              <w:top w:val="single" w:sz="8" w:color="0000EE"/>
            </w:tcBorders>
            <w:gridSpan w:val="20"/>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on Form 10-Q for the quarter ended September 30, 2018, filed by the Registrant with the Securities and Exchange Commission on</w:t>
              </w:r>
            </w:hyperlink>
          </w:p>
        </w:tc>
        <w:tc>
          <w:tcPr>
            <w:tcW w:w="160" w:type="dxa"/>
            <w:vAlign w:val="bottom"/>
            <w:gridSpan w:val="4"/>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November 7, 2018)</w:t>
              </w:r>
            </w:hyperlink>
          </w:p>
        </w:tc>
        <w:tc>
          <w:tcPr>
            <w:tcW w:w="7880" w:type="dxa"/>
            <w:vAlign w:val="bottom"/>
            <w:tcBorders>
              <w:top w:val="single" w:sz="8" w:color="0000EE"/>
            </w:tcBorders>
            <w:gridSpan w:val="15"/>
          </w:tcPr>
          <w:p>
            <w:pPr>
              <w:spacing w:after="0"/>
              <w:rPr>
                <w:sz w:val="16"/>
                <w:szCs w:val="16"/>
                <w:color w:val="auto"/>
              </w:rPr>
            </w:pPr>
          </w:p>
        </w:tc>
        <w:tc>
          <w:tcPr>
            <w:tcW w:w="820" w:type="dxa"/>
            <w:vAlign w:val="bottom"/>
            <w:gridSpan w:val="8"/>
          </w:tcPr>
          <w:p>
            <w:pPr>
              <w:spacing w:after="0"/>
              <w:rPr>
                <w:sz w:val="16"/>
                <w:szCs w:val="16"/>
                <w:color w:val="auto"/>
              </w:rPr>
            </w:pPr>
          </w:p>
        </w:tc>
      </w:tr>
      <w:tr>
        <w:trPr>
          <w:trHeight w:val="194"/>
        </w:trPr>
        <w:tc>
          <w:tcPr>
            <w:tcW w:w="2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2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of Inducement Nonstatutory Stock Option Agreement (incorporated by reference to Exhibit 10.6 to the Quarterly Report on Form 10-Q</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tcBorders>
              <w:top w:val="single" w:sz="8" w:color="0000EE"/>
            </w:tcBorders>
            <w:gridSpan w:val="23"/>
          </w:tcPr>
          <w:p>
            <w:pPr>
              <w:spacing w:after="0" w:line="194"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filed by the Registrant on May 7, 2020)</w:t>
              </w:r>
            </w:hyperlink>
          </w:p>
        </w:tc>
        <w:tc>
          <w:tcPr>
            <w:tcW w:w="20" w:type="dxa"/>
            <w:vAlign w:val="bottom"/>
          </w:tcPr>
          <w:p>
            <w:pPr>
              <w:spacing w:after="0"/>
              <w:rPr>
                <w:sz w:val="16"/>
                <w:szCs w:val="16"/>
                <w:color w:val="auto"/>
              </w:rPr>
            </w:pPr>
          </w:p>
        </w:tc>
      </w:tr>
      <w:tr>
        <w:trPr>
          <w:trHeight w:val="20"/>
        </w:trPr>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2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3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9</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Inducement Restricted Stock Unit Agreement (incorporated by reference to Exhibit 10.3 to the Quarterly Report on Form 10-Q filed</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by the Registrant on May 7, 2020)</w:t>
              </w:r>
            </w:hyperlink>
          </w:p>
        </w:tc>
        <w:tc>
          <w:tcPr>
            <w:tcW w:w="7600" w:type="dxa"/>
            <w:vAlign w:val="bottom"/>
            <w:tcBorders>
              <w:top w:val="single" w:sz="8" w:color="0000EE"/>
            </w:tcBorders>
            <w:gridSpan w:val="19"/>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4"/>
        </w:trPr>
        <w:tc>
          <w:tcPr>
            <w:tcW w:w="320" w:type="dxa"/>
            <w:vAlign w:val="bottom"/>
            <w:gridSpan w:val="4"/>
          </w:tcPr>
          <w:p>
            <w:pPr>
              <w:spacing w:after="0" w:line="194" w:lineRule="exact"/>
              <w:rPr>
                <w:rFonts w:ascii="Times New Roman" w:cs="Times New Roman" w:eastAsia="Times New Roman" w:hAnsi="Times New Roman"/>
                <w:sz w:val="18"/>
                <w:szCs w:val="18"/>
                <w:color w:val="0000EE"/>
                <w:w w:val="95"/>
              </w:rPr>
            </w:pPr>
            <w:hyperlink r:id="rId31">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10</w:t>
              </w:r>
            </w:hyperlink>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Form of Inducement Nonstatutory Stock Option Agreement (incorporated by reference to Exhibit 10.6 to the Quarterly Report on Form 10-Q</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tcBorders>
              <w:top w:val="single" w:sz="8" w:color="0000EE"/>
            </w:tcBorders>
            <w:gridSpan w:val="23"/>
          </w:tcPr>
          <w:p>
            <w:pPr>
              <w:spacing w:after="0" w:line="194"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filed by the Registrant on August 2, 2021)</w:t>
              </w:r>
            </w:hyperlink>
          </w:p>
        </w:tc>
        <w:tc>
          <w:tcPr>
            <w:tcW w:w="20" w:type="dxa"/>
            <w:vAlign w:val="bottom"/>
          </w:tcPr>
          <w:p>
            <w:pPr>
              <w:spacing w:after="0"/>
              <w:rPr>
                <w:sz w:val="16"/>
                <w:szCs w:val="16"/>
                <w:color w:val="auto"/>
              </w:rPr>
            </w:pPr>
          </w:p>
        </w:tc>
      </w:tr>
      <w:tr>
        <w:trPr>
          <w:trHeight w:val="20"/>
        </w:trPr>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r>
      <w:tr>
        <w:trPr>
          <w:trHeight w:val="194"/>
        </w:trPr>
        <w:tc>
          <w:tcPr>
            <w:tcW w:w="320" w:type="dxa"/>
            <w:vAlign w:val="bottom"/>
            <w:gridSpan w:val="4"/>
          </w:tcPr>
          <w:p>
            <w:pPr>
              <w:spacing w:after="0" w:line="194" w:lineRule="exact"/>
              <w:rPr>
                <w:rFonts w:ascii="Times New Roman" w:cs="Times New Roman" w:eastAsia="Times New Roman" w:hAnsi="Times New Roman"/>
                <w:sz w:val="18"/>
                <w:szCs w:val="18"/>
                <w:color w:val="0000EE"/>
                <w:w w:val="95"/>
              </w:rPr>
            </w:pPr>
            <w:hyperlink r:id="rId32">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Inducement Restricted Stock Unit Agreement (incorporated by reference to Exhibit 10.7 to the Quarterly Report on Form 10-Q filed</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by the Registrant on August 2, 2021)</w:t>
              </w:r>
            </w:hyperlink>
          </w:p>
        </w:tc>
        <w:tc>
          <w:tcPr>
            <w:tcW w:w="7420" w:type="dxa"/>
            <w:vAlign w:val="bottom"/>
            <w:tcBorders>
              <w:top w:val="single" w:sz="8" w:color="0000EE"/>
            </w:tcBorders>
            <w:gridSpan w:val="17"/>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4"/>
        </w:trPr>
        <w:tc>
          <w:tcPr>
            <w:tcW w:w="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Opinion of Ropes &amp; Gray LLP (filed herewith)</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r>
      <w:tr>
        <w:trPr>
          <w:trHeight w:val="194"/>
        </w:trPr>
        <w:tc>
          <w:tcPr>
            <w:tcW w:w="3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Consent of Ropes &amp; Gray LLP (included in Exhibit 5.1)</w:t>
            </w:r>
          </w:p>
        </w:tc>
      </w:tr>
      <w:tr>
        <w:trPr>
          <w:trHeight w:val="194"/>
        </w:trPr>
        <w:tc>
          <w:tcPr>
            <w:tcW w:w="320" w:type="dxa"/>
            <w:vAlign w:val="bottom"/>
            <w:tcBorders>
              <w:top w:val="single" w:sz="8" w:color="0000EE"/>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Borders>
              <w:top w:val="single" w:sz="8" w:color="0000EE"/>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Ernst &amp; Young LLP (filed herewith)</w:t>
            </w:r>
          </w:p>
        </w:tc>
        <w:tc>
          <w:tcPr>
            <w:tcW w:w="580" w:type="dxa"/>
            <w:vAlign w:val="bottom"/>
            <w:tcBorders>
              <w:top w:val="single" w:sz="8" w:color="0000EE"/>
            </w:tcBorders>
          </w:tcPr>
          <w:p>
            <w:pPr>
              <w:spacing w:after="0"/>
              <w:rPr>
                <w:sz w:val="16"/>
                <w:szCs w:val="16"/>
                <w:color w:val="auto"/>
              </w:rPr>
            </w:pPr>
          </w:p>
        </w:tc>
        <w:tc>
          <w:tcPr>
            <w:tcW w:w="6100" w:type="dxa"/>
            <w:vAlign w:val="bottom"/>
            <w:gridSpan w:val="14"/>
          </w:tcPr>
          <w:p>
            <w:pPr>
              <w:spacing w:after="0"/>
              <w:rPr>
                <w:sz w:val="16"/>
                <w:szCs w:val="16"/>
                <w:color w:val="auto"/>
              </w:rPr>
            </w:pPr>
          </w:p>
        </w:tc>
      </w:tr>
      <w:tr>
        <w:trPr>
          <w:trHeight w:val="194"/>
        </w:trPr>
        <w:tc>
          <w:tcPr>
            <w:tcW w:w="32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Power of attorney (included on the signature page of this Registration Statement under the caption “Power of Attorney”)</w:t>
            </w:r>
          </w:p>
        </w:tc>
        <w:tc>
          <w:tcPr>
            <w:tcW w:w="1500" w:type="dxa"/>
            <w:vAlign w:val="bottom"/>
            <w:gridSpan w:val="9"/>
          </w:tcPr>
          <w:p>
            <w:pPr>
              <w:spacing w:after="0"/>
              <w:rPr>
                <w:sz w:val="16"/>
                <w:szCs w:val="16"/>
                <w:color w:val="auto"/>
              </w:rPr>
            </w:pPr>
          </w:p>
        </w:tc>
      </w:tr>
      <w:tr>
        <w:trPr>
          <w:trHeight w:val="194"/>
        </w:trPr>
        <w:tc>
          <w:tcPr>
            <w:tcW w:w="3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107</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Filing Fee Table (filed herewith)</w:t>
            </w:r>
          </w:p>
        </w:tc>
      </w:tr>
      <w:tr>
        <w:trPr>
          <w:trHeight w:val="688"/>
        </w:trPr>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Needham, Commonwealth of Massachusetts on November 5, 2026.</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VERASTEM, INC.</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Daniel Paterson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15875</wp:posOffset>
            </wp:positionV>
            <wp:extent cx="3350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Daniel Paterson</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120" w:firstLine="641"/>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Daniel Paterson and Daniel Calkins, and each of them singly, either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singly,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right="540"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0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20" w:type="dxa"/>
            <w:vAlign w:val="bottom"/>
          </w:tcPr>
          <w:p>
            <w:pPr>
              <w:spacing w:after="0"/>
              <w:rPr>
                <w:sz w:val="20"/>
                <w:szCs w:val="20"/>
                <w:color w:val="auto"/>
              </w:rPr>
            </w:pPr>
          </w:p>
        </w:tc>
        <w:tc>
          <w:tcPr>
            <w:tcW w:w="424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207"/>
        </w:trPr>
        <w:tc>
          <w:tcPr>
            <w:tcW w:w="20" w:type="dxa"/>
            <w:vAlign w:val="bottom"/>
            <w:tcBorders>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Paterson</w:t>
            </w:r>
          </w:p>
        </w:tc>
        <w:tc>
          <w:tcPr>
            <w:tcW w:w="220" w:type="dxa"/>
            <w:vAlign w:val="bottom"/>
          </w:tcPr>
          <w:p>
            <w:pPr>
              <w:spacing w:after="0"/>
              <w:rPr>
                <w:sz w:val="18"/>
                <w:szCs w:val="18"/>
                <w:color w:val="auto"/>
              </w:rPr>
            </w:pPr>
          </w:p>
        </w:tc>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0" w:type="dxa"/>
            <w:vAlign w:val="bottom"/>
          </w:tcPr>
          <w:p>
            <w:pPr>
              <w:spacing w:after="0"/>
              <w:rPr>
                <w:sz w:val="18"/>
                <w:szCs w:val="18"/>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Paterson</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Calkins</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Calkins</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P. Bailey</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Bailey</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A. Bunn, M.D.</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Bunn, M.D.</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09"/>
        </w:trPr>
        <w:tc>
          <w:tcPr>
            <w:tcW w:w="20" w:type="dxa"/>
            <w:vAlign w:val="bottom"/>
          </w:tcPr>
          <w:p>
            <w:pPr>
              <w:spacing w:after="0"/>
              <w:rPr>
                <w:sz w:val="24"/>
                <w:szCs w:val="24"/>
                <w:color w:val="auto"/>
              </w:rPr>
            </w:pPr>
          </w:p>
        </w:tc>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John H. Johnson</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John H. Johnson</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Anil Kapur</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Anil Kapur</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Kauffman</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Kauffman, M.D., Ph.D.</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Michelle Robertson</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Robertson</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Rowinsky, M.D.</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Rowinsky, M.D.</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Stuglik</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Stuglik</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09"/>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Karin Tollefson</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5, 2026</w:t>
            </w:r>
          </w:p>
        </w:tc>
      </w:t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 Tollefson</w:t>
            </w:r>
          </w:p>
        </w:tc>
        <w:tc>
          <w:tcPr>
            <w:tcW w:w="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649"/>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593725" cy="772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extLst>
                    </a:blip>
                    <a:srcRect/>
                    <a:stretch>
                      <a:fillRect/>
                    </a:stretch>
                  </pic:blipFill>
                  <pic:spPr bwMode="auto">
                    <a:xfrm>
                      <a:off x="0" y="0"/>
                      <a:ext cx="593725" cy="772160"/>
                    </a:xfrm>
                    <a:prstGeom prst="rect">
                      <a:avLst/>
                    </a:prstGeom>
                    <a:noFill/>
                  </pic:spPr>
                </pic:pic>
              </a:graphicData>
            </a:graphic>
          </wp:anchor>
        </w:drawing>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4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4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4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WWW.ROPESGRAY.COM</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5,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Verastem,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Kendrick Street, Suite 500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 02494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opinion letter is furnished to you in connection with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Verastem,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on the date hereof, with the Securities and Exchange Commission under the Securities Act of 1933,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the registration of 500,000 shares of Common Stock, $0.0001 par value,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issuable under the Company’s 2014 Inducement Award Program (the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We are familiar with the actions taken by the Company in connection with the adoption of the Program.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opinions expressed below are limited to the Delaware General Corporation Law.</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when the Shares have been issued and sold in accordance with the terms of the Program, the Shares will be validly issued, fully paid and nonassessable.</w:t>
      </w:r>
    </w:p>
    <w:p>
      <w:pPr>
        <w:spacing w:after="0" w:line="163" w:lineRule="exact"/>
        <w:rPr>
          <w:sz w:val="20"/>
          <w:szCs w:val="20"/>
          <w:color w:val="auto"/>
        </w:rPr>
      </w:pPr>
    </w:p>
    <w:p>
      <w:pPr>
        <w:ind w:right="300" w:firstLine="641"/>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71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436245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2014 Inducement Award Program of Verastem, Inc. of our report dated March 4, 2026, with respect to the consolidated financial statements of Verastem, Inc. included in its Annual Report (Form 10-K) for the year ended December 31, 2025,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 w:name="page7"/>
    <w:bookmarkEnd w:id="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Verastem,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4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920" w:type="dxa"/>
            <w:vAlign w:val="bottom"/>
            <w:shd w:val="clear" w:color="auto" w:fill="9ADAF6"/>
          </w:tcPr>
          <w:p>
            <w:pP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ind w:left="60"/>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500,000</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$ 9.71</w:t>
            </w:r>
          </w:p>
        </w:tc>
        <w:tc>
          <w:tcPr>
            <w:tcW w:w="20" w:type="dxa"/>
            <w:vAlign w:val="bottom"/>
          </w:tcPr>
          <w:p>
            <w:pPr>
              <w:spacing w:after="0"/>
              <w:rPr>
                <w:sz w:val="20"/>
                <w:szCs w:val="20"/>
                <w:color w:val="auto"/>
              </w:rPr>
            </w:pPr>
          </w:p>
        </w:tc>
        <w:tc>
          <w:tcPr>
            <w:tcW w:w="1520" w:type="dxa"/>
            <w:vAlign w:val="bottom"/>
            <w:shd w:val="clear" w:color="auto" w:fill="E7E7E2"/>
          </w:tcPr>
          <w:p>
            <w:pPr>
              <w:ind w:left="80"/>
              <w:spacing w:after="0" w:line="240" w:lineRule="exact"/>
              <w:rPr>
                <w:sz w:val="20"/>
                <w:szCs w:val="20"/>
                <w:color w:val="auto"/>
              </w:rPr>
            </w:pPr>
            <w:r>
              <w:rPr>
                <w:rFonts w:ascii="Arial" w:cs="Arial" w:eastAsia="Arial" w:hAnsi="Arial"/>
                <w:sz w:val="21"/>
                <w:szCs w:val="21"/>
                <w:color w:val="auto"/>
              </w:rPr>
              <w:t>$ 4,855,000.00</w:t>
            </w: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0.000087</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$ 422.38</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21"/>
                <w:szCs w:val="21"/>
                <w:color w:val="auto"/>
              </w:rPr>
              <w:t>$ 4,855,000.00</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$ 422.38</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$ 422.38</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40" w:firstLine="2"/>
        <w:spacing w:after="0" w:line="248" w:lineRule="auto"/>
        <w:tabs>
          <w:tab w:leader="none" w:pos="1121" w:val="left"/>
        </w:tabs>
        <w:numPr>
          <w:ilvl w:val="0"/>
          <w:numId w:val="1"/>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also covers such additional shares of the Registrant's common stock, par value $0.0001 per share (the "Common Stock"), as may be issued under the Registrant's 2014 Inducement Award Program (the "Inducement Award Plan") to prevent dilution from stock splits, stock dividends and similar transactions.</w:t>
      </w:r>
    </w:p>
    <w:p>
      <w:pPr>
        <w:spacing w:after="0" w:line="195" w:lineRule="exact"/>
        <w:rPr>
          <w:rFonts w:ascii="Arial" w:cs="Arial" w:eastAsia="Arial" w:hAnsi="Arial"/>
          <w:sz w:val="21"/>
          <w:szCs w:val="21"/>
          <w:color w:val="auto"/>
        </w:rPr>
      </w:pPr>
    </w:p>
    <w:p>
      <w:pPr>
        <w:jc w:val="both"/>
        <w:ind w:left="800" w:right="780" w:firstLine="2"/>
        <w:spacing w:after="0" w:line="252" w:lineRule="auto"/>
        <w:tabs>
          <w:tab w:leader="none" w:pos="1121" w:val="left"/>
        </w:tabs>
        <w:numPr>
          <w:ilvl w:val="0"/>
          <w:numId w:val="1"/>
        </w:numPr>
        <w:rPr>
          <w:rFonts w:ascii="Arial" w:cs="Arial" w:eastAsia="Arial" w:hAnsi="Arial"/>
          <w:sz w:val="21"/>
          <w:szCs w:val="21"/>
          <w:color w:val="auto"/>
        </w:rPr>
      </w:pPr>
      <w:r>
        <w:rPr>
          <w:rFonts w:ascii="Arial" w:cs="Arial" w:eastAsia="Arial" w:hAnsi="Arial"/>
          <w:sz w:val="21"/>
          <w:szCs w:val="21"/>
          <w:color w:val="auto"/>
        </w:rPr>
        <w:t>Represents an aggregate of 500,000 shares of the Registrant's Common Stock that may be issued pursuant to awards granted or to be granted in accordance with Nasdaq Listing Rule 5635(c)(4), as an inducement material to an individual's entering into employment with the Registrant under the Registrant's Inducement Award Plan.</w:t>
      </w:r>
    </w:p>
    <w:p>
      <w:pPr>
        <w:spacing w:after="0" w:line="188" w:lineRule="exact"/>
        <w:rPr>
          <w:rFonts w:ascii="Arial" w:cs="Arial" w:eastAsia="Arial" w:hAnsi="Arial"/>
          <w:sz w:val="21"/>
          <w:szCs w:val="21"/>
          <w:color w:val="auto"/>
        </w:rPr>
      </w:pPr>
    </w:p>
    <w:p>
      <w:pPr>
        <w:jc w:val="both"/>
        <w:ind w:left="800" w:right="760" w:firstLine="2"/>
        <w:spacing w:after="0" w:line="248" w:lineRule="auto"/>
        <w:tabs>
          <w:tab w:leader="none" w:pos="1121" w:val="left"/>
        </w:tabs>
        <w:numPr>
          <w:ilvl w:val="0"/>
          <w:numId w:val="1"/>
        </w:numPr>
        <w:rPr>
          <w:rFonts w:ascii="Arial" w:cs="Arial" w:eastAsia="Arial" w:hAnsi="Arial"/>
          <w:sz w:val="21"/>
          <w:szCs w:val="21"/>
          <w:color w:val="auto"/>
        </w:rPr>
      </w:pPr>
      <w:r>
        <w:rPr>
          <w:rFonts w:ascii="Arial" w:cs="Arial" w:eastAsia="Arial" w:hAnsi="Arial"/>
          <w:sz w:val="21"/>
          <w:szCs w:val="21"/>
          <w:color w:val="auto"/>
        </w:rPr>
        <w:t>Pursuant to Rules 457(c) and 457(h)(1) under the Securities Act, the proposed maximum offering price per share and the maximum aggregate offering price for the shares have been calculated solely for the purpose of computing the registration fee on the basis of the average high and low prices of the Common Stock as reported by the Nasdaq Capital Market on October 30, 2026 to be $9.92 and $9.50, respectively.</w:t>
      </w:r>
    </w:p>
    <w:p>
      <w:pPr>
        <w:spacing w:after="0" w:line="195" w:lineRule="exact"/>
        <w:rPr>
          <w:rFonts w:ascii="Arial" w:cs="Arial" w:eastAsia="Arial" w:hAnsi="Arial"/>
          <w:sz w:val="21"/>
          <w:szCs w:val="21"/>
          <w:color w:val="auto"/>
        </w:rPr>
      </w:pPr>
    </w:p>
    <w:p>
      <w:pPr>
        <w:ind w:left="1120" w:hanging="318"/>
        <w:spacing w:after="0"/>
        <w:tabs>
          <w:tab w:leader="none" w:pos="1120" w:val="left"/>
        </w:tabs>
        <w:numPr>
          <w:ilvl w:val="0"/>
          <w:numId w:val="1"/>
        </w:numPr>
        <w:rPr>
          <w:rFonts w:ascii="Arial" w:cs="Arial" w:eastAsia="Arial" w:hAnsi="Arial"/>
          <w:sz w:val="21"/>
          <w:szCs w:val="21"/>
          <w:color w:val="auto"/>
        </w:rPr>
      </w:pPr>
      <w:r>
        <w:rPr>
          <w:rFonts w:ascii="Arial" w:cs="Arial" w:eastAsia="Arial" w:hAnsi="Arial"/>
          <w:sz w:val="21"/>
          <w:szCs w:val="21"/>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105410</wp:posOffset>
            </wp:positionV>
            <wp:extent cx="6387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6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6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jpeg"/><Relationship Id="rId35" Type="http://schemas.openxmlformats.org/officeDocument/2006/relationships/image" Target="media/image9.pn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13" Type="http://schemas.openxmlformats.org/officeDocument/2006/relationships/hyperlink" Target="https://www.sec.gov/Archives/edgar/data/1526119/000110465914087840/a14-26327_2s8.htm" TargetMode="External"/><Relationship Id="rId14" Type="http://schemas.openxmlformats.org/officeDocument/2006/relationships/hyperlink" Target="https://www.sec.gov/Archives/edgar/data/1526119/000110465917039550/a17-15210_1s8.htm" TargetMode="External"/><Relationship Id="rId15" Type="http://schemas.openxmlformats.org/officeDocument/2006/relationships/hyperlink" Target="https://www.sec.gov/Archives/edgar/data/1526119/000110465918016969/a18-7906_1s8.htm" TargetMode="External"/><Relationship Id="rId16" Type="http://schemas.openxmlformats.org/officeDocument/2006/relationships/hyperlink" Target="https://www.sec.gov/Archives/edgar/data/1526119/000110465918067394/a18-39729_1s8.htm" TargetMode="External"/><Relationship Id="rId17" Type="http://schemas.openxmlformats.org/officeDocument/2006/relationships/hyperlink" Target="https://www.sec.gov/Archives/edgar/data/1526119/000110465919004460/a19-3612_1s8.htm" TargetMode="External"/><Relationship Id="rId18" Type="http://schemas.openxmlformats.org/officeDocument/2006/relationships/hyperlink" Target="https://www.sec.gov/Archives/edgar/data/1526119/000110465924034576/tm248659d1_s8.htm" TargetMode="External"/><Relationship Id="rId19" Type="http://schemas.openxmlformats.org/officeDocument/2006/relationships/hyperlink" Target="https://www.sec.gov/Archives/edgar/data/1526119/000110465925106296/tm2530192d1_s8.htm" TargetMode="External"/><Relationship Id="rId20" Type="http://schemas.openxmlformats.org/officeDocument/2006/relationships/hyperlink" Target="https://www.sec.gov/Archives/edgar/data/1526119/000110465926068317/tm2615776d1_s8.htm" TargetMode="External"/><Relationship Id="rId22" Type="http://schemas.openxmlformats.org/officeDocument/2006/relationships/hyperlink" Target="https://www.sec.gov/Archives/edgar/data/1526119/000155837019001852/vstm-20181231ex3015107bc.htm" TargetMode="External"/><Relationship Id="rId23" Type="http://schemas.openxmlformats.org/officeDocument/2006/relationships/hyperlink" Target="https://www.sec.gov/Archives/edgar/data/1526119/000155837019001852/vstm-20181231ex3023a9464.htm" TargetMode="External"/><Relationship Id="rId24" Type="http://schemas.openxmlformats.org/officeDocument/2006/relationships/hyperlink" Target="https://www.sec.gov/Archives/edgar/data/1526119/000110465920064756/tm2020393d1_ex3-1.htm" TargetMode="External"/><Relationship Id="rId25" Type="http://schemas.openxmlformats.org/officeDocument/2006/relationships/hyperlink" Target="https://www.sec.gov/Archives/edgar/data/1526119/000110465923066363/tm2317400d1_ex3-1.htm" TargetMode="External"/><Relationship Id="rId26" Type="http://schemas.openxmlformats.org/officeDocument/2006/relationships/hyperlink" Target="https://www.sec.gov/Archives/edgar/data/1526119/000104746912000187/a2206820zex-3_4.htm" TargetMode="External"/><Relationship Id="rId27" Type="http://schemas.openxmlformats.org/officeDocument/2006/relationships/hyperlink" Target="https://www.sec.gov/Archives/edgar/data/1526119/000155837018001953/vstm-20171231ex1011c401c.htm" TargetMode="External"/><Relationship Id="rId28" Type="http://schemas.openxmlformats.org/officeDocument/2006/relationships/hyperlink" Target="https://www.sec.gov/Archives/edgar/data/1526119/000155837018008809/vstm-20180930ex4347853a9.htm" TargetMode="External"/><Relationship Id="rId29" Type="http://schemas.openxmlformats.org/officeDocument/2006/relationships/hyperlink" Target="https://www.sec.gov/Archives/edgar/data/1526119/000155837020005727/vstm-20200331ex1066b7869.htm" TargetMode="External"/><Relationship Id="rId30" Type="http://schemas.openxmlformats.org/officeDocument/2006/relationships/hyperlink" Target="https://www.sec.gov/Archives/edgar/data/1526119/000155837020005727/vstm-20200331ex103628cce.htm" TargetMode="External"/><Relationship Id="rId31" Type="http://schemas.openxmlformats.org/officeDocument/2006/relationships/hyperlink" Target="https://www.sec.gov/Archives/edgar/data/1526119/000155837021009812/vstm-20210630xex10d6.htm" TargetMode="External"/><Relationship Id="rId32" Type="http://schemas.openxmlformats.org/officeDocument/2006/relationships/hyperlink" Target="https://www.sec.gov/Archives/edgar/data/1526119/000155837021009812/vstm-20210630x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2026-11-05T15:42:00Z</dcterms:created>
  <dcterms:modified xsi:type="dcterms:W3CDTF">2026-11-05T15:42:00Z</dcterms:modified>
</cp:coreProperties>
</file>