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Verastem, Inc.</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9261"/>
          </w:cols>
          <w:pgMar w:left="1319" w:top="646" w:right="1319" w:bottom="1440" w:gutter="0" w:footer="0" w:header="0"/>
        </w:sectPr>
      </w:pPr>
    </w:p>
    <w:p>
      <w:pPr>
        <w:spacing w:after="0" w:line="275" w:lineRule="exact"/>
        <w:rPr>
          <w:sz w:val="24"/>
          <w:szCs w:val="24"/>
          <w:color w:val="auto"/>
        </w:rPr>
      </w:pPr>
    </w:p>
    <w:p>
      <w:pPr>
        <w:ind w:left="1121"/>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001-35403</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27-3269467</w:t>
      </w:r>
    </w:p>
    <w:p>
      <w:pPr>
        <w:spacing w:after="0" w:line="54" w:lineRule="exact"/>
        <w:rPr>
          <w:sz w:val="24"/>
          <w:szCs w:val="24"/>
          <w:color w:val="auto"/>
        </w:rPr>
      </w:pPr>
    </w:p>
    <w:p>
      <w:pPr>
        <w:sectPr>
          <w:pgSz w:w="11900" w:h="16838" w:orient="portrait"/>
          <w:cols w:equalWidth="0" w:num="3">
            <w:col w:w="3501" w:space="720"/>
            <w:col w:w="2380" w:space="720"/>
            <w:col w:w="1940"/>
          </w:cols>
          <w:pgMar w:left="1319" w:top="646" w:right="1319" w:bottom="1440" w:gutter="0" w:footer="0" w:header="0"/>
          <w:type w:val="continuous"/>
        </w:sectPr>
      </w:pPr>
    </w:p>
    <w:p>
      <w:pPr>
        <w:jc w:val="center"/>
        <w:ind w:right="439"/>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1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Times New Roman" w:cs="Times New Roman" w:eastAsia="Times New Roman" w:hAnsi="Times New Roman"/>
          <w:sz w:val="18"/>
          <w:szCs w:val="18"/>
          <w:color w:val="auto"/>
        </w:rPr>
        <w:t>(IRS Employer</w:t>
      </w:r>
    </w:p>
    <w:p>
      <w:pPr>
        <w:spacing w:after="0" w:line="1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401" w:space="720"/>
            <w:col w:w="2240" w:space="720"/>
            <w:col w:w="2180"/>
          </w:cols>
          <w:pgMar w:left="1319" w:top="646" w:right="1319" w:bottom="1440" w:gutter="0" w:footer="0" w:header="0"/>
          <w:type w:val="continuous"/>
        </w:sectPr>
      </w:pPr>
    </w:p>
    <w:p>
      <w:pPr>
        <w:spacing w:after="0" w:line="339" w:lineRule="exact"/>
        <w:rPr>
          <w:sz w:val="24"/>
          <w:szCs w:val="24"/>
          <w:color w:val="auto"/>
        </w:rPr>
      </w:pPr>
    </w:p>
    <w:p>
      <w:pPr>
        <w:ind w:left="481"/>
        <w:spacing w:after="0"/>
        <w:rPr>
          <w:sz w:val="20"/>
          <w:szCs w:val="20"/>
          <w:color w:val="auto"/>
        </w:rPr>
      </w:pPr>
      <w:r>
        <w:rPr>
          <w:rFonts w:ascii="Times New Roman" w:cs="Times New Roman" w:eastAsia="Times New Roman" w:hAnsi="Times New Roman"/>
          <w:sz w:val="17"/>
          <w:szCs w:val="17"/>
          <w:b w:val="1"/>
          <w:bCs w:val="1"/>
          <w:color w:val="auto"/>
        </w:rPr>
        <w:t>117 Kendrick Street, Suite 500, Needham, MA</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02494</w:t>
      </w:r>
    </w:p>
    <w:p>
      <w:pPr>
        <w:spacing w:after="0" w:line="65" w:lineRule="exact"/>
        <w:rPr>
          <w:sz w:val="24"/>
          <w:szCs w:val="24"/>
          <w:color w:val="auto"/>
        </w:rPr>
      </w:pPr>
    </w:p>
    <w:p>
      <w:pPr>
        <w:sectPr>
          <w:pgSz w:w="11900" w:h="16838" w:orient="portrait"/>
          <w:cols w:equalWidth="0" w:num="2">
            <w:col w:w="6021" w:space="720"/>
            <w:col w:w="2520"/>
          </w:cols>
          <w:pgMar w:left="1319" w:top="646" w:right="1319" w:bottom="1440" w:gutter="0" w:footer="0" w:header="0"/>
          <w:type w:val="continuous"/>
        </w:sectPr>
      </w:pPr>
    </w:p>
    <w:p>
      <w:pPr>
        <w:ind w:left="781"/>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841" w:space="720"/>
            <w:col w:w="2700"/>
          </w:cols>
          <w:pgMar w:left="1319" w:top="646" w:right="1319" w:bottom="1440" w:gutter="0" w:footer="0" w:header="0"/>
          <w:type w:val="continuous"/>
        </w:sect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292-4200</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left="1" w:right="6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201" w:hanging="201"/>
        <w:spacing w:after="0"/>
        <w:tabs>
          <w:tab w:leader="none" w:pos="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01" w:hanging="201"/>
        <w:spacing w:after="0" w:line="234" w:lineRule="auto"/>
        <w:tabs>
          <w:tab w:leader="none" w:pos="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201" w:hanging="201"/>
        <w:spacing w:after="0"/>
        <w:tabs>
          <w:tab w:leader="none" w:pos="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01" w:hanging="201"/>
        <w:spacing w:after="0"/>
        <w:tabs>
          <w:tab w:leader="none" w:pos="2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left="41"/>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9" w:lineRule="exact"/>
        <w:rPr>
          <w:sz w:val="24"/>
          <w:szCs w:val="24"/>
          <w:color w:val="auto"/>
        </w:rPr>
      </w:pPr>
    </w:p>
    <w:tbl>
      <w:tblPr>
        <w:tblLayout w:type="fixed"/>
        <w:tblInd w:w="1" w:type="dxa"/>
        <w:tblCellMar>
          <w:top w:w="0" w:type="dxa"/>
          <w:left w:w="0" w:type="dxa"/>
          <w:bottom w:w="0" w:type="dxa"/>
          <w:right w:w="0" w:type="dxa"/>
        </w:tblCellMar>
      </w:tblPr>
      <w:tr>
        <w:trPr>
          <w:trHeight w:val="175"/>
        </w:trPr>
        <w:tc>
          <w:tcPr>
            <w:tcW w:w="4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40" w:type="dxa"/>
            <w:vAlign w:val="bottom"/>
            <w:gridSpan w:val="2"/>
            <w:vMerge w:val="continue"/>
          </w:tcPr>
          <w:p>
            <w:pPr>
              <w:spacing w:after="0"/>
              <w:rPr>
                <w:sz w:val="16"/>
                <w:szCs w:val="16"/>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6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VSTM</w:t>
            </w:r>
          </w:p>
        </w:tc>
        <w:tc>
          <w:tcPr>
            <w:tcW w:w="180" w:type="dxa"/>
            <w:vAlign w:val="bottom"/>
          </w:tcPr>
          <w:p>
            <w:pPr>
              <w:spacing w:after="0"/>
              <w:rPr>
                <w:sz w:val="19"/>
                <w:szCs w:val="19"/>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6" w:lineRule="exact"/>
        <w:rPr>
          <w:sz w:val="24"/>
          <w:szCs w:val="24"/>
          <w:color w:val="auto"/>
        </w:rPr>
      </w:pPr>
    </w:p>
    <w:p>
      <w:pPr>
        <w:ind w:left="1" w:right="2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081"/>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1" w:right="2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471805</wp:posOffset>
            </wp:positionV>
            <wp:extent cx="588073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1"/>
          </w:cols>
          <w:pgMar w:left="1319" w:top="646"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5.07. 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2026 annual meeting of stockholders (the “Annual Meeting”) of Verastem, Inc. (the “Company”) was held in Needham, Massachusetts on May 21, 2026. At the Annual Meeting, the stockholders considered and acted upon the following proposals: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212529"/>
        </w:rPr>
        <w:t>Proposal No. 1</w:t>
      </w:r>
      <w:r>
        <w:rPr>
          <w:rFonts w:ascii="Times New Roman" w:cs="Times New Roman" w:eastAsia="Times New Roman" w:hAnsi="Times New Roman"/>
          <w:sz w:val="18"/>
          <w:szCs w:val="18"/>
          <w:color w:val="212529"/>
        </w:rPr>
        <w:t xml:space="preserve"> — </w:t>
      </w:r>
      <w:r>
        <w:rPr>
          <w:rFonts w:ascii="Times New Roman" w:cs="Times New Roman" w:eastAsia="Times New Roman" w:hAnsi="Times New Roman"/>
          <w:sz w:val="18"/>
          <w:szCs w:val="18"/>
          <w:i w:val="1"/>
          <w:iCs w:val="1"/>
          <w:color w:val="212529"/>
        </w:rPr>
        <w:t>Election of Class II Directors</w:t>
      </w:r>
      <w:r>
        <w:rPr>
          <w:rFonts w:ascii="Times New Roman" w:cs="Times New Roman" w:eastAsia="Times New Roman" w:hAnsi="Times New Roman"/>
          <w:sz w:val="18"/>
          <w:szCs w:val="18"/>
          <w:color w:val="212529"/>
        </w:rPr>
        <w:t>. By the vote reflected below, the stockholders elected the following individuals to serve as Class II directors until the 2029 annual meeting of stockholders and until their respective successors are duly elected and qualified:</w:t>
      </w:r>
    </w:p>
    <w:p>
      <w:pPr>
        <w:spacing w:after="0" w:line="192"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Broker Non-Votes</w:t>
            </w:r>
          </w:p>
        </w:tc>
      </w:tr>
      <w:tr>
        <w:trPr>
          <w:trHeight w:val="229"/>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Bailey</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54,096,261</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1,091,917</w:t>
            </w:r>
          </w:p>
        </w:tc>
        <w:tc>
          <w:tcPr>
            <w:tcW w:w="2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14,157,934</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Brian Stuglik</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53,816,138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1,372,040</w:t>
            </w:r>
          </w:p>
        </w:tc>
        <w:tc>
          <w:tcPr>
            <w:tcW w:w="20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14,157,934</w:t>
            </w:r>
          </w:p>
        </w:tc>
      </w:t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 Tollefson</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51,011,977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4,176,201</w:t>
            </w:r>
          </w:p>
        </w:tc>
        <w:tc>
          <w:tcPr>
            <w:tcW w:w="20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14,157,934</w:t>
            </w: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12529"/>
        </w:rPr>
        <w:t>There were no abstentions with respect to this proposal.</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Adoption of the Verastem, Inc. Amended and Restated 2021 Equity Incentive Plan (the “Amended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The stockholders voted to approve the Amended 2021 Plan. 49,803,552 shares voted for the proposal; 4,539,917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voted against the proposal; and 844,709 shares abstained from voting on the proposal. There were 14,157,934 broker non-votes on the proposal.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Adoption of the Verastem, Inc. Amended and Restated 2018 Employee Stock Purchase Plan (the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2018 Plan”). </w:t>
      </w:r>
      <w:r>
        <w:rPr>
          <w:rFonts w:ascii="Times New Roman" w:cs="Times New Roman" w:eastAsia="Times New Roman" w:hAnsi="Times New Roman"/>
          <w:sz w:val="18"/>
          <w:szCs w:val="18"/>
          <w:color w:val="auto"/>
        </w:rPr>
        <w:t>The stockholders voted to approve the Amended 2018 Plan. 53,563,121 shares voted for the proposal; 786,404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voted against the proposal; and 838,653 shares abstained from voting on the proposal. There were 14,157,934 broker non-votes on the proposal.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Proposal No.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Ratification of the Selection of Ernst &amp; Young LLP as the Company’s Independent Registered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Firm for the Current Fiscal Year</w:t>
      </w:r>
      <w:r>
        <w:rPr>
          <w:rFonts w:ascii="Times New Roman" w:cs="Times New Roman" w:eastAsia="Times New Roman" w:hAnsi="Times New Roman"/>
          <w:sz w:val="18"/>
          <w:szCs w:val="18"/>
          <w:color w:val="auto"/>
        </w:rPr>
        <w:t>. The stockholders voted to ratify the selection of Ernst &amp; Young LLP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independent registered public accounting firm for the current fiscal year. 67,650,315 shares voted for the proposal; 358,930 shares voted against the proposal; and 1,336,867 shares abstained from voting on the proposal. There were no broker non-votes on the proposal.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Proposal No. 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Non-Binding Advisory Vote on the Compensation of the Company’s Named Executive Officers</w:t>
      </w:r>
      <w:r>
        <w:rPr>
          <w:rFonts w:ascii="Times New Roman" w:cs="Times New Roman" w:eastAsia="Times New Roman" w:hAnsi="Times New Roman"/>
          <w:sz w:val="18"/>
          <w:szCs w:val="18"/>
          <w:color w:val="auto"/>
        </w:rPr>
        <w:t>. The Company’s stockholders approved, on a non-binding, advisory basis, the compensation paid to the Company’s named executive officers. 51,696,318 shares voted for the proposal; 2,536,847 shares voted against the proposal; and 955,013 shares abstained from voting on the proposal. There were 14,157,934 broker non-votes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2021205</wp:posOffset>
            </wp:positionV>
            <wp:extent cx="588073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819" w:right="1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100" w:type="dxa"/>
            <w:vAlign w:val="bottom"/>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VERASTEM, INC.</w:t>
            </w:r>
          </w:p>
        </w:tc>
      </w:tr>
      <w:tr>
        <w:trPr>
          <w:trHeight w:val="52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Dated: May 26, 2026</w:t>
            </w:r>
          </w:p>
        </w:tc>
        <w:tc>
          <w:tcPr>
            <w:tcW w:w="610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By:  /s/ Daniel W. Paterson</w:t>
            </w:r>
          </w:p>
        </w:tc>
      </w:tr>
      <w:tr>
        <w:trPr>
          <w:trHeight w:val="223"/>
        </w:trPr>
        <w:tc>
          <w:tcPr>
            <w:tcW w:w="3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Daniel W. Paterson</w:t>
            </w:r>
          </w:p>
        </w:tc>
        <w:tc>
          <w:tcPr>
            <w:tcW w:w="80" w:type="dxa"/>
            <w:vAlign w:val="bottom"/>
          </w:tcPr>
          <w:p>
            <w:pPr>
              <w:spacing w:after="0"/>
              <w:rPr>
                <w:sz w:val="19"/>
                <w:szCs w:val="19"/>
                <w:color w:val="auto"/>
              </w:rPr>
            </w:pPr>
          </w:p>
        </w:tc>
      </w:tr>
      <w:tr>
        <w:trPr>
          <w:trHeight w:val="236"/>
        </w:trPr>
        <w:tc>
          <w:tcPr>
            <w:tcW w:w="3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1128"/>
        </w:trPr>
        <w:tc>
          <w:tcPr>
            <w:tcW w:w="3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260"/>
      </w:cols>
      <w:pgMar w:left="1320" w:top="117"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2026-05-26T07:16:12Z</dcterms:created>
  <dcterms:modified xsi:type="dcterms:W3CDTF">2026-05-26T07:16:12Z</dcterms:modified>
</cp:coreProperties>
</file>