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185420</wp:posOffset>
            </wp:positionH>
            <wp:positionV relativeFrom="page">
              <wp:posOffset>226060</wp:posOffset>
            </wp:positionV>
            <wp:extent cx="7178040" cy="114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8040" cy="11430"/>
                    </a:xfrm>
                    <a:prstGeom prst="rect">
                      <a:avLst/>
                    </a:prstGeom>
                    <a:noFill/>
                  </pic:spPr>
                </pic:pic>
              </a:graphicData>
            </a:graphic>
          </wp:anchor>
        </w:drawing>
        <w:drawing>
          <wp:anchor simplePos="0" relativeHeight="251657728" behindDoc="1" locked="0" layoutInCell="0" allowOverlap="1">
            <wp:simplePos x="0" y="0"/>
            <wp:positionH relativeFrom="page">
              <wp:posOffset>185420</wp:posOffset>
            </wp:positionH>
            <wp:positionV relativeFrom="page">
              <wp:posOffset>248920</wp:posOffset>
            </wp:positionV>
            <wp:extent cx="71780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8040" cy="5715"/>
                    </a:xfrm>
                    <a:prstGeom prst="rect">
                      <a:avLst/>
                    </a:prstGeom>
                    <a:noFill/>
                  </pic:spPr>
                </pic:pic>
              </a:graphicData>
            </a:graphic>
          </wp:anchor>
        </w:drawing>
        <w:t>UNITED STATES</w:t>
      </w:r>
    </w:p>
    <w:p>
      <w:pPr>
        <w:spacing w:after="0" w:line="18" w:lineRule="exact"/>
        <w:rPr>
          <w:sz w:val="24"/>
          <w:szCs w:val="24"/>
          <w:color w:val="auto"/>
        </w:rPr>
      </w:pPr>
    </w:p>
    <w:p>
      <w:pPr>
        <w:jc w:val="center"/>
        <w:ind w:right="12"/>
        <w:spacing w:after="0"/>
        <w:rPr>
          <w:sz w:val="20"/>
          <w:szCs w:val="20"/>
          <w:color w:val="auto"/>
        </w:rPr>
      </w:pPr>
      <w:r>
        <w:rPr>
          <w:rFonts w:ascii="Times New Roman" w:cs="Times New Roman" w:eastAsia="Times New Roman" w:hAnsi="Times New Roman"/>
          <w:sz w:val="21"/>
          <w:szCs w:val="21"/>
          <w:b w:val="1"/>
          <w:bCs w:val="1"/>
          <w:color w:val="auto"/>
        </w:rPr>
        <w:t>SECURITIES AND EXCHANGE COMMISSION</w:t>
      </w:r>
    </w:p>
    <w:p>
      <w:pPr>
        <w:spacing w:after="0" w:line="6" w:lineRule="exact"/>
        <w:rPr>
          <w:sz w:val="24"/>
          <w:szCs w:val="24"/>
          <w:color w:val="auto"/>
        </w:rPr>
      </w:pPr>
    </w:p>
    <w:p>
      <w:pPr>
        <w:jc w:val="center"/>
        <w:ind w:right="12"/>
        <w:spacing w:after="0"/>
        <w:rPr>
          <w:sz w:val="20"/>
          <w:szCs w:val="20"/>
          <w:color w:val="auto"/>
        </w:rPr>
      </w:pPr>
      <w:r>
        <w:rPr>
          <w:rFonts w:ascii="Times New Roman" w:cs="Times New Roman" w:eastAsia="Times New Roman" w:hAnsi="Times New Roman"/>
          <w:sz w:val="12"/>
          <w:szCs w:val="12"/>
          <w:b w:val="1"/>
          <w:bCs w:val="1"/>
          <w:color w:val="auto"/>
        </w:rPr>
        <w:t>WASHINGTON, D.C. 20549</w:t>
      </w:r>
    </w:p>
    <w:p>
      <w:pPr>
        <w:spacing w:after="0" w:line="117" w:lineRule="exact"/>
        <w:rPr>
          <w:sz w:val="24"/>
          <w:szCs w:val="24"/>
          <w:color w:val="auto"/>
        </w:rPr>
      </w:pPr>
    </w:p>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23" w:lineRule="exact"/>
        <w:rPr>
          <w:sz w:val="24"/>
          <w:szCs w:val="24"/>
          <w:color w:val="auto"/>
        </w:rPr>
      </w:pPr>
    </w:p>
    <w:p>
      <w:pPr>
        <w:jc w:val="center"/>
        <w:ind w:right="12"/>
        <w:spacing w:after="0"/>
        <w:rPr>
          <w:sz w:val="20"/>
          <w:szCs w:val="20"/>
          <w:color w:val="auto"/>
        </w:rPr>
      </w:pPr>
      <w:r>
        <w:rPr>
          <w:rFonts w:ascii="Times New Roman" w:cs="Times New Roman" w:eastAsia="Times New Roman" w:hAnsi="Times New Roman"/>
          <w:sz w:val="12"/>
          <w:szCs w:val="12"/>
          <w:b w:val="1"/>
          <w:bCs w:val="1"/>
          <w:color w:val="auto"/>
        </w:rPr>
        <w:t>CURRENT REPORT</w:t>
      </w:r>
    </w:p>
    <w:p>
      <w:pPr>
        <w:spacing w:after="0" w:line="134" w:lineRule="exact"/>
        <w:rPr>
          <w:sz w:val="24"/>
          <w:szCs w:val="24"/>
          <w:color w:val="auto"/>
        </w:rPr>
      </w:pPr>
    </w:p>
    <w:p>
      <w:pPr>
        <w:jc w:val="center"/>
        <w:ind w:right="12"/>
        <w:spacing w:after="0"/>
        <w:rPr>
          <w:sz w:val="20"/>
          <w:szCs w:val="20"/>
          <w:color w:val="auto"/>
        </w:rPr>
      </w:pPr>
      <w:r>
        <w:rPr>
          <w:rFonts w:ascii="Times New Roman" w:cs="Times New Roman" w:eastAsia="Times New Roman" w:hAnsi="Times New Roman"/>
          <w:sz w:val="12"/>
          <w:szCs w:val="12"/>
          <w:b w:val="1"/>
          <w:bCs w:val="1"/>
          <w:color w:val="auto"/>
        </w:rPr>
        <w:t>Pursuant to Section 13 or 15(d) of the</w:t>
      </w:r>
    </w:p>
    <w:p>
      <w:pPr>
        <w:spacing w:after="0" w:line="21" w:lineRule="exact"/>
        <w:rPr>
          <w:sz w:val="24"/>
          <w:szCs w:val="24"/>
          <w:color w:val="auto"/>
        </w:rPr>
      </w:pPr>
    </w:p>
    <w:p>
      <w:pPr>
        <w:jc w:val="center"/>
        <w:ind w:right="12"/>
        <w:spacing w:after="0"/>
        <w:rPr>
          <w:sz w:val="20"/>
          <w:szCs w:val="20"/>
          <w:color w:val="auto"/>
        </w:rPr>
      </w:pPr>
      <w:r>
        <w:rPr>
          <w:rFonts w:ascii="Times New Roman" w:cs="Times New Roman" w:eastAsia="Times New Roman" w:hAnsi="Times New Roman"/>
          <w:sz w:val="12"/>
          <w:szCs w:val="12"/>
          <w:b w:val="1"/>
          <w:bCs w:val="1"/>
          <w:color w:val="auto"/>
        </w:rPr>
        <w:t>Securities Exchange Act of 1934</w:t>
      </w:r>
    </w:p>
    <w:p>
      <w:pPr>
        <w:spacing w:after="0" w:line="135" w:lineRule="exact"/>
        <w:rPr>
          <w:sz w:val="24"/>
          <w:szCs w:val="24"/>
          <w:color w:val="auto"/>
        </w:rPr>
      </w:pPr>
    </w:p>
    <w:p>
      <w:pPr>
        <w:jc w:val="center"/>
        <w:ind w:right="12"/>
        <w:spacing w:after="0"/>
        <w:rPr>
          <w:sz w:val="20"/>
          <w:szCs w:val="20"/>
          <w:color w:val="auto"/>
        </w:rPr>
      </w:pPr>
      <w:r>
        <w:rPr>
          <w:rFonts w:ascii="Times New Roman" w:cs="Times New Roman" w:eastAsia="Times New Roman" w:hAnsi="Times New Roman"/>
          <w:sz w:val="12"/>
          <w:szCs w:val="12"/>
          <w:color w:val="auto"/>
        </w:rPr>
        <w:t xml:space="preserve">Date of report (Date of earliest event reported): </w:t>
      </w:r>
      <w:r>
        <w:rPr>
          <w:rFonts w:ascii="Times New Roman" w:cs="Times New Roman" w:eastAsia="Times New Roman" w:hAnsi="Times New Roman"/>
          <w:sz w:val="12"/>
          <w:szCs w:val="12"/>
          <w:b w:val="1"/>
          <w:bCs w:val="1"/>
          <w:color w:val="auto"/>
        </w:rPr>
        <w:t>May 24, 2024</w:t>
      </w:r>
    </w:p>
    <w:p>
      <w:pPr>
        <w:spacing w:after="0" w:line="133" w:lineRule="exact"/>
        <w:rPr>
          <w:sz w:val="24"/>
          <w:szCs w:val="24"/>
          <w:color w:val="auto"/>
        </w:rPr>
      </w:pPr>
    </w:p>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Verastem, Inc.</w:t>
      </w:r>
    </w:p>
    <w:p>
      <w:pPr>
        <w:spacing w:after="0" w:line="23" w:lineRule="exact"/>
        <w:rPr>
          <w:sz w:val="24"/>
          <w:szCs w:val="24"/>
          <w:color w:val="auto"/>
        </w:rPr>
      </w:pPr>
    </w:p>
    <w:p>
      <w:pPr>
        <w:jc w:val="center"/>
        <w:ind w:right="12"/>
        <w:spacing w:after="0"/>
        <w:rPr>
          <w:sz w:val="20"/>
          <w:szCs w:val="20"/>
          <w:color w:val="auto"/>
        </w:rPr>
      </w:pPr>
      <w:r>
        <w:rPr>
          <w:rFonts w:ascii="Times New Roman" w:cs="Times New Roman" w:eastAsia="Times New Roman" w:hAnsi="Times New Roman"/>
          <w:sz w:val="12"/>
          <w:szCs w:val="12"/>
          <w:color w:val="auto"/>
        </w:rPr>
        <w:t>(Exact Name of Registrant as Specified in Charter)</w:t>
      </w:r>
    </w:p>
    <w:p>
      <w:pPr>
        <w:sectPr>
          <w:pgSz w:w="11900" w:h="16838" w:orient="portrait"/>
          <w:cols w:equalWidth="0" w:num="1">
            <w:col w:w="11308"/>
          </w:cols>
          <w:pgMar w:left="292" w:top="513" w:right="299" w:bottom="1440" w:gutter="0" w:footer="0" w:header="0"/>
        </w:sectPr>
      </w:pPr>
    </w:p>
    <w:p>
      <w:pPr>
        <w:spacing w:after="0" w:line="134" w:lineRule="exact"/>
        <w:rPr>
          <w:sz w:val="24"/>
          <w:szCs w:val="24"/>
          <w:color w:val="auto"/>
        </w:rPr>
      </w:pPr>
    </w:p>
    <w:p>
      <w:pPr>
        <w:ind w:left="1568"/>
        <w:spacing w:after="0"/>
        <w:rPr>
          <w:sz w:val="20"/>
          <w:szCs w:val="20"/>
          <w:color w:val="auto"/>
        </w:rPr>
      </w:pPr>
      <w:r>
        <w:rPr>
          <w:rFonts w:ascii="Times New Roman" w:cs="Times New Roman" w:eastAsia="Times New Roman" w:hAnsi="Times New Roman"/>
          <w:sz w:val="12"/>
          <w:szCs w:val="12"/>
          <w:b w:val="1"/>
          <w:bCs w:val="1"/>
          <w:color w:val="auto"/>
        </w:rPr>
        <w:t>Delaware</w:t>
      </w:r>
    </w:p>
    <w:p>
      <w:pPr>
        <w:spacing w:after="0" w:line="21" w:lineRule="exact"/>
        <w:rPr>
          <w:sz w:val="24"/>
          <w:szCs w:val="24"/>
          <w:color w:val="auto"/>
        </w:rPr>
      </w:pPr>
    </w:p>
    <w:p>
      <w:pPr>
        <w:ind w:left="1148"/>
        <w:spacing w:after="0"/>
        <w:rPr>
          <w:sz w:val="20"/>
          <w:szCs w:val="20"/>
          <w:color w:val="auto"/>
        </w:rPr>
      </w:pPr>
      <w:r>
        <w:rPr>
          <w:rFonts w:ascii="Times New Roman" w:cs="Times New Roman" w:eastAsia="Times New Roman" w:hAnsi="Times New Roman"/>
          <w:sz w:val="11"/>
          <w:szCs w:val="11"/>
          <w:color w:val="auto"/>
        </w:rPr>
        <w:t>(State or Other Jurisdiction</w:t>
      </w:r>
    </w:p>
    <w:p>
      <w:pPr>
        <w:spacing w:after="0" w:line="18" w:lineRule="exact"/>
        <w:rPr>
          <w:sz w:val="24"/>
          <w:szCs w:val="24"/>
          <w:color w:val="auto"/>
        </w:rPr>
      </w:pPr>
    </w:p>
    <w:p>
      <w:pPr>
        <w:ind w:left="1388"/>
        <w:spacing w:after="0"/>
        <w:rPr>
          <w:sz w:val="20"/>
          <w:szCs w:val="20"/>
          <w:color w:val="auto"/>
        </w:rPr>
      </w:pPr>
      <w:r>
        <w:rPr>
          <w:rFonts w:ascii="Times New Roman" w:cs="Times New Roman" w:eastAsia="Times New Roman" w:hAnsi="Times New Roman"/>
          <w:sz w:val="12"/>
          <w:szCs w:val="12"/>
          <w:color w:val="auto"/>
        </w:rPr>
        <w:t>of Incorporation)</w:t>
      </w:r>
    </w:p>
    <w:p>
      <w:pPr>
        <w:spacing w:after="0" w:line="20" w:lineRule="exact"/>
        <w:rPr>
          <w:sz w:val="24"/>
          <w:szCs w:val="24"/>
          <w:color w:val="auto"/>
        </w:rPr>
      </w:pPr>
      <w:r>
        <w:rPr>
          <w:sz w:val="24"/>
          <w:szCs w:val="24"/>
          <w:color w:val="auto"/>
        </w:rPr>
        <w:br w:type="column"/>
      </w:r>
    </w:p>
    <w:p>
      <w:pPr>
        <w:spacing w:after="0" w:line="114" w:lineRule="exact"/>
        <w:rPr>
          <w:sz w:val="24"/>
          <w:szCs w:val="24"/>
          <w:color w:val="auto"/>
        </w:rPr>
      </w:pPr>
    </w:p>
    <w:p>
      <w:pPr>
        <w:jc w:val="center"/>
        <w:ind w:right="2340"/>
        <w:spacing w:after="0"/>
        <w:rPr>
          <w:sz w:val="20"/>
          <w:szCs w:val="20"/>
          <w:color w:val="auto"/>
        </w:rPr>
      </w:pPr>
      <w:r>
        <w:rPr>
          <w:rFonts w:ascii="Times New Roman" w:cs="Times New Roman" w:eastAsia="Times New Roman" w:hAnsi="Times New Roman"/>
          <w:sz w:val="12"/>
          <w:szCs w:val="12"/>
          <w:b w:val="1"/>
          <w:bCs w:val="1"/>
          <w:color w:val="auto"/>
        </w:rPr>
        <w:t>001-35403</w:t>
      </w:r>
    </w:p>
    <w:p>
      <w:pPr>
        <w:spacing w:after="0" w:line="21" w:lineRule="exact"/>
        <w:rPr>
          <w:sz w:val="24"/>
          <w:szCs w:val="24"/>
          <w:color w:val="auto"/>
        </w:rPr>
      </w:pPr>
    </w:p>
    <w:p>
      <w:pPr>
        <w:jc w:val="center"/>
        <w:ind w:right="2340"/>
        <w:spacing w:after="0"/>
        <w:rPr>
          <w:sz w:val="20"/>
          <w:szCs w:val="20"/>
          <w:color w:val="auto"/>
        </w:rPr>
      </w:pPr>
      <w:r>
        <w:rPr>
          <w:rFonts w:ascii="Times New Roman" w:cs="Times New Roman" w:eastAsia="Times New Roman" w:hAnsi="Times New Roman"/>
          <w:sz w:val="12"/>
          <w:szCs w:val="12"/>
          <w:color w:val="auto"/>
        </w:rPr>
        <w:t>(Commission</w:t>
      </w:r>
    </w:p>
    <w:p>
      <w:pPr>
        <w:spacing w:after="0" w:line="6" w:lineRule="exact"/>
        <w:rPr>
          <w:sz w:val="24"/>
          <w:szCs w:val="24"/>
          <w:color w:val="auto"/>
        </w:rPr>
      </w:pPr>
    </w:p>
    <w:p>
      <w:pPr>
        <w:jc w:val="center"/>
        <w:ind w:right="2340"/>
        <w:spacing w:after="0"/>
        <w:rPr>
          <w:sz w:val="20"/>
          <w:szCs w:val="20"/>
          <w:color w:val="auto"/>
        </w:rPr>
      </w:pPr>
      <w:r>
        <w:rPr>
          <w:rFonts w:ascii="Times New Roman" w:cs="Times New Roman" w:eastAsia="Times New Roman" w:hAnsi="Times New Roman"/>
          <w:sz w:val="12"/>
          <w:szCs w:val="12"/>
          <w:color w:val="auto"/>
        </w:rPr>
        <w:t>File Number)</w:t>
      </w:r>
    </w:p>
    <w:p>
      <w:pPr>
        <w:spacing w:after="0" w:line="20" w:lineRule="exact"/>
        <w:rPr>
          <w:sz w:val="24"/>
          <w:szCs w:val="24"/>
          <w:color w:val="auto"/>
        </w:rPr>
      </w:pPr>
      <w:r>
        <w:rPr>
          <w:sz w:val="24"/>
          <w:szCs w:val="24"/>
          <w:color w:val="auto"/>
        </w:rPr>
        <w:br w:type="column"/>
      </w:r>
    </w:p>
    <w:p>
      <w:pPr>
        <w:spacing w:after="0" w:line="114" w:lineRule="exact"/>
        <w:rPr>
          <w:sz w:val="24"/>
          <w:szCs w:val="24"/>
          <w:color w:val="auto"/>
        </w:rPr>
      </w:pPr>
    </w:p>
    <w:p>
      <w:pPr>
        <w:jc w:val="center"/>
        <w:ind w:right="1360"/>
        <w:spacing w:after="0"/>
        <w:rPr>
          <w:sz w:val="20"/>
          <w:szCs w:val="20"/>
          <w:color w:val="auto"/>
        </w:rPr>
      </w:pPr>
      <w:r>
        <w:rPr>
          <w:rFonts w:ascii="Times New Roman" w:cs="Times New Roman" w:eastAsia="Times New Roman" w:hAnsi="Times New Roman"/>
          <w:sz w:val="12"/>
          <w:szCs w:val="12"/>
          <w:b w:val="1"/>
          <w:bCs w:val="1"/>
          <w:color w:val="auto"/>
        </w:rPr>
        <w:t>27-3269467</w:t>
      </w:r>
    </w:p>
    <w:p>
      <w:pPr>
        <w:spacing w:after="0" w:line="21" w:lineRule="exact"/>
        <w:rPr>
          <w:sz w:val="24"/>
          <w:szCs w:val="24"/>
          <w:color w:val="auto"/>
        </w:rPr>
      </w:pPr>
    </w:p>
    <w:p>
      <w:pPr>
        <w:jc w:val="center"/>
        <w:ind w:right="1360"/>
        <w:spacing w:after="0"/>
        <w:rPr>
          <w:sz w:val="20"/>
          <w:szCs w:val="20"/>
          <w:color w:val="auto"/>
        </w:rPr>
      </w:pPr>
      <w:r>
        <w:rPr>
          <w:rFonts w:ascii="Times New Roman" w:cs="Times New Roman" w:eastAsia="Times New Roman" w:hAnsi="Times New Roman"/>
          <w:sz w:val="12"/>
          <w:szCs w:val="12"/>
          <w:color w:val="auto"/>
        </w:rPr>
        <w:t>(IRS Employer</w:t>
      </w:r>
    </w:p>
    <w:p>
      <w:pPr>
        <w:spacing w:after="0" w:line="6" w:lineRule="exact"/>
        <w:rPr>
          <w:sz w:val="24"/>
          <w:szCs w:val="24"/>
          <w:color w:val="auto"/>
        </w:rPr>
      </w:pPr>
    </w:p>
    <w:p>
      <w:pPr>
        <w:jc w:val="center"/>
        <w:ind w:right="1360"/>
        <w:spacing w:after="0"/>
        <w:rPr>
          <w:sz w:val="20"/>
          <w:szCs w:val="20"/>
          <w:color w:val="auto"/>
        </w:rPr>
      </w:pPr>
      <w:r>
        <w:rPr>
          <w:rFonts w:ascii="Times New Roman" w:cs="Times New Roman" w:eastAsia="Times New Roman" w:hAnsi="Times New Roman"/>
          <w:sz w:val="12"/>
          <w:szCs w:val="12"/>
          <w:color w:val="auto"/>
        </w:rPr>
        <w:t>Identification No.)</w:t>
      </w:r>
    </w:p>
    <w:p>
      <w:pPr>
        <w:spacing w:after="0" w:line="135" w:lineRule="exact"/>
        <w:rPr>
          <w:sz w:val="24"/>
          <w:szCs w:val="24"/>
          <w:color w:val="auto"/>
        </w:rPr>
      </w:pPr>
    </w:p>
    <w:p>
      <w:pPr>
        <w:sectPr>
          <w:pgSz w:w="11900" w:h="16838" w:orient="portrait"/>
          <w:cols w:equalWidth="0" w:num="3">
            <w:col w:w="4608" w:space="720"/>
            <w:col w:w="3000" w:space="720"/>
            <w:col w:w="2260"/>
          </w:cols>
          <w:pgMar w:left="292" w:top="513" w:right="299" w:bottom="1440" w:gutter="0" w:footer="0" w:header="0"/>
          <w:type w:val="continuous"/>
        </w:sectPr>
      </w:pPr>
    </w:p>
    <w:p>
      <w:pPr>
        <w:ind w:left="1588"/>
        <w:spacing w:after="0"/>
        <w:rPr>
          <w:sz w:val="20"/>
          <w:szCs w:val="20"/>
          <w:color w:val="auto"/>
        </w:rPr>
      </w:pPr>
      <w:r>
        <w:rPr>
          <w:rFonts w:ascii="Times New Roman" w:cs="Times New Roman" w:eastAsia="Times New Roman" w:hAnsi="Times New Roman"/>
          <w:sz w:val="11"/>
          <w:szCs w:val="11"/>
          <w:b w:val="1"/>
          <w:bCs w:val="1"/>
          <w:color w:val="auto"/>
        </w:rPr>
        <w:t>117 Kendrick Street, Suite 500, Needham, MA</w:t>
      </w:r>
    </w:p>
    <w:p>
      <w:pPr>
        <w:spacing w:after="0" w:line="32" w:lineRule="exact"/>
        <w:rPr>
          <w:sz w:val="24"/>
          <w:szCs w:val="24"/>
          <w:color w:val="auto"/>
        </w:rPr>
      </w:pPr>
    </w:p>
    <w:p>
      <w:pPr>
        <w:ind w:left="1788"/>
        <w:spacing w:after="0"/>
        <w:rPr>
          <w:sz w:val="20"/>
          <w:szCs w:val="20"/>
          <w:color w:val="auto"/>
        </w:rPr>
      </w:pPr>
      <w:r>
        <w:rPr>
          <w:rFonts w:ascii="Times New Roman" w:cs="Times New Roman" w:eastAsia="Times New Roman" w:hAnsi="Times New Roman"/>
          <w:sz w:val="12"/>
          <w:szCs w:val="12"/>
          <w:color w:val="auto"/>
        </w:rPr>
        <w:t>(Address of Principal Executive Offices)</w:t>
      </w:r>
    </w:p>
    <w:p>
      <w:pPr>
        <w:spacing w:after="0" w:line="20" w:lineRule="exact"/>
        <w:rPr>
          <w:sz w:val="24"/>
          <w:szCs w:val="24"/>
          <w:color w:val="auto"/>
        </w:rPr>
      </w:pPr>
      <w:r>
        <w:rPr>
          <w:sz w:val="24"/>
          <w:szCs w:val="24"/>
          <w:color w:val="auto"/>
        </w:rPr>
        <w:br w:type="column"/>
      </w:r>
    </w:p>
    <w:p>
      <w:pPr>
        <w:jc w:val="center"/>
        <w:ind w:right="2500"/>
        <w:spacing w:after="0"/>
        <w:rPr>
          <w:sz w:val="20"/>
          <w:szCs w:val="20"/>
          <w:color w:val="auto"/>
        </w:rPr>
      </w:pPr>
      <w:r>
        <w:rPr>
          <w:rFonts w:ascii="Times New Roman" w:cs="Times New Roman" w:eastAsia="Times New Roman" w:hAnsi="Times New Roman"/>
          <w:sz w:val="12"/>
          <w:szCs w:val="12"/>
          <w:b w:val="1"/>
          <w:bCs w:val="1"/>
          <w:color w:val="auto"/>
        </w:rPr>
        <w:t>02494</w:t>
      </w:r>
    </w:p>
    <w:p>
      <w:pPr>
        <w:spacing w:after="0" w:line="21" w:lineRule="exact"/>
        <w:rPr>
          <w:sz w:val="24"/>
          <w:szCs w:val="24"/>
          <w:color w:val="auto"/>
        </w:rPr>
      </w:pPr>
    </w:p>
    <w:p>
      <w:pPr>
        <w:jc w:val="center"/>
        <w:ind w:right="2500"/>
        <w:spacing w:after="0"/>
        <w:rPr>
          <w:sz w:val="20"/>
          <w:szCs w:val="20"/>
          <w:color w:val="auto"/>
        </w:rPr>
      </w:pPr>
      <w:r>
        <w:rPr>
          <w:rFonts w:ascii="Times New Roman" w:cs="Times New Roman" w:eastAsia="Times New Roman" w:hAnsi="Times New Roman"/>
          <w:sz w:val="12"/>
          <w:szCs w:val="12"/>
          <w:color w:val="auto"/>
        </w:rPr>
        <w:t>(Zip Code)</w:t>
      </w:r>
    </w:p>
    <w:p>
      <w:pPr>
        <w:spacing w:after="0" w:line="135" w:lineRule="exact"/>
        <w:rPr>
          <w:sz w:val="24"/>
          <w:szCs w:val="24"/>
          <w:color w:val="auto"/>
        </w:rPr>
      </w:pPr>
    </w:p>
    <w:p>
      <w:pPr>
        <w:sectPr>
          <w:pgSz w:w="11900" w:h="16838" w:orient="portrait"/>
          <w:cols w:equalWidth="0" w:num="2">
            <w:col w:w="7548" w:space="720"/>
            <w:col w:w="3040"/>
          </w:cols>
          <w:pgMar w:left="292" w:top="513" w:right="299" w:bottom="1440" w:gutter="0" w:footer="0" w:header="0"/>
          <w:type w:val="continuous"/>
        </w:sectPr>
      </w:pPr>
    </w:p>
    <w:p>
      <w:pPr>
        <w:jc w:val="center"/>
        <w:ind w:right="-7"/>
        <w:spacing w:after="0"/>
        <w:rPr>
          <w:sz w:val="20"/>
          <w:szCs w:val="20"/>
          <w:color w:val="auto"/>
        </w:rPr>
      </w:pPr>
      <w:r>
        <w:rPr>
          <w:rFonts w:ascii="Times New Roman" w:cs="Times New Roman" w:eastAsia="Times New Roman" w:hAnsi="Times New Roman"/>
          <w:sz w:val="12"/>
          <w:szCs w:val="12"/>
          <w:color w:val="auto"/>
        </w:rPr>
        <w:t xml:space="preserve">Registrant’s telephone number, including area code: </w:t>
      </w:r>
      <w:r>
        <w:rPr>
          <w:rFonts w:ascii="Times New Roman" w:cs="Times New Roman" w:eastAsia="Times New Roman" w:hAnsi="Times New Roman"/>
          <w:sz w:val="12"/>
          <w:szCs w:val="12"/>
          <w:b w:val="1"/>
          <w:bCs w:val="1"/>
          <w:color w:val="auto"/>
        </w:rPr>
        <w:t>(781) 292-4200</w:t>
      </w:r>
    </w:p>
    <w:p>
      <w:pPr>
        <w:spacing w:after="0" w:line="154"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(Former Name or Former Address, if Changed Since Last Report)</w:t>
      </w:r>
    </w:p>
    <w:p>
      <w:pPr>
        <w:spacing w:after="0" w:line="150" w:lineRule="exact"/>
        <w:rPr>
          <w:sz w:val="24"/>
          <w:szCs w:val="24"/>
          <w:color w:val="auto"/>
        </w:rPr>
      </w:pPr>
    </w:p>
    <w:p>
      <w:pPr>
        <w:ind w:left="8"/>
        <w:spacing w:after="0"/>
        <w:rPr>
          <w:sz w:val="20"/>
          <w:szCs w:val="20"/>
          <w:color w:val="auto"/>
        </w:rPr>
      </w:pPr>
      <w:r>
        <w:rPr>
          <w:rFonts w:ascii="Times New Roman" w:cs="Times New Roman" w:eastAsia="Times New Roman" w:hAnsi="Times New Roman"/>
          <w:sz w:val="12"/>
          <w:szCs w:val="12"/>
          <w:color w:val="auto"/>
        </w:rPr>
        <w:t>Check the appropriate box below if the Form 8-K filing is intended to simultaneously satisfy the filing obligation of the registrant under any of the following provisions:</w:t>
      </w:r>
    </w:p>
    <w:p>
      <w:pPr>
        <w:spacing w:after="0" w:line="150" w:lineRule="exact"/>
        <w:rPr>
          <w:sz w:val="24"/>
          <w:szCs w:val="24"/>
          <w:color w:val="auto"/>
        </w:rPr>
      </w:pPr>
    </w:p>
    <w:p>
      <w:pPr>
        <w:ind w:left="208" w:hanging="208"/>
        <w:spacing w:after="0"/>
        <w:tabs>
          <w:tab w:leader="none" w:pos="20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Written communications pursuant to Rule 425 under the Securities Act (17 CFR 230.425)</w:t>
      </w:r>
    </w:p>
    <w:p>
      <w:pPr>
        <w:spacing w:after="0" w:line="18" w:lineRule="exact"/>
        <w:rPr>
          <w:rFonts w:ascii="MS PGothic" w:cs="MS PGothic" w:eastAsia="MS PGothic" w:hAnsi="MS PGothic"/>
          <w:sz w:val="12"/>
          <w:szCs w:val="12"/>
          <w:color w:val="auto"/>
        </w:rPr>
      </w:pPr>
    </w:p>
    <w:p>
      <w:pPr>
        <w:ind w:left="208" w:hanging="208"/>
        <w:spacing w:after="0"/>
        <w:tabs>
          <w:tab w:leader="none" w:pos="20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Soliciting material pursuant to Rule 14a-12 under the Exchange Act (17 CFR 240.14a-12)</w:t>
      </w:r>
    </w:p>
    <w:p>
      <w:pPr>
        <w:spacing w:after="0" w:line="6" w:lineRule="exact"/>
        <w:rPr>
          <w:rFonts w:ascii="MS PGothic" w:cs="MS PGothic" w:eastAsia="MS PGothic" w:hAnsi="MS PGothic"/>
          <w:sz w:val="12"/>
          <w:szCs w:val="12"/>
          <w:color w:val="auto"/>
        </w:rPr>
      </w:pPr>
    </w:p>
    <w:p>
      <w:pPr>
        <w:ind w:left="208" w:hanging="208"/>
        <w:spacing w:after="0"/>
        <w:tabs>
          <w:tab w:leader="none" w:pos="20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14d-2(b) under the Exchange Act (17 CFR 240.14d-2(b))</w:t>
      </w:r>
    </w:p>
    <w:p>
      <w:pPr>
        <w:spacing w:after="0" w:line="6" w:lineRule="exact"/>
        <w:rPr>
          <w:rFonts w:ascii="MS PGothic" w:cs="MS PGothic" w:eastAsia="MS PGothic" w:hAnsi="MS PGothic"/>
          <w:sz w:val="12"/>
          <w:szCs w:val="12"/>
          <w:color w:val="auto"/>
        </w:rPr>
      </w:pPr>
    </w:p>
    <w:p>
      <w:pPr>
        <w:ind w:left="208" w:hanging="208"/>
        <w:spacing w:after="0"/>
        <w:tabs>
          <w:tab w:leader="none" w:pos="20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13e-4(c) under the Exchange Act (17 CFR 240.13e-4(c))</w:t>
      </w:r>
    </w:p>
    <w:p>
      <w:pPr>
        <w:spacing w:after="0" w:line="138" w:lineRule="exact"/>
        <w:rPr>
          <w:sz w:val="24"/>
          <w:szCs w:val="24"/>
          <w:color w:val="auto"/>
        </w:rPr>
      </w:pPr>
    </w:p>
    <w:tbl>
      <w:tblPr>
        <w:tblLayout w:type="fixed"/>
        <w:tblInd w:w="8" w:type="dxa"/>
        <w:tblCellMar>
          <w:top w:w="0" w:type="dxa"/>
          <w:left w:w="0" w:type="dxa"/>
          <w:bottom w:w="0" w:type="dxa"/>
          <w:right w:w="0" w:type="dxa"/>
        </w:tblCellMar>
      </w:tblPr>
      <w:tr>
        <w:trPr>
          <w:trHeight w:val="155"/>
        </w:trPr>
        <w:tc>
          <w:tcPr>
            <w:tcW w:w="3840" w:type="dxa"/>
            <w:vAlign w:val="bottom"/>
            <w:gridSpan w:val="2"/>
          </w:tcPr>
          <w:p>
            <w:pPr>
              <w:spacing w:after="0"/>
              <w:rPr>
                <w:sz w:val="20"/>
                <w:szCs w:val="20"/>
                <w:color w:val="auto"/>
              </w:rPr>
            </w:pPr>
            <w:r>
              <w:rPr>
                <w:rFonts w:ascii="Times New Roman" w:cs="Times New Roman" w:eastAsia="Times New Roman" w:hAnsi="Times New Roman"/>
                <w:sz w:val="12"/>
                <w:szCs w:val="12"/>
                <w:color w:val="221E1F"/>
              </w:rPr>
              <w:t>Securities registered pursuant to Section 12(b) of the Act:</w:t>
            </w:r>
          </w:p>
        </w:tc>
        <w:tc>
          <w:tcPr>
            <w:tcW w:w="3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20" w:type="dxa"/>
            <w:vAlign w:val="bottom"/>
          </w:tcPr>
          <w:p>
            <w:pPr>
              <w:spacing w:after="0"/>
              <w:rPr>
                <w:sz w:val="13"/>
                <w:szCs w:val="13"/>
                <w:color w:val="auto"/>
              </w:rPr>
            </w:pPr>
          </w:p>
        </w:tc>
      </w:tr>
      <w:tr>
        <w:trPr>
          <w:trHeight w:val="273"/>
        </w:trPr>
        <w:tc>
          <w:tcPr>
            <w:tcW w:w="36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9"/>
              </w:rPr>
              <w:t>Trading</w:t>
            </w:r>
          </w:p>
        </w:tc>
        <w:tc>
          <w:tcPr>
            <w:tcW w:w="3620" w:type="dxa"/>
            <w:vAlign w:val="bottom"/>
          </w:tcPr>
          <w:p>
            <w:pPr>
              <w:spacing w:after="0"/>
              <w:rPr>
                <w:sz w:val="23"/>
                <w:szCs w:val="23"/>
                <w:color w:val="auto"/>
              </w:rPr>
            </w:pPr>
          </w:p>
        </w:tc>
      </w:tr>
      <w:tr>
        <w:trPr>
          <w:trHeight w:val="159"/>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9"/>
              </w:rPr>
              <w:t>Title of each class</w:t>
            </w:r>
          </w:p>
        </w:tc>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7"/>
              </w:rPr>
              <w:t>Symbol(s)</w:t>
            </w:r>
          </w:p>
        </w:tc>
        <w:tc>
          <w:tcPr>
            <w:tcW w:w="36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Name of each exchange on which registered</w:t>
            </w:r>
          </w:p>
        </w:tc>
      </w:tr>
      <w:tr>
        <w:trPr>
          <w:trHeight w:val="144"/>
        </w:trPr>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Common stock, $0.0001 par value per share</w:t>
            </w:r>
          </w:p>
        </w:tc>
        <w:tc>
          <w:tcPr>
            <w:tcW w:w="240" w:type="dxa"/>
            <w:vAlign w:val="bottom"/>
          </w:tcPr>
          <w:p>
            <w:pPr>
              <w:spacing w:after="0"/>
              <w:rPr>
                <w:sz w:val="12"/>
                <w:szCs w:val="12"/>
                <w:color w:val="auto"/>
              </w:rPr>
            </w:pPr>
          </w:p>
        </w:tc>
        <w:tc>
          <w:tcPr>
            <w:tcW w:w="3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VSTM</w:t>
            </w:r>
          </w:p>
        </w:tc>
        <w:tc>
          <w:tcPr>
            <w:tcW w:w="220" w:type="dxa"/>
            <w:vAlign w:val="bottom"/>
          </w:tcPr>
          <w:p>
            <w:pPr>
              <w:spacing w:after="0"/>
              <w:rPr>
                <w:sz w:val="12"/>
                <w:szCs w:val="12"/>
                <w:color w:val="auto"/>
              </w:rPr>
            </w:pPr>
          </w:p>
        </w:tc>
        <w:tc>
          <w:tcPr>
            <w:tcW w:w="3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The Nasdaq Capital Market</w:t>
            </w:r>
          </w:p>
        </w:tc>
      </w:tr>
    </w:tbl>
    <w:p>
      <w:pPr>
        <w:spacing w:after="0" w:line="122" w:lineRule="exact"/>
        <w:rPr>
          <w:sz w:val="24"/>
          <w:szCs w:val="24"/>
          <w:color w:val="auto"/>
        </w:rPr>
      </w:pPr>
    </w:p>
    <w:p>
      <w:pPr>
        <w:ind w:left="8" w:right="180"/>
        <w:spacing w:after="0" w:line="279" w:lineRule="auto"/>
        <w:rPr>
          <w:sz w:val="20"/>
          <w:szCs w:val="20"/>
          <w:color w:val="auto"/>
        </w:rPr>
      </w:pPr>
      <w:r>
        <w:rPr>
          <w:rFonts w:ascii="Times New Roman" w:cs="Times New Roman" w:eastAsia="Times New Roman" w:hAnsi="Times New Roman"/>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3" w:lineRule="exact"/>
        <w:rPr>
          <w:sz w:val="24"/>
          <w:szCs w:val="24"/>
          <w:color w:val="auto"/>
        </w:rPr>
      </w:pPr>
    </w:p>
    <w:p>
      <w:pPr>
        <w:ind w:left="9848"/>
        <w:spacing w:after="0" w:line="127" w:lineRule="exact"/>
        <w:rPr>
          <w:sz w:val="20"/>
          <w:szCs w:val="20"/>
          <w:color w:val="auto"/>
        </w:rPr>
      </w:pPr>
      <w:r>
        <w:rPr>
          <w:rFonts w:ascii="Times New Roman" w:cs="Times New Roman" w:eastAsia="Times New Roman" w:hAnsi="Times New Roman"/>
          <w:sz w:val="11"/>
          <w:szCs w:val="11"/>
          <w:color w:val="auto"/>
        </w:rPr>
        <w:t xml:space="preserve">Emerging growth company </w:t>
      </w:r>
      <w:r>
        <w:rPr>
          <w:rFonts w:ascii="MS PGothic" w:cs="MS PGothic" w:eastAsia="MS PGothic" w:hAnsi="MS PGothic"/>
          <w:sz w:val="11"/>
          <w:szCs w:val="11"/>
          <w:color w:val="auto"/>
        </w:rPr>
        <w:t>☐</w:t>
      </w:r>
    </w:p>
    <w:p>
      <w:pPr>
        <w:spacing w:after="0" w:line="190" w:lineRule="exact"/>
        <w:rPr>
          <w:sz w:val="24"/>
          <w:szCs w:val="24"/>
          <w:color w:val="auto"/>
        </w:rPr>
      </w:pPr>
    </w:p>
    <w:p>
      <w:pPr>
        <w:ind w:left="8" w:right="100"/>
        <w:spacing w:after="0" w:line="159"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80645</wp:posOffset>
            </wp:positionV>
            <wp:extent cx="717804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97790</wp:posOffset>
            </wp:positionV>
            <wp:extent cx="7178040" cy="114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8040" cy="1143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394970</wp:posOffset>
            </wp:positionV>
            <wp:extent cx="717804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513" w:right="29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2"/>
          <w:szCs w:val="12"/>
          <w:b w:val="1"/>
          <w:bCs w:val="1"/>
          <w:color w:val="auto"/>
        </w:rPr>
        <w:t>Item 7.01 Regulation FD Disclosure.</w:t>
      </w:r>
    </w:p>
    <w:p>
      <w:pPr>
        <w:spacing w:after="0" w:line="154"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On May 24, 2024, Verastem, Inc. (the “Company” or “Verastem”) issued a press release announcing the initiation of a rolling submission of a New Drug Application (“NDA”) to the U.S. Food and Drug Administration (“FDA”) for Accelerated Approval of the combination of avutometinib and defactinib for adult patients with recurrent KRAS mutant (“KRAS mt”) low-grade serious ovarian cancer (“LGSOC”);</w:t>
      </w:r>
    </w:p>
    <w:p>
      <w:pPr>
        <w:spacing w:after="0" w:line="11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A copy of the press release is furnished hereto as Exhibit 99.1 to this Current Report on Form 8-K.</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On May 24, 2024, the Company also posted its corporate presentation on its website, a copy of which is furnished hereto as Exhibit 99.2 to this Current Report on Form 8-K.</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8.01 Other Events.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Recent Developments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RAMP-201 (ENGOTov60/GOG3052)</w:t>
      </w:r>
    </w:p>
    <w:p>
      <w:pPr>
        <w:spacing w:after="0" w:line="150"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2"/>
          <w:szCs w:val="12"/>
          <w:color w:val="auto"/>
        </w:rPr>
        <w:t>The Company recently announced that it has initiated the rolling submission of an NDA to the FDA seeking accelerated approval of the combination of avutometinib and defactinib for patients with recurrent KRAS mt LGSOC who received at least one prior systemic therapy. The rolling review process allows Verastem to submit completed sections of an application for review by the FDA before all sections become available. The initial sections of the application will include the nonclinical and quality sections. Based on discussions with the FDA, the primary efficacy analysis will be based on the RAMP 201 study with 12 months of follow up and that the proposed indication for final submission of the clinical module can be expanded in the event the Company provides data that would be considered a substantial improvement over available therapy in the KRAS wildtype (“KRAS wt”) population. Previously, the FDA granted Orphan Drug Designation for the combination in LGSOC and Breakthrough Therapy Designation for the combination for treatment of patients with LGSOC with recurrent disease after one or more prior lines of therapy, including platinum-based chemotherapy. The Company plans to request a priority review of the NDA. Currently, there are no FDA-approved treatments specifically for recurrent LGSOC.</w:t>
      </w:r>
    </w:p>
    <w:p>
      <w:pPr>
        <w:spacing w:after="0" w:line="125"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2"/>
          <w:szCs w:val="12"/>
          <w:color w:val="auto"/>
        </w:rPr>
        <w:t>In the RAMP 201 trial, 115 patients with recurrent LGSOC were treated with the combination of avutometinib and defactinib, of which 109 patients had measurable tumor masses at baseline and were eligible for formal efficacy evaluation as of the data cutoff (February 2024). As of the data cutoff, all patients had a minimum follow-up of five months since enrollment. Confirmed objective response rates by blinded independent central review for patients evaluable for efficacy were 27% in all patients, and 37% and 15% in KRAS mt (n=57) and KRAS wt (n=52) LGSOC, respectively. Of the 32 patients who remained on study treatment at the data cutoff, 14 achieved a best response rate of stable disease or unconfirmed partial response and therefore have the potential to achieve a formal objective response upon further treatment. 60% of evaluable patients (65/109) achieved either a complete response, partial response, or stable disease response for 6 months or longer (Clinical Benefit Rate ≥ 6 months). The safety results were consistent with previously reported safety data, and the discontinuation rate due to adverse events was 9% in the trial overall, as of the cutoff date.</w:t>
      </w:r>
    </w:p>
    <w:p>
      <w:pPr>
        <w:spacing w:after="0" w:line="125" w:lineRule="exact"/>
        <w:rPr>
          <w:sz w:val="20"/>
          <w:szCs w:val="20"/>
          <w:color w:val="auto"/>
        </w:rPr>
      </w:pPr>
    </w:p>
    <w:p>
      <w:pPr>
        <w:jc w:val="both"/>
        <w:ind w:right="20" w:firstLine="432"/>
        <w:spacing w:after="0" w:line="279" w:lineRule="auto"/>
        <w:rPr>
          <w:sz w:val="20"/>
          <w:szCs w:val="20"/>
          <w:color w:val="auto"/>
        </w:rPr>
      </w:pPr>
      <w:r>
        <w:rPr>
          <w:rFonts w:ascii="Times New Roman" w:cs="Times New Roman" w:eastAsia="Times New Roman" w:hAnsi="Times New Roman"/>
          <w:sz w:val="12"/>
          <w:szCs w:val="12"/>
          <w:color w:val="auto"/>
        </w:rPr>
        <w:t>The Company previously announced results from Part A of the RAMP 201 trial, which were presented at the American Society of Clinical Oncology Annual Meeting in 2023. For the patients in Part A, as of the February 2024 cutoff date, median duration of therapy for all patients was 11 months, and for patients with KRAS mt and KRAS wt LGOSC, median duration of treatment was 18 months and 8 months,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271780</wp:posOffset>
            </wp:positionV>
            <wp:extent cx="717804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2" w:name="page3"/>
    <w:bookmarkEnd w:id="2"/>
    <w:p>
      <w:pPr>
        <w:jc w:val="both"/>
        <w:ind w:firstLine="432"/>
        <w:spacing w:after="0" w:line="257" w:lineRule="auto"/>
        <w:rPr>
          <w:sz w:val="20"/>
          <w:szCs w:val="20"/>
          <w:color w:val="auto"/>
        </w:rPr>
      </w:pPr>
      <w:r>
        <w:rPr>
          <w:rFonts w:ascii="Times New Roman" w:cs="Times New Roman" w:eastAsia="Times New Roman" w:hAnsi="Times New Roman"/>
          <w:sz w:val="12"/>
          <w:szCs w:val="12"/>
          <w:color w:val="auto"/>
        </w:rPr>
        <w:t>Based on internal revenue forecasts, including potential market penetration of the Company’s product candidates and the longer median duration of treatment observed in RAMP 201 Part A, the Company believes that KRAS mt represents over two-thirds of the revenue opportunity, compared with combined KRAS mt and KRAS wt, without any differential pricing. According to awareness trial usage survey results conducted by the Company, using a target product profile based on the avutometinib and defactinib combination, 70% of oncologists surveyed indicated they would plan to treat prevalent patients with the combination at the patients’ next recurrence, and 49% indicated that initial recurrence would be the ideal time to introduce the combination treatment in the patient journey. The Company plans to have a focused commercial launch targeting the top 400 healthcare providers and top 100 healthcare organizations which are estimated to cover nearly half of the LGSOC population with a target sales force of between 14-18 representatives.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Note Regarding Recent Developments</w:t>
      </w:r>
    </w:p>
    <w:p>
      <w:pPr>
        <w:spacing w:after="0" w:line="154"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The potential market opportunity for The Company’s product candidates is difficult to estimate precisely. Management of the Company makes estimates, including those contained in this Current Report on Form 8-K, regarding the incidence and prevalence of target patient populations, the rate of recurrence and the median survival for particular diseases, including with respect to LGSOC, based on various third-party sources and internally generated analysis and use such estimates in making decisions regarding the Company’s drug development strategy determining indications on which to focus in preclinical or clinical trials.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276860</wp:posOffset>
            </wp:positionV>
            <wp:extent cx="717804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3" w:name="page4"/>
    <w:bookmarkEnd w:id="3"/>
    <w:p>
      <w:pPr>
        <w:jc w:val="both"/>
        <w:ind w:firstLine="432"/>
        <w:spacing w:after="0" w:line="256" w:lineRule="auto"/>
        <w:rPr>
          <w:sz w:val="20"/>
          <w:szCs w:val="20"/>
          <w:color w:val="auto"/>
        </w:rPr>
      </w:pPr>
      <w:r>
        <w:rPr>
          <w:rFonts w:ascii="Times New Roman" w:cs="Times New Roman" w:eastAsia="Times New Roman" w:hAnsi="Times New Roman"/>
          <w:sz w:val="12"/>
          <w:szCs w:val="12"/>
          <w:color w:val="auto"/>
        </w:rPr>
        <w:t>Management’s estimates of the patient population, pricing and revenue opportunities for the Company’s product candidates, including KRAS mt and KRAS wt for patients with LGSOC, are based on a number of internal and third-party estimates that may be inaccurate or based on imprecise data. For example, if approved by the FDA, the market opportunity of the Company’s product candidates will depend on, among other things, acceptance by the medical community, patient access, drug pricing and reimbursement. The number of patients in the addressable market may turn out to be lower than expected, patients may not be otherwise amenable to treatment with the Company’s drugs, or new patients may become increasingly difficult to identify or gain access to, all of which may significantly harm the Company’s business, financial condition, results of operations, and prospects. Further, if any approval that the Company obtains is based on a narrower definition of patient populations than the Company had anticipated, the potential market for the Company’s product candidates will be smaller than management’s current estimates, which could have a materially adverse effect on the Company’s ability to achieve commercialization and generate revenues.</w:t>
      </w:r>
    </w:p>
    <w:p>
      <w:pPr>
        <w:spacing w:after="0" w:line="125"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In addition, the FDA and other comparable regulatory authorities could require clearance or approval of an in vitro diagnostic or companion diagnostic device as a condition of approval for any product candidates that require from such tests, including the combination of avutometinib and defactinib. If the Company is unable to successfully validate, develop and obtain regulatory approval for companion diagnostic tests for the Company’s product candidates that require such tests, or experience significant delays in doing so, the Company may not realize the full commercial potential of these product candidates and the Company’s drug development strategy and operational results may be harmed.</w:t>
      </w:r>
    </w:p>
    <w:p>
      <w:pPr>
        <w:spacing w:after="0" w:line="122"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2"/>
          <w:szCs w:val="12"/>
          <w:color w:val="auto"/>
        </w:rPr>
        <w:t>The development programs for some of the Company’s product candidates contemplate working with developers or obtaining access to marketed companion diagnostic tests, which are assays or tests to identify an appropriate patient population. For example, in connection with the Company’s planned rolling NDA submission for the combination of avutometinib and defactinib for patients with recurrent KRAS mt LGSOC, the Company may be required to obtain FDA approval or clearance of a companion diagnostic. If safe and effective use of any of the Company’s product candidates the Company may develop depends on a companion diagnostic, the Company may not receive marketing approval, or marketing approval may be delayed, if the Company is unable to or is delayed in developing, identifying, or obtaining regulatory approval or clearance any such the companion diagnostic product for use with the Company’s product candidate. The process of obtaining or creating such companion diagnostics is time consuming and costly and the Company, and/or future collaborators, may encounter difficulties in developing and obtaining regulatory clearance or approval for the companion diagnostics.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Note Regarding Forward-Looking Statements</w:t>
      </w:r>
    </w:p>
    <w:p>
      <w:pPr>
        <w:spacing w:after="0" w:line="154" w:lineRule="exact"/>
        <w:rPr>
          <w:sz w:val="20"/>
          <w:szCs w:val="20"/>
          <w:color w:val="auto"/>
        </w:rPr>
      </w:pPr>
    </w:p>
    <w:p>
      <w:pPr>
        <w:jc w:val="both"/>
        <w:ind w:firstLine="432"/>
        <w:spacing w:after="0" w:line="257" w:lineRule="auto"/>
        <w:rPr>
          <w:sz w:val="20"/>
          <w:szCs w:val="20"/>
          <w:color w:val="auto"/>
        </w:rPr>
      </w:pPr>
      <w:r>
        <w:rPr>
          <w:rFonts w:ascii="Times New Roman" w:cs="Times New Roman" w:eastAsia="Times New Roman" w:hAnsi="Times New Roman"/>
          <w:sz w:val="12"/>
          <w:szCs w:val="12"/>
          <w:color w:val="auto"/>
        </w:rPr>
        <w:t>This Current Report on Form 8-K includes forward-looking statements about, among other things, the Company’s programs and product candidates, strategy, future plans and prospects, the potential clinical value of various of its clinical trials, including the RAMP 201 and RAMP 301 trials, the timing of commencing and completing trials, including topline data reports, interactions with regulators, the potential for and timing of commercialization of product candidates and potential for additional development programs involving the Company’s lead compound and the potential market opportunities of the Company’s drug candidates. The words "anticipate," "believe," "estimate," "expect," "intend," "may," "plan," "predict," "project," "target," "potential," "will," "would," "could," "should," "continue," "can," "promising" and similar expressions are intended to identify forward-looking statements, although not all forward-looking statements contain these identifying words. Each forward-looking statement is subject to risks and uncertainties that could cause actual results to differ materially from those expressed or implied in such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280670</wp:posOffset>
            </wp:positionV>
            <wp:extent cx="7178040"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4" w:name="page5"/>
    <w:bookmarkEnd w:id="4"/>
    <w:p>
      <w:pPr>
        <w:jc w:val="both"/>
        <w:ind w:firstLine="432"/>
        <w:spacing w:after="0" w:line="251" w:lineRule="auto"/>
        <w:rPr>
          <w:sz w:val="20"/>
          <w:szCs w:val="20"/>
          <w:color w:val="auto"/>
        </w:rPr>
      </w:pPr>
      <w:r>
        <w:rPr>
          <w:rFonts w:ascii="Times New Roman" w:cs="Times New Roman" w:eastAsia="Times New Roman" w:hAnsi="Times New Roman"/>
          <w:sz w:val="12"/>
          <w:szCs w:val="12"/>
          <w:color w:val="auto"/>
        </w:rPr>
        <w:t>Applicable risks and uncertainties include the risks and uncertainties, among other things, regarding: the success in the development and potential commercialization of our product candidates, including avutometinib in combination with other compounds, including defactinib, LUMAKRAS™ and others; the uncertainties inherent in research and development, such as negative or unexpected results of clinical trials, the occurrence or timing of applications for our product candidates that may be filed with regulatory authorities in any jurisdictions; whether and when regulatory authorities in any jurisdictions may approve any such applications that may be filed for our product candidates, and, if approved, whether our product candidates will be commercially successful in such jurisdictions; our ability to obtain, maintain and enforce patent and other intellectual property protection for our product candidates; the scope, timing, and outcome of any legal proceedings; decisions by regulatory authorities regarding trial design, labeling and other matters that could affect the timing, availability or commercial potential of our product candidates; whether preclinical testing of our product candidates and preliminary or interim data from clinical trials will be predictive of the results or success of ongoing or later clinical trials; that the timing, scope and rate of reimbursement for our product candidates is uncertain; the market opportunities of our drug candidates are based on internal and third-party estimates which may prove to be incorrect; that third-party payors (including government agencies) may not reimburse; that there may be competitive developments affecting our product candidates; that data may not be available when expected; that enrollment of clinical trials may take longer than expected, which may delay our development programs, including delays in submission or review by the FDA of our NDA submission in recurrent KRAS mutant LGSOC if enrollment in our confirmatory trial is not well underway at the time of submission, or that the FDA may require the Company to have completed enrollment or to enroll additional patients in the Company’s ongoing RAMP-301 confirmatory Phase 3 clinical trial prior to Verastem submitting or the FDA taking action on our NDA seeking accelerated approval; that our product candidates will cause adverse safety events and/or unexpected concerns may arise from additional data or analysis, or result in unmanageable safety profiles as compared to their levels of efficacy; that we may be unable to successfully validate, develop and obtain regulatory approval for companion diagnostic tests for our product candidates that require or would commercially benefit from such tests, or experience significant delays in doing so; that our product candidates may experience manufacturing or supply interruptions or failures; that any of our third-party contract research organizations, contract manufacturing organizations, clinical sites, or contractors, among others, who we rely on fail to fully perform; that we face substantial competition, which may result in others developing or commercializing products before or more successfully than we do which could result in reduced market share or market potential for our product candidates; that we will be unable to successfully initiate or complete the clinical development and eventual commercialization of our product candidates; that the development and commercialization of our product candidates will take longer or cost more than planned, including as a result of conducting additional studies; that we may not have sufficient cash to fund our contemplated operations; that we may not attract and retain high quality personnel; that we or Chugai Pharmaceutical Co., Ltd. will fail to fully perform under the avutometinib license agreement; that our target market for our product candidates might be smaller than we are presently estimating; that Secura Bio, Inc. will fail to fully perform under the asset purchase agreement with Secura Bio, Inc., including in relation to milestone payments; that we will not see a return on investment on the payments we have and may continue to make pursuant to the collaboration and option agreement with GenFleet Therapeutics (Shanghai), Inc. (“GenFleet”), or that GenFleet will fail to fully perform under the agreement; that we may be unable to obtain adequate financing in the future through product licensing, co-promotional arrangements, public or private equity, debt financing or otherwise; that we will not pursue or submit regulatory filings for our product candidates; and that our product candidates will not receive regulatory approval, become commercially successful products, or result in new treatment options being offered to patients.</w:t>
      </w:r>
    </w:p>
    <w:p>
      <w:pPr>
        <w:spacing w:after="0" w:line="137"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 xml:space="preserve">Other risks and uncertainties include those identified under the heading “Risk Factors” in the Company’s Annual Report on Form 10-K for the year ended December 31, 2023, as filed with the Securities and Exchange Commission (the “SEC”) on March 14, 2024, and in any subsequent filings with the SEC, including in this Current Report on Form 8-K, which are available at www.sec.gov and </w:t>
      </w:r>
      <w:r>
        <w:rPr>
          <w:rFonts w:ascii="Times New Roman" w:cs="Times New Roman" w:eastAsia="Times New Roman" w:hAnsi="Times New Roman"/>
          <w:sz w:val="12"/>
          <w:szCs w:val="12"/>
          <w:u w:val="single" w:color="auto"/>
          <w:color w:val="auto"/>
        </w:rPr>
        <w:t>www.verastem.com</w:t>
      </w:r>
      <w:r>
        <w:rPr>
          <w:rFonts w:ascii="Times New Roman" w:cs="Times New Roman" w:eastAsia="Times New Roman" w:hAnsi="Times New Roman"/>
          <w:sz w:val="12"/>
          <w:szCs w:val="12"/>
          <w:color w:val="auto"/>
        </w:rPr>
        <w:t>.</w:t>
      </w:r>
    </w:p>
    <w:p>
      <w:pPr>
        <w:spacing w:after="0" w:line="111"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As a result of these and other factors, we may not achieve the plans, intentions or expectations disclosed in our forward-looking statements, and you should not place undue reliance on our forward-looking statements. The forward-looking statements contained in this Current Report on Form 8-K reflect the Company’s views as of the date hereof, and the Company does not assume and specifically disclaims any obligation to update any forward-looking statements whether as a result of new information, future events or otherwise, except as required by law.</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9.01. Financial Statements and Exhibits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170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rPr>
              <w:t>Exhibit No.</w:t>
            </w:r>
          </w:p>
        </w:tc>
        <w:tc>
          <w:tcPr>
            <w:tcW w:w="21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5920" w:type="dxa"/>
            <w:vAlign w:val="bottom"/>
          </w:tcPr>
          <w:p>
            <w:pPr>
              <w:ind w:left="820"/>
              <w:spacing w:after="0"/>
              <w:rPr>
                <w:sz w:val="20"/>
                <w:szCs w:val="20"/>
                <w:color w:val="auto"/>
              </w:rPr>
            </w:pPr>
            <w:r>
              <w:rPr>
                <w:rFonts w:ascii="Times New Roman" w:cs="Times New Roman" w:eastAsia="Times New Roman" w:hAnsi="Times New Roman"/>
                <w:sz w:val="12"/>
                <w:szCs w:val="12"/>
                <w:b w:val="1"/>
                <w:bCs w:val="1"/>
                <w:color w:val="auto"/>
              </w:rPr>
              <w:t>Description</w:t>
            </w:r>
          </w:p>
        </w:tc>
      </w:tr>
      <w:tr>
        <w:trPr>
          <w:trHeight w:val="250"/>
        </w:trPr>
        <w:tc>
          <w:tcPr>
            <w:tcW w:w="2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2"/>
                <w:szCs w:val="12"/>
                <w:color w:val="0000EE"/>
                <w:w w:val="85"/>
              </w:rPr>
              <w:t>99.</w:t>
            </w:r>
            <w:r>
              <w:rPr>
                <w:rFonts w:ascii="Times New Roman" w:cs="Times New Roman" w:eastAsia="Times New Roman" w:hAnsi="Times New Roman"/>
                <w:sz w:val="12"/>
                <w:szCs w:val="12"/>
                <w:u w:val="single" w:color="auto"/>
                <w:color w:val="0000EE"/>
                <w:w w:val="85"/>
              </w:rPr>
              <w:t>1</w:t>
            </w:r>
          </w:p>
        </w:tc>
        <w:tc>
          <w:tcPr>
            <w:tcW w:w="1260" w:type="dxa"/>
            <w:vAlign w:val="bottom"/>
            <w:tcBorders>
              <w:top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960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2"/>
                <w:szCs w:val="12"/>
                <w:color w:val="0000EE"/>
              </w:rPr>
              <w:t>Press Release, dated May 24, 2024 relating to Verastem’s Regulatory Update</w:t>
            </w:r>
          </w:p>
        </w:tc>
      </w:tr>
      <w:tr>
        <w:trPr>
          <w:trHeight w:val="124"/>
        </w:trPr>
        <w:tc>
          <w:tcPr>
            <w:tcW w:w="200" w:type="dxa"/>
            <w:vAlign w:val="bottom"/>
            <w:tcBorders>
              <w:top w:val="single" w:sz="8" w:color="0000EE"/>
              <w:bottom w:val="single" w:sz="8" w:color="0000EE"/>
            </w:tcBorders>
          </w:tcPr>
          <w:p>
            <w:pPr>
              <w:spacing w:after="0" w:line="124" w:lineRule="exact"/>
              <w:rPr>
                <w:sz w:val="20"/>
                <w:szCs w:val="20"/>
                <w:color w:val="auto"/>
              </w:rPr>
            </w:pPr>
            <w:r>
              <w:rPr>
                <w:rFonts w:ascii="Times New Roman" w:cs="Times New Roman" w:eastAsia="Times New Roman" w:hAnsi="Times New Roman"/>
                <w:sz w:val="12"/>
                <w:szCs w:val="12"/>
                <w:color w:val="0000EE"/>
                <w:w w:val="85"/>
              </w:rPr>
              <w:t>99.</w:t>
            </w:r>
            <w:r>
              <w:rPr>
                <w:rFonts w:ascii="Times New Roman" w:cs="Times New Roman" w:eastAsia="Times New Roman" w:hAnsi="Times New Roman"/>
                <w:sz w:val="12"/>
                <w:szCs w:val="12"/>
                <w:u w:val="single" w:color="auto"/>
                <w:color w:val="0000EE"/>
                <w:w w:val="85"/>
              </w:rPr>
              <w:t>2</w:t>
            </w:r>
          </w:p>
        </w:tc>
        <w:tc>
          <w:tcPr>
            <w:tcW w:w="1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120" w:type="dxa"/>
            <w:vAlign w:val="bottom"/>
            <w:tcBorders>
              <w:top w:val="single" w:sz="8" w:color="0000EE"/>
              <w:bottom w:val="single" w:sz="8" w:color="0000EE"/>
            </w:tcBorders>
          </w:tcPr>
          <w:p>
            <w:pPr>
              <w:spacing w:after="0" w:line="124" w:lineRule="exact"/>
              <w:rPr>
                <w:sz w:val="20"/>
                <w:szCs w:val="20"/>
                <w:color w:val="auto"/>
              </w:rPr>
            </w:pPr>
            <w:r>
              <w:rPr>
                <w:rFonts w:ascii="Times New Roman" w:cs="Times New Roman" w:eastAsia="Times New Roman" w:hAnsi="Times New Roman"/>
                <w:sz w:val="12"/>
                <w:szCs w:val="12"/>
                <w:color w:val="0000EE"/>
                <w:w w:val="98"/>
              </w:rPr>
              <w:t>Corporate Presentation, dated May 24, 2024</w:t>
            </w:r>
          </w:p>
        </w:tc>
        <w:tc>
          <w:tcPr>
            <w:tcW w:w="1560" w:type="dxa"/>
            <w:vAlign w:val="bottom"/>
            <w:tcBorders>
              <w:top w:val="single" w:sz="8" w:color="0000EE"/>
            </w:tcBorders>
          </w:tcPr>
          <w:p>
            <w:pPr>
              <w:spacing w:after="0"/>
              <w:rPr>
                <w:sz w:val="10"/>
                <w:szCs w:val="10"/>
                <w:color w:val="auto"/>
              </w:rPr>
            </w:pPr>
          </w:p>
        </w:tc>
        <w:tc>
          <w:tcPr>
            <w:tcW w:w="5920" w:type="dxa"/>
            <w:vAlign w:val="bottom"/>
          </w:tcPr>
          <w:p>
            <w:pPr>
              <w:spacing w:after="0"/>
              <w:rPr>
                <w:sz w:val="10"/>
                <w:szCs w:val="10"/>
                <w:color w:val="auto"/>
              </w:rPr>
            </w:pPr>
          </w:p>
        </w:tc>
      </w:tr>
      <w:tr>
        <w:trPr>
          <w:trHeight w:val="151"/>
        </w:trPr>
        <w:tc>
          <w:tcPr>
            <w:tcW w:w="200" w:type="dxa"/>
            <w:vAlign w:val="bottom"/>
          </w:tcPr>
          <w:p>
            <w:pPr>
              <w:spacing w:after="0"/>
              <w:rPr>
                <w:sz w:val="20"/>
                <w:szCs w:val="20"/>
                <w:color w:val="auto"/>
              </w:rPr>
            </w:pPr>
            <w:r>
              <w:rPr>
                <w:rFonts w:ascii="Times New Roman" w:cs="Times New Roman" w:eastAsia="Times New Roman" w:hAnsi="Times New Roman"/>
                <w:sz w:val="12"/>
                <w:szCs w:val="12"/>
                <w:color w:val="auto"/>
                <w:w w:val="99"/>
              </w:rPr>
              <w:t>104</w:t>
            </w:r>
          </w:p>
        </w:tc>
        <w:tc>
          <w:tcPr>
            <w:tcW w:w="1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Cover Page Interactive Data File (embedded within the Inline XBRL document)</w:t>
            </w:r>
          </w:p>
        </w:tc>
      </w:tr>
      <w:tr>
        <w:trPr>
          <w:trHeight w:val="450"/>
        </w:trPr>
        <w:tc>
          <w:tcPr>
            <w:tcW w:w="2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592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651" w:right="299" w:bottom="1440" w:gutter="0" w:footer="0" w:header="0"/>
        </w:sectPr>
      </w:pPr>
    </w:p>
    <w:bookmarkStart w:id="5" w:name="page6"/>
    <w:bookmarkEnd w:id="5"/>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SIGNATURES</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Pursuant to the requirements of the Securities Exchange Act of 1934, the registrant has duly caused this report to be signed on its behalf by the undersigned hereunto duly authorized.</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3340" w:type="dxa"/>
            <w:vAlign w:val="bottom"/>
          </w:tcPr>
          <w:p>
            <w:pPr>
              <w:spacing w:after="0"/>
              <w:rPr>
                <w:sz w:val="13"/>
                <w:szCs w:val="13"/>
                <w:color w:val="auto"/>
              </w:rPr>
            </w:pPr>
          </w:p>
        </w:tc>
        <w:tc>
          <w:tcPr>
            <w:tcW w:w="7960" w:type="dxa"/>
            <w:vAlign w:val="bottom"/>
            <w:gridSpan w:val="2"/>
          </w:tcPr>
          <w:p>
            <w:pPr>
              <w:ind w:left="2320"/>
              <w:spacing w:after="0"/>
              <w:rPr>
                <w:sz w:val="20"/>
                <w:szCs w:val="20"/>
                <w:color w:val="auto"/>
              </w:rPr>
            </w:pPr>
            <w:r>
              <w:rPr>
                <w:rFonts w:ascii="Times New Roman" w:cs="Times New Roman" w:eastAsia="Times New Roman" w:hAnsi="Times New Roman"/>
                <w:sz w:val="12"/>
                <w:szCs w:val="12"/>
                <w:b w:val="1"/>
                <w:bCs w:val="1"/>
                <w:color w:val="auto"/>
              </w:rPr>
              <w:t>VERASTEM, INC.</w:t>
            </w:r>
          </w:p>
        </w:tc>
      </w:tr>
      <w:tr>
        <w:trPr>
          <w:trHeight w:val="288"/>
        </w:trPr>
        <w:tc>
          <w:tcPr>
            <w:tcW w:w="3340" w:type="dxa"/>
            <w:vAlign w:val="bottom"/>
          </w:tcPr>
          <w:p>
            <w:pPr>
              <w:spacing w:after="0"/>
              <w:rPr>
                <w:sz w:val="20"/>
                <w:szCs w:val="20"/>
                <w:color w:val="auto"/>
              </w:rPr>
            </w:pPr>
            <w:r>
              <w:rPr>
                <w:rFonts w:ascii="Times New Roman" w:cs="Times New Roman" w:eastAsia="Times New Roman" w:hAnsi="Times New Roman"/>
                <w:sz w:val="12"/>
                <w:szCs w:val="12"/>
                <w:color w:val="auto"/>
              </w:rPr>
              <w:t>Dated: May 24, 2024</w:t>
            </w:r>
          </w:p>
        </w:tc>
        <w:tc>
          <w:tcPr>
            <w:tcW w:w="7960" w:type="dxa"/>
            <w:vAlign w:val="bottom"/>
            <w:gridSpan w:val="2"/>
          </w:tcPr>
          <w:p>
            <w:pPr>
              <w:ind w:left="2320"/>
              <w:spacing w:after="0"/>
              <w:rPr>
                <w:sz w:val="20"/>
                <w:szCs w:val="20"/>
                <w:color w:val="auto"/>
              </w:rPr>
            </w:pPr>
            <w:r>
              <w:rPr>
                <w:rFonts w:ascii="Times New Roman" w:cs="Times New Roman" w:eastAsia="Times New Roman" w:hAnsi="Times New Roman"/>
                <w:sz w:val="12"/>
                <w:szCs w:val="12"/>
                <w:color w:val="auto"/>
              </w:rPr>
              <w:t>By:   /s/ Daniel W. Paterson</w:t>
            </w:r>
          </w:p>
        </w:tc>
      </w:tr>
      <w:tr>
        <w:trPr>
          <w:trHeight w:val="120"/>
        </w:trPr>
        <w:tc>
          <w:tcPr>
            <w:tcW w:w="3340" w:type="dxa"/>
            <w:vAlign w:val="bottom"/>
          </w:tcPr>
          <w:p>
            <w:pPr>
              <w:spacing w:after="0"/>
              <w:rPr>
                <w:sz w:val="10"/>
                <w:szCs w:val="10"/>
                <w:color w:val="auto"/>
              </w:rPr>
            </w:pPr>
          </w:p>
        </w:tc>
        <w:tc>
          <w:tcPr>
            <w:tcW w:w="2640" w:type="dxa"/>
            <w:vAlign w:val="bottom"/>
          </w:tcPr>
          <w:p>
            <w:pPr>
              <w:spacing w:after="0"/>
              <w:rPr>
                <w:sz w:val="10"/>
                <w:szCs w:val="10"/>
                <w:color w:val="auto"/>
              </w:rPr>
            </w:pPr>
          </w:p>
        </w:tc>
        <w:tc>
          <w:tcPr>
            <w:tcW w:w="5320" w:type="dxa"/>
            <w:vAlign w:val="bottom"/>
            <w:tcBorders>
              <w:top w:val="single" w:sz="8" w:color="auto"/>
            </w:tcBorders>
          </w:tcPr>
          <w:p>
            <w:pPr>
              <w:spacing w:after="0" w:line="120" w:lineRule="exact"/>
              <w:rPr>
                <w:sz w:val="20"/>
                <w:szCs w:val="20"/>
                <w:color w:val="auto"/>
              </w:rPr>
            </w:pPr>
            <w:r>
              <w:rPr>
                <w:rFonts w:ascii="Times New Roman" w:cs="Times New Roman" w:eastAsia="Times New Roman" w:hAnsi="Times New Roman"/>
                <w:sz w:val="12"/>
                <w:szCs w:val="12"/>
                <w:color w:val="auto"/>
              </w:rPr>
              <w:t>Daniel W. Paterson</w:t>
            </w:r>
          </w:p>
        </w:tc>
      </w:tr>
      <w:tr>
        <w:trPr>
          <w:trHeight w:val="157"/>
        </w:trPr>
        <w:tc>
          <w:tcPr>
            <w:tcW w:w="3340" w:type="dxa"/>
            <w:vAlign w:val="bottom"/>
          </w:tcPr>
          <w:p>
            <w:pPr>
              <w:spacing w:after="0"/>
              <w:rPr>
                <w:sz w:val="13"/>
                <w:szCs w:val="13"/>
                <w:color w:val="auto"/>
              </w:rPr>
            </w:pPr>
          </w:p>
        </w:tc>
        <w:tc>
          <w:tcPr>
            <w:tcW w:w="2640" w:type="dxa"/>
            <w:vAlign w:val="bottom"/>
          </w:tcPr>
          <w:p>
            <w:pPr>
              <w:spacing w:after="0"/>
              <w:rPr>
                <w:sz w:val="13"/>
                <w:szCs w:val="13"/>
                <w:color w:val="auto"/>
              </w:rPr>
            </w:pPr>
          </w:p>
        </w:tc>
        <w:tc>
          <w:tcPr>
            <w:tcW w:w="5320" w:type="dxa"/>
            <w:vAlign w:val="bottom"/>
          </w:tcPr>
          <w:p>
            <w:pPr>
              <w:spacing w:after="0"/>
              <w:rPr>
                <w:sz w:val="20"/>
                <w:szCs w:val="20"/>
                <w:color w:val="auto"/>
              </w:rPr>
            </w:pPr>
            <w:r>
              <w:rPr>
                <w:rFonts w:ascii="Times New Roman" w:cs="Times New Roman" w:eastAsia="Times New Roman" w:hAnsi="Times New Roman"/>
                <w:sz w:val="12"/>
                <w:szCs w:val="12"/>
                <w:i w:val="1"/>
                <w:iCs w:val="1"/>
                <w:color w:val="auto"/>
              </w:rPr>
              <w:t>President and Chief Executive Officer</w:t>
            </w:r>
          </w:p>
        </w:tc>
      </w:tr>
      <w:tr>
        <w:trPr>
          <w:trHeight w:val="450"/>
        </w:trPr>
        <w:tc>
          <w:tcPr>
            <w:tcW w:w="334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tcPr>
          <w:p>
            <w:pPr>
              <w:spacing w:after="0"/>
              <w:rPr>
                <w:sz w:val="24"/>
                <w:szCs w:val="24"/>
                <w:color w:val="auto"/>
              </w:rPr>
            </w:pPr>
          </w:p>
        </w:tc>
        <w:tc>
          <w:tcPr>
            <w:tcW w:w="532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647" w:right="29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4"/>
          <w:szCs w:val="14"/>
          <w:b w:val="1"/>
          <w:bCs w:val="1"/>
          <w:color w:val="auto"/>
        </w:rPr>
        <w:t>Exhibit 99.1</w:t>
      </w:r>
    </w:p>
    <w:p>
      <w:pPr>
        <w:spacing w:after="0" w:line="22"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2"/>
          <w:szCs w:val="12"/>
          <w:b w:val="1"/>
          <w:bCs w:val="1"/>
          <w:color w:val="auto"/>
        </w:rPr>
        <w:t>Verastem Oncology Announces the Initiation of a Rolling Submission of NDA to FDA Seeking</w:t>
      </w:r>
    </w:p>
    <w:p>
      <w:pPr>
        <w:spacing w:after="0" w:line="5"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2"/>
          <w:szCs w:val="12"/>
          <w:b w:val="1"/>
          <w:bCs w:val="1"/>
          <w:color w:val="auto"/>
        </w:rPr>
        <w:t>Accelerated Approval of Avutometinib and Defactinib Combination for the Treatment of</w:t>
      </w:r>
    </w:p>
    <w:p>
      <w:pPr>
        <w:spacing w:after="0" w:line="6"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2"/>
          <w:szCs w:val="12"/>
          <w:b w:val="1"/>
          <w:bCs w:val="1"/>
          <w:color w:val="auto"/>
        </w:rPr>
        <w:t>Adult Patients with Recurrent KRAS Mutant Low-Grade Serous Ovarian Cancer</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i w:val="1"/>
          <w:iCs w:val="1"/>
          <w:color w:val="auto"/>
        </w:rPr>
        <w:t>Plan to complete NDA submission with the mature RAMP 201 dataset, anticipated to include 12 months of follow-up, in the second half of 2024</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i w:val="1"/>
          <w:iCs w:val="1"/>
          <w:color w:val="auto"/>
        </w:rPr>
        <w:t>Plan to present the mature dataset from RAMP 201 at a medical conference in the second half of 2024</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i w:val="1"/>
          <w:iCs w:val="1"/>
          <w:color w:val="auto"/>
        </w:rPr>
        <w:t>Avutometinib and defactinib combination have continued to show robust and durable response rates in ongoing RAMP 201 trial in patients with recurrent low-grade serous ovarian cancer</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i w:val="1"/>
          <w:iCs w:val="1"/>
          <w:color w:val="auto"/>
        </w:rPr>
        <w:t>Company to host investor conference call and webcast on Friday, May 24, 2024 at 8:00 am EDT to provide update on RAMP 201 and rolling NDA submission</w:t>
      </w:r>
    </w:p>
    <w:p>
      <w:pPr>
        <w:spacing w:after="0" w:line="152"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2"/>
          <w:szCs w:val="12"/>
          <w:color w:val="auto"/>
        </w:rPr>
        <w:t>BOSTON--(BUSINESS WIRE)--May 24, 2024--Verastem Oncology (Nasdaq: VSTM), a biopharmaceutical company committed to advancing new medicines for patients with cancer, today announced that it has initiated the rolling submission of a New Drug Application (NDA) to the U.S. Food and Drug Administration (FDA) seeking accelerated approval of the combination of avutometinib, a RAF/MEK clamp, and defactinib, a selective FAK inhibitor, for adult patients with recurrent KRAS mutant (KRAS mt) low-grade serous ovarian cancer (LGSOC), who received at least one prior systemic therapy. The rolling review process allows the Company to submit completed sections of an application for review by the FDA before all sections become available. The initial sections of the application will include the nonclinical and quality sections. In discussions with the FDA, Verastem reached agreement to submit a primary efficacy analysis based on the RAMP 201 study with 12 months of follow up. Based on discussions with the FDA, we understand that the proposed indication for final submission of the clinical module can be expanded in the event Verastem provides data that demonstrates a substantial improvement over available therapy in the KRAS wild-type (KRAS wt) population. FDA has accepted Verastem’s plan to submit the clinical module in the second half of 2024 to complete the NDA application. Previously, the FDA granted Breakthrough Therapy Designation (BTD) for the combination for treatment of patients with recurrent LGSOC, regardless of KRAS status, following one or more previous lines of therapy and Orphan Drug Designation (ODD) for the combination in certain LGSOC indications. The Company plans to request a priority review of the NDA. Currently, there are no FDA-approved treatments specifically for recurrent LGSOC.</w:t>
      </w:r>
    </w:p>
    <w:p>
      <w:pPr>
        <w:spacing w:after="0" w:line="126"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2"/>
          <w:szCs w:val="12"/>
          <w:color w:val="auto"/>
        </w:rPr>
        <w:t>"The initiation of our rolling NDA submission of the avutometinib and defactinib combination for accelerated approval, is an important step towards addressing the significant unmet needs that patients face living with KRAS mutant low-grade serous ovarian cancer,” said Dan Paterson, president and chief executive officer of Verastem Oncology. "The data from our ongoing RAMP 201 trial continues to support our belief that the avutometinib and defactinib combination has the potential to be a new standard of care in patients with recurrent low-grade serous ovarian cancer, if approved. In the second half of this year, we anticipate completing our NDA submission with the mature data from the RAMP 201 trial and discussing with the FDA a path forward for patients with KRAS wild-type disease. We also expect to present the mature dataset at a medical meeting in the second half of 2024."</w:t>
      </w:r>
    </w:p>
    <w:p>
      <w:pPr>
        <w:spacing w:after="0" w:line="122"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2"/>
          <w:szCs w:val="12"/>
          <w:color w:val="auto"/>
        </w:rPr>
        <w:t>RAMP 201 is a Phase 2 registration-directed study evaluating avutometinib and defactinib combination in patients with recurrent LGSOC. The enrollment in RAMP 201 is completed, with 115 patients being treated at the recommended Phase 2 dose (RP2D) of avutometinib 3.2 mg twice weekly and defactinib 200 mg twice daily for 3 out of every 4 weeks, and follow-up continues. Verastem expects to complete the NDA submission after obtaining mature safety and efficacy data from the RAMP 201 trial, including 12 months of follow-up, anticipated in the second half of 2024. Verastem also plans to further discuss the KRAS wt data with FDA to inform the potential path forward for approval for this patient population. The Company plans to present the mature dataset from RAMP 201 at a medical meeting in the second half of 2024. As of February 2024, the interim data continued to show robust overall response rates (ORR) and durable responses with low discontinuation rates due to adverse events (AEs) in patients from RAMP 201 Parts A, B, C, who had a minimum follow-up of five (5)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280670</wp:posOffset>
            </wp:positionV>
            <wp:extent cx="7178040"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120" w:right="299" w:bottom="1440" w:gutter="0" w:footer="0" w:header="0"/>
        </w:sectPr>
      </w:pPr>
    </w:p>
    <w:bookmarkStart w:id="7" w:name="page8"/>
    <w:bookmarkEnd w:id="7"/>
    <w:p>
      <w:pPr>
        <w:jc w:val="both"/>
        <w:ind w:left="8" w:right="80"/>
        <w:spacing w:after="0" w:line="257" w:lineRule="auto"/>
        <w:rPr>
          <w:sz w:val="20"/>
          <w:szCs w:val="20"/>
          <w:color w:val="auto"/>
        </w:rPr>
      </w:pPr>
      <w:r>
        <w:rPr>
          <w:rFonts w:ascii="Times New Roman" w:cs="Times New Roman" w:eastAsia="Times New Roman" w:hAnsi="Times New Roman"/>
          <w:sz w:val="12"/>
          <w:szCs w:val="12"/>
          <w:color w:val="auto"/>
        </w:rPr>
        <w:t>The FDA granted Breakthrough Therapy Designation of the investigational combination of avutometinib and defactinib for the treatment of all patients with recurrent LGSOC regardless of KRAS status after one or more prior lines of therapy, including platinum-based chemotherapy in May 2021. Avutometinib alone or in combination with defactinib was also granted Orphan Drug Designation by the FDA for the treatment of LGSOC in March 2024. The Company believes that this Orphan Drug Designation signifies that LGSOC is a rare ovarian cancer that is a distinct and different disease from other forms of ovarian cancer such as high-grade serous ovarian cancer (HGSOC). LGSOC is highly recurrent and fatal, with no FDA-approved treatment options, and the current standard of care treatments include hormonal therapy or chemotherapy, which have demonstrated an ORR between 6-13% with discontinuation due to AEs of 17-30%.</w:t>
      </w:r>
    </w:p>
    <w:p>
      <w:pPr>
        <w:spacing w:after="0" w:line="125" w:lineRule="exact"/>
        <w:rPr>
          <w:sz w:val="20"/>
          <w:szCs w:val="20"/>
          <w:color w:val="auto"/>
        </w:rPr>
      </w:pPr>
    </w:p>
    <w:p>
      <w:pPr>
        <w:ind w:left="8" w:right="200"/>
        <w:spacing w:after="0" w:line="279" w:lineRule="auto"/>
        <w:rPr>
          <w:sz w:val="20"/>
          <w:szCs w:val="20"/>
          <w:color w:val="auto"/>
        </w:rPr>
      </w:pPr>
      <w:r>
        <w:rPr>
          <w:rFonts w:ascii="Times New Roman" w:cs="Times New Roman" w:eastAsia="Times New Roman" w:hAnsi="Times New Roman"/>
          <w:sz w:val="12"/>
          <w:szCs w:val="12"/>
          <w:color w:val="auto"/>
        </w:rPr>
        <w:t>The Company is currently enrolling patients and activating sites for RAMP 301, an international confirmatory Phase 3 trial, evaluating the avutometinib and defactinib combination versus standard of care chemotherapy or hormonal therapy for the treatment of patients with KRAS mt and KRAS wt recurrent LGSOC.</w:t>
      </w:r>
    </w:p>
    <w:p>
      <w:pPr>
        <w:spacing w:after="0" w:line="10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Conference Call and Webcast Information</w:t>
      </w:r>
    </w:p>
    <w:p>
      <w:pPr>
        <w:spacing w:after="0" w:line="15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Verastem will hold an investor conference call and webcast on Friday, May 24 at 8:00 am EDT, to review the initiation of the NDA submission and limited, topline data from the RAMP 201 trial, with a minimum follow-up of five</w:t>
      </w:r>
    </w:p>
    <w:p>
      <w:pPr>
        <w:spacing w:after="0" w:line="17" w:lineRule="exact"/>
        <w:rPr>
          <w:sz w:val="20"/>
          <w:szCs w:val="20"/>
          <w:color w:val="auto"/>
        </w:rPr>
      </w:pPr>
    </w:p>
    <w:p>
      <w:pPr>
        <w:ind w:left="8" w:hanging="8"/>
        <w:spacing w:after="0" w:line="260" w:lineRule="auto"/>
        <w:tabs>
          <w:tab w:leader="none" w:pos="178"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months and the RAMP 205 data. The call will feature members of Verastem’s management team. To access the conference call, please dial (844) 763-8274 (local) or (412) 717-9224 (international) at least 10 minutes prior to the start time and ask to be joined into the Verastem Oncology conference call. A live audio webcast of the call, along with accompany slides, will be accessible </w:t>
      </w:r>
      <w:r>
        <w:rPr>
          <w:rFonts w:ascii="Times New Roman" w:cs="Times New Roman" w:eastAsia="Times New Roman" w:hAnsi="Times New Roman"/>
          <w:sz w:val="12"/>
          <w:szCs w:val="12"/>
          <w:u w:val="single" w:color="auto"/>
          <w:color w:val="auto"/>
        </w:rPr>
        <w:t>here</w:t>
      </w:r>
      <w:r>
        <w:rPr>
          <w:rFonts w:ascii="Times New Roman" w:cs="Times New Roman" w:eastAsia="Times New Roman" w:hAnsi="Times New Roman"/>
          <w:sz w:val="12"/>
          <w:szCs w:val="12"/>
          <w:color w:val="auto"/>
        </w:rPr>
        <w:t>. The Company expects to file an 8-K pertaining to this update.</w:t>
      </w:r>
    </w:p>
    <w:p>
      <w:pPr>
        <w:spacing w:after="0" w:line="11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About RAMP 201</w:t>
      </w:r>
    </w:p>
    <w:p>
      <w:pPr>
        <w:spacing w:after="0" w:line="154" w:lineRule="exact"/>
        <w:rPr>
          <w:sz w:val="20"/>
          <w:szCs w:val="20"/>
          <w:color w:val="auto"/>
        </w:rPr>
      </w:pPr>
    </w:p>
    <w:p>
      <w:pPr>
        <w:ind w:left="8" w:right="20"/>
        <w:spacing w:after="0" w:line="260" w:lineRule="auto"/>
        <w:rPr>
          <w:sz w:val="20"/>
          <w:szCs w:val="20"/>
          <w:color w:val="auto"/>
        </w:rPr>
      </w:pPr>
      <w:r>
        <w:rPr>
          <w:rFonts w:ascii="Times New Roman" w:cs="Times New Roman" w:eastAsia="Times New Roman" w:hAnsi="Times New Roman"/>
          <w:sz w:val="12"/>
          <w:szCs w:val="12"/>
          <w:color w:val="auto"/>
        </w:rPr>
        <w:t>RAMP 201 (ENGOTov60/GOG3052) is an adaptive, two-part multicenter, parallel cohort, randomized, open-label trial to evaluate the efficacy and safety of avutometinib alone and in combination with defactinib in patients with recurrent low-grade serous ovarian cancer. The first part of the study (Part A) determined the selection of the go forward regimen, which was the combination of avutometinib and defactinib versus avutometinib alone, based on overall response rates. The expansion phases of the trial (Parts B and C) are evaluating the safety and efficacy of the go forward regimen of avutometinib 3.2 mg twice weekly and defactinib 200 mg twice daily. The Part D portion of the trial is evaluating a low dose of avutometinib in combination with defactinib to inform individualized dose reduction.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278765</wp:posOffset>
            </wp:positionV>
            <wp:extent cx="7178040" cy="57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51" w:right="29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2"/>
          <w:szCs w:val="12"/>
          <w:b w:val="1"/>
          <w:bCs w:val="1"/>
          <w:color w:val="auto"/>
        </w:rPr>
        <w:t>About RAMP 301</w:t>
      </w:r>
    </w:p>
    <w:p>
      <w:pPr>
        <w:spacing w:after="0" w:line="154"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2"/>
          <w:szCs w:val="12"/>
          <w:color w:val="auto"/>
        </w:rPr>
        <w:t>RAMP 301 (GOG-3097; ENGOT-ov81/NCRI) is an international collaboration between The GOG Foundation, Inc. (GOG) and the European Network of Gynaecological Oncological Trial groups (ENGOT) sponsored by Verastem Oncology. The trial is expected to enroll a total of 270 patients in the U.S., Canada, the United Kingdom, Europe, Australia and South Korea, who will be randomized to either the combination of avutometinib and defactinib or investigator’s choice chemotherapy (pegylated liposomal doxorubicin, paclitaxel, topotecan) or hormone therapy (letrozole, anastrozole). The primary endpoint is progression free survival (PFS) by Blinded Independent Central Review. Secondary endpoints include ORR, duration of response, disease control rate, safety and tolerability, patient reported outcomes, and overall survival.</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About Low-Grade Serous Ovarian Cancer (LGSOC)</w:t>
      </w:r>
    </w:p>
    <w:p>
      <w:pPr>
        <w:spacing w:after="0" w:line="15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LGSOC is a rare ovarian cancer that is insidious, persistent and ultimately fatal. LGSOC is distinct and different from high-grade serous ovarian cancer (HGSOC) and requires different treatment. LGSOC is highly recurrent and less sensitive to chemotherapy compared to HGSOC. Approximately 6,000-8,000 women in the U.S. and 80,000 worldwide are living with this disease. LGSOC affects younger women with bimodal peaks of diagnosis at ages between 20-30 and 50-60 and has a median survival of approximately ten years. The majority of patients report negative impact of LGSOC on their mental and physical health, fertility, and long-term quality of life. The current standard of care for this disease includes hormone therapy and chemotherapy, but there are no treatments specifically approved by the U.S. Food and Drug Administration to treat LGSOC.</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About the Avutometinib and Defactinib Combination</w:t>
      </w:r>
    </w:p>
    <w:p>
      <w:pPr>
        <w:spacing w:after="0" w:line="154" w:lineRule="exact"/>
        <w:rPr>
          <w:sz w:val="20"/>
          <w:szCs w:val="20"/>
          <w:color w:val="auto"/>
        </w:rPr>
      </w:pPr>
    </w:p>
    <w:p>
      <w:pPr>
        <w:ind w:right="120"/>
        <w:spacing w:after="0" w:line="257" w:lineRule="auto"/>
        <w:rPr>
          <w:sz w:val="20"/>
          <w:szCs w:val="20"/>
          <w:color w:val="auto"/>
        </w:rPr>
      </w:pPr>
      <w:r>
        <w:rPr>
          <w:rFonts w:ascii="Times New Roman" w:cs="Times New Roman" w:eastAsia="Times New Roman" w:hAnsi="Times New Roman"/>
          <w:sz w:val="12"/>
          <w:szCs w:val="12"/>
          <w:color w:val="auto"/>
        </w:rPr>
        <w:t>Avutometinib is a n investigational RAF/MEK clamp that is designed to induce inactive complexes of MEK with ARAF, BRAF and CRAF potentially creating a more complete and durable anti-tumor response through maximal RAS/MAPK pathway inhibition. Avutometinib is designed to block both MEK kinase activity and the ability of RAF to phosphorylate MEK. This differentiated proposed mechanism potentially allows avutometinib to block MEK signaling without the compensatory activation of MEK that appears to limit the efficacy of other MEK-only inhibitors. The U.S. Food and Drug Administration (FDA) granted Breakthrough Therapy Designation of the investigational combination of avutometinib and defactinib, a selective FAK inhibitor, for the treatment of all patients with recurrent low-grade serous ovarian cancer (LGSOC) regardless of KRAS status after one or more prior lines of therapy, including platinum-based chemotherapy. Avutometinib alone or in combination with defactinib was also granted Orphan Drug Designation by the FDA for the treatment of LGSOC.</w:t>
      </w:r>
    </w:p>
    <w:p>
      <w:pPr>
        <w:spacing w:after="0" w:line="121"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2"/>
          <w:szCs w:val="12"/>
          <w:color w:val="auto"/>
        </w:rPr>
        <w:t xml:space="preserve">Verastem Oncology is currently conducting clinical trials with avutometinib in RAS/MAPK driven tumors as part of its </w:t>
      </w:r>
      <w:r>
        <w:rPr>
          <w:rFonts w:ascii="Times New Roman" w:cs="Times New Roman" w:eastAsia="Times New Roman" w:hAnsi="Times New Roman"/>
          <w:sz w:val="12"/>
          <w:szCs w:val="12"/>
          <w:b w:val="1"/>
          <w:bCs w:val="1"/>
          <w:color w:val="auto"/>
        </w:rPr>
        <w:t>R</w:t>
      </w:r>
      <w:r>
        <w:rPr>
          <w:rFonts w:ascii="Times New Roman" w:cs="Times New Roman" w:eastAsia="Times New Roman" w:hAnsi="Times New Roman"/>
          <w:sz w:val="12"/>
          <w:szCs w:val="12"/>
          <w:color w:val="auto"/>
        </w:rPr>
        <w:t xml:space="preserve">af </w:t>
      </w:r>
      <w:r>
        <w:rPr>
          <w:rFonts w:ascii="Times New Roman" w:cs="Times New Roman" w:eastAsia="Times New Roman" w:hAnsi="Times New Roman"/>
          <w:sz w:val="12"/>
          <w:szCs w:val="12"/>
          <w:b w:val="1"/>
          <w:bCs w:val="1"/>
          <w:color w:val="auto"/>
        </w:rPr>
        <w:t>A</w:t>
      </w:r>
      <w:r>
        <w:rPr>
          <w:rFonts w:ascii="Times New Roman" w:cs="Times New Roman" w:eastAsia="Times New Roman" w:hAnsi="Times New Roman"/>
          <w:sz w:val="12"/>
          <w:szCs w:val="12"/>
          <w:color w:val="auto"/>
        </w:rPr>
        <w:t xml:space="preserve">nd </w:t>
      </w:r>
      <w:r>
        <w:rPr>
          <w:rFonts w:ascii="Times New Roman" w:cs="Times New Roman" w:eastAsia="Times New Roman" w:hAnsi="Times New Roman"/>
          <w:sz w:val="12"/>
          <w:szCs w:val="12"/>
          <w:b w:val="1"/>
          <w:bCs w:val="1"/>
          <w:color w:val="auto"/>
        </w:rPr>
        <w:t>M</w:t>
      </w:r>
      <w:r>
        <w:rPr>
          <w:rFonts w:ascii="Times New Roman" w:cs="Times New Roman" w:eastAsia="Times New Roman" w:hAnsi="Times New Roman"/>
          <w:sz w:val="12"/>
          <w:szCs w:val="12"/>
          <w:color w:val="auto"/>
        </w:rPr>
        <w:t xml:space="preserve">ek </w:t>
      </w:r>
      <w:r>
        <w:rPr>
          <w:rFonts w:ascii="Times New Roman" w:cs="Times New Roman" w:eastAsia="Times New Roman" w:hAnsi="Times New Roman"/>
          <w:sz w:val="12"/>
          <w:szCs w:val="12"/>
          <w:b w:val="1"/>
          <w:bCs w:val="1"/>
          <w:color w:val="auto"/>
        </w:rPr>
        <w:t>P</w:t>
      </w:r>
      <w:r>
        <w:rPr>
          <w:rFonts w:ascii="Times New Roman" w:cs="Times New Roman" w:eastAsia="Times New Roman" w:hAnsi="Times New Roman"/>
          <w:sz w:val="12"/>
          <w:szCs w:val="12"/>
          <w:color w:val="auto"/>
        </w:rPr>
        <w:t>rogram or RAMP. RAMP 301 (NCT06072781) is an international Phase 3 confirmatory trial evaluating the combination of avutometinib and defactinib versus standard chemotherapy or hormonal therapy for the treatment of recurrent LGSOC. RAMP 201 (NCT04625270) is a Phase 2 registration-directed trial of avutometinib in combination with defactinib in patients with recurrent LGSOC and enrollment has been completed in each of the dose optimization and expansion phases and the low-dose evaluation.</w:t>
      </w:r>
    </w:p>
    <w:p>
      <w:pPr>
        <w:spacing w:after="0" w:line="118" w:lineRule="exact"/>
        <w:rPr>
          <w:sz w:val="20"/>
          <w:szCs w:val="20"/>
          <w:color w:val="auto"/>
        </w:rPr>
      </w:pPr>
    </w:p>
    <w:p>
      <w:pPr>
        <w:ind w:right="200"/>
        <w:spacing w:after="0" w:line="265" w:lineRule="auto"/>
        <w:rPr>
          <w:sz w:val="20"/>
          <w:szCs w:val="20"/>
          <w:color w:val="auto"/>
        </w:rPr>
      </w:pPr>
      <w:r>
        <w:rPr>
          <w:rFonts w:ascii="Times New Roman" w:cs="Times New Roman" w:eastAsia="Times New Roman" w:hAnsi="Times New Roman"/>
          <w:sz w:val="12"/>
          <w:szCs w:val="12"/>
          <w:color w:val="auto"/>
        </w:rPr>
        <w:t>Verastem Oncology has established clinical collaborations with Amgen and Mirati to evaluate LUMAKRAS™ (sotorasib) in combination with avutometinib and defactinib and KRAZATI™ (adagrasib) in combination with avutometinib in KRAS G12C mutant NSCLC as part of the RAMP 203 (NCT05074810) and RAMP 204 (NCT05375994) trials, respectively. The RAMP 205 (NCT05669482), a Phase 1b/2 clinical trial evaluating avutometinib and defactinib with gemcitabine/Nab-paclitaxel in patients with front-line metastatic pancreatic cancer, is supported by a PanCAN Therapeutic Accelerator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276860</wp:posOffset>
            </wp:positionV>
            <wp:extent cx="7178040" cy="57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2"/>
          <w:szCs w:val="12"/>
          <w:b w:val="1"/>
          <w:bCs w:val="1"/>
          <w:color w:val="auto"/>
        </w:rPr>
        <w:t>About Verastem Oncology</w:t>
      </w:r>
    </w:p>
    <w:p>
      <w:pPr>
        <w:spacing w:after="0" w:line="15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 xml:space="preserve">Verastem Oncology (Nasdaq: VSTM) is a late-stage development biopharmaceutical company committed to the development and commercialization of new medicines to improve the lives of patients diagnosed with cancer. Our pipeline is focused on RAS/MAPK-driven cancers, specifically novel small molecule drugs that inhibit critical signaling pathways in cancer that promote cancer cell survival and tumor growth, including RAF/MEK inhibition and FAK inhibition. For more information, please visit </w:t>
      </w:r>
      <w:r>
        <w:rPr>
          <w:rFonts w:ascii="Times New Roman" w:cs="Times New Roman" w:eastAsia="Times New Roman" w:hAnsi="Times New Roman"/>
          <w:sz w:val="12"/>
          <w:szCs w:val="12"/>
          <w:u w:val="single" w:color="auto"/>
          <w:color w:val="auto"/>
        </w:rPr>
        <w:t>www.verastem.com</w:t>
      </w:r>
      <w:r>
        <w:rPr>
          <w:rFonts w:ascii="Times New Roman" w:cs="Times New Roman" w:eastAsia="Times New Roman" w:hAnsi="Times New Roman"/>
          <w:sz w:val="12"/>
          <w:szCs w:val="12"/>
          <w:color w:val="auto"/>
        </w:rPr>
        <w:t xml:space="preserve"> and follow us on </w:t>
      </w:r>
      <w:r>
        <w:rPr>
          <w:rFonts w:ascii="Times New Roman" w:cs="Times New Roman" w:eastAsia="Times New Roman" w:hAnsi="Times New Roman"/>
          <w:sz w:val="12"/>
          <w:szCs w:val="12"/>
          <w:u w:val="single" w:color="auto"/>
          <w:color w:val="auto"/>
        </w:rPr>
        <w:t>LinkedIn</w:t>
      </w:r>
      <w:r>
        <w:rPr>
          <w:rFonts w:ascii="Times New Roman" w:cs="Times New Roman" w:eastAsia="Times New Roman" w:hAnsi="Times New Roman"/>
          <w:sz w:val="12"/>
          <w:szCs w:val="12"/>
          <w:color w:val="auto"/>
        </w:rPr>
        <w:t>.</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Forward Looking Statements</w:t>
      </w:r>
    </w:p>
    <w:p>
      <w:pPr>
        <w:spacing w:after="0" w:line="154"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2"/>
          <w:szCs w:val="12"/>
          <w:color w:val="auto"/>
        </w:rPr>
        <w:t>This press release includes forward-looking statements about, among other things, Verastem Oncology’s programs and product candidates, strategy, future plans and prospects, including statements related to the expected timing of the planned rolling New Drug Application (NDA) submission for the avutometinib and defactinib combination in low-grade serous ovarian cancer, the potential clinical value of various of the Company’s clinical trials, including the RAMP 201, RAMP 205 and RAMP 301 trials, the timing of commencing and completing trials, including topline data reports, interactions with regulators, the potential for and timing of commercialization of product candidates and potential for additional development programs involving Verastem Oncology’s lead compound. The words "anticipate," "believe," "estimate," "expect," "intend," "may," "plan," "predict," "project," "target," "potential," "will," "would," "could," "should," "continue," “can,” “promising” and similar expressions are intended to identify forward-looking statements, although not all forward-looking statements contain these identifying words. Forward-looking statements are not guarantees of future performance and are subject to risks and uncertainties that could cause actual results to differ materially from those expressed or implied in such statement.</w:t>
      </w:r>
    </w:p>
    <w:p>
      <w:pPr>
        <w:spacing w:after="0" w:line="125"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2"/>
          <w:szCs w:val="12"/>
          <w:color w:val="auto"/>
        </w:rPr>
        <w:t>Applicable risks and uncertainties include the risks and uncertainties, among other things, regarding: the success in the development and potential commercialization of our product candidates, including avutometinib in combination with other compounds, including defactinib, LUMAKRAS™ and others; the uncertainties inherent in research and development, such as negative or unexpected results of clinical trials, the occurrence or timing of applications for our product candidates that may be filed with regulatory authorities in any jurisdictions; whether and when regulatory authorities in any jurisdictions may approve any such applications that may be filed for our product candidates, and, if approved, whether our product candidates will be commercially successful in such jurisdictions; our ability to obtain, maintain and enforce patent and other intellectual property protection for our product candidates; the scope, timing, and outcome of any legal proceedings; decisions by regulatory authorities regarding trial design, labeling and other matters that could affect the timing, availability or commercial potential of our product candidates; whether preclinical testing of our product candidates and preliminary or interim data from clinical trials will be predictive of the results or success of ongoing or later clinical trials; that the timing, scope and rate of reimbursement for our product candidates is uncertain; the market opportunities of our drug candidates are based on internal and third-party estimates which may prove to be incorrect; that third-party payors (including government agencies) may not reimburse; that there may be competitive developments affecting our product candidates; that data may not be available when expected; that enrollment of clinical trials may take longer than expected, which may delay our development programs, including delays in submission or review by the FDA of our NDA submission in recurring KRAS mutant LGSOC if enrollment in our confirmatory trial is not well underway at the time of submission, or that the FDA may require the Company to have completed enrollment or to enroll additional patients in the Company’s ongoing RAMP-301 confirmatory Phase 3 clinical trial prior to Verastem submitting or the FDA taking action on our NDA seeking accelerated approval; that our product candidates will cause adverse safety events and/or unexpected concerns may arise from additional data or analysis, or result in unmanageable safety profiles as compared to their levels of efficacy; that we may be unable to successfully validate, develop and obtain regulatory approval for companion diagnostic tests for our product candidates that require or would commercially benefit from such tests, or experience significant delays in doing so; that our product candidates may experience manufacturing or supply interruptions or failures; that any of our third party contract research organizations, contract manufacturing organizations, clinical sites, or contractors, among others, who we rely on fail to fully perform; that we face substantial competition, which may result in others developing or commercializing products before or more successfully than we do which could result in reduced market share or market potential for our product candidates; that we will be unable to successfully initiate or complete the clinical development and eventual commercialization of our product candidates; that the development and commercialization of our product candidates will take longer or cost more than planned, including as a result of conducting additional studies; that we may not have sufficient cash to fund our contemplated operations; that we may not attract and retain high quality personnel; that we or Chugai Pharmaceutical Co., Ltd. will fail to fully perform under the avutometinib license agreement; that our target market for our product candidates might be smaller than we are presently estimating; that Secura Bio, Inc. will fail to fully perform under the asset purchase agreement with Secura Bio, Inc., including in relation to milestone payments; that we will not see a return on investment on the payments we have and may continue to make pursuant to the collaboration and option agreement with GenFleet Therapeutics (Shanghai), Inc. (GenFleet), or that GenFleet will fail to fully perform under the agreement; that we may be unable to obtain adequate financing in the future through product licensing, co-promotional arrangements, public or private equity, debt financing or otherwise; that we will not pursue or submit regulatory filings for our product candidates; and that our product candidates will not receive regulatory approval, become commercially successful products, or result in new treatment options being offered to patients.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288290</wp:posOffset>
            </wp:positionV>
            <wp:extent cx="7178040" cy="57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10" w:name="page11"/>
    <w:bookmarkEnd w:id="10"/>
    <w:p>
      <w:pPr>
        <w:spacing w:after="0" w:line="260" w:lineRule="auto"/>
        <w:rPr>
          <w:sz w:val="20"/>
          <w:szCs w:val="20"/>
          <w:color w:val="auto"/>
        </w:rPr>
      </w:pPr>
      <w:r>
        <w:rPr>
          <w:rFonts w:ascii="Times New Roman" w:cs="Times New Roman" w:eastAsia="Times New Roman" w:hAnsi="Times New Roman"/>
          <w:sz w:val="12"/>
          <w:szCs w:val="12"/>
          <w:color w:val="auto"/>
        </w:rPr>
        <w:t>As a result of these and other factors, we may not achieve the plans, intentions or expectations disclosed in our forward-looking statements, and you should not place undue reliance on our forward-looking statements. Other risks and uncertainties include those identified under the heading “Risk Factors” in the Company’s Annual Report on Form 10-K for the year ended December 31, 2023 as filed with the Securities and Exchange Commission (SEC) on March 14, 2024 and in any subsequent filings with the SEC. The forward-looking statements contained in this press release reflect Verastem Oncology’s views as of the date hereof, and the Company does not assume and specifically disclaims any obligation to update any forward-looking statements whether as a result of new information, future events or otherwise, except as required by law.</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For Investor and Media Inquiries: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Julissa Viana</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Vice President, Corporate Communications and Investor Relations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investors@verastem.com</w:t>
      </w:r>
      <w:r>
        <w:rPr>
          <w:rFonts w:ascii="Times New Roman" w:cs="Times New Roman" w:eastAsia="Times New Roman" w:hAnsi="Times New Roman"/>
          <w:sz w:val="12"/>
          <w:szCs w:val="12"/>
          <w:color w:val="auto"/>
        </w:rPr>
        <w:t xml:space="preserve"> or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media@verastem.com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289560</wp:posOffset>
            </wp:positionV>
            <wp:extent cx="7178040" cy="57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51" w:right="299" w:bottom="1440" w:gutter="0" w:footer="0" w:header="0"/>
        </w:sectPr>
      </w:pPr>
    </w:p>
    <w:bookmarkStart w:id="11" w:name="page12"/>
    <w:bookmarkEnd w:id="11"/>
    <w:p>
      <w:pPr>
        <w:ind w:left="9420"/>
        <w:spacing w:after="0"/>
        <w:rPr>
          <w:sz w:val="20"/>
          <w:szCs w:val="20"/>
          <w:color w:val="auto"/>
        </w:rPr>
      </w:pPr>
      <w:r>
        <w:rPr>
          <w:rFonts w:ascii="Times New Roman" w:cs="Times New Roman" w:eastAsia="Times New Roman" w:hAnsi="Times New Roman"/>
          <w:sz w:val="14"/>
          <w:szCs w:val="14"/>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116205</wp:posOffset>
            </wp:positionV>
            <wp:extent cx="7218680" cy="50292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0" w:num="1">
            <w:col w:w="10160"/>
          </w:cols>
          <w:pgMar w:left="1440" w:top="120" w:right="299" w:bottom="1440"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406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18680" cy="50406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5352415</wp:posOffset>
            </wp:positionV>
            <wp:extent cx="7178040" cy="57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349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18680" cy="50349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349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18680" cy="50349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 w:name="page60"/>
    <w:bookmarkEnd w:id="5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0" w:name="page61"/>
    <w:bookmarkEnd w:id="6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1" w:name="page62"/>
    <w:bookmarkEnd w:id="6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2" w:name="page63"/>
    <w:bookmarkEnd w:id="6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3" w:name="page64"/>
    <w:bookmarkEnd w:id="6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4" w:name="page65"/>
    <w:bookmarkEnd w:id="6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5" w:name="page66"/>
    <w:bookmarkEnd w:id="6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328930</wp:posOffset>
            </wp:positionV>
            <wp:extent cx="7218680" cy="50292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18680" cy="502920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5"/>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2024-05-24T06:12:23Z</dcterms:created>
  <dcterms:modified xsi:type="dcterms:W3CDTF">2024-05-24T06:12:23Z</dcterms:modified>
</cp:coreProperties>
</file>