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13G</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Verastem,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32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92337C104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34290</wp:posOffset>
            </wp:positionV>
            <wp:extent cx="4997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(CUSIP Number)</w:t>
      </w:r>
    </w:p>
    <w:p>
      <w:pPr>
        <w:spacing w:after="0" w:line="383"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34290</wp:posOffset>
            </wp:positionV>
            <wp:extent cx="49974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74"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(Date of Event which Requires Filing of this Statement)</w:t>
      </w:r>
    </w:p>
    <w:p>
      <w:pPr>
        <w:spacing w:after="0" w:line="248"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426720</wp:posOffset>
            </wp:positionH>
            <wp:positionV relativeFrom="paragraph">
              <wp:posOffset>-104140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13d-1(c)</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426720</wp:posOffset>
            </wp:positionH>
            <wp:positionV relativeFrom="paragraph">
              <wp:posOffset>-378460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-104140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6" w:lineRule="exact"/>
        <w:rPr>
          <w:sz w:val="24"/>
          <w:szCs w:val="24"/>
          <w:color w:val="auto"/>
        </w:rPr>
      </w:pPr>
    </w:p>
    <w:p>
      <w:pPr>
        <w:ind w:right="420" w:firstLine="648"/>
        <w:spacing w:after="0" w:line="266" w:lineRule="auto"/>
        <w:rPr>
          <w:sz w:val="20"/>
          <w:szCs w:val="20"/>
          <w:color w:val="auto"/>
        </w:rPr>
      </w:pPr>
      <w:r>
        <w:rPr>
          <w:rFonts w:ascii="Arial" w:cs="Arial" w:eastAsia="Arial" w:hAnsi="Arial"/>
          <w:sz w:val="18"/>
          <w:szCs w:val="18"/>
          <w:b w:val="1"/>
          <w:bCs w:val="1"/>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56"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92337C104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88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88465"/>
                    </a:xfrm>
                    <a:prstGeom prst="rect">
                      <a:avLst/>
                    </a:prstGeom>
                    <a:noFill/>
                  </pic:spPr>
                </pic:pic>
              </a:graphicData>
            </a:graphic>
          </wp:anchor>
        </w:drawing>
      </w:r>
    </w:p>
    <w:p>
      <w:pPr>
        <w:spacing w:after="0" w:line="300" w:lineRule="exact"/>
        <w:rPr>
          <w:sz w:val="20"/>
          <w:szCs w:val="20"/>
          <w:color w:val="auto"/>
        </w:rPr>
      </w:pPr>
    </w:p>
    <w:p>
      <w:pPr>
        <w:ind w:left="680" w:hanging="427"/>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ind w:left="680"/>
              <w:spacing w:after="0"/>
              <w:rPr>
                <w:sz w:val="20"/>
                <w:szCs w:val="20"/>
                <w:color w:val="auto"/>
              </w:rPr>
            </w:pPr>
            <w:r>
              <w:rPr>
                <w:rFonts w:ascii="Arial" w:cs="Arial" w:eastAsia="Arial" w:hAnsi="Arial"/>
                <w:sz w:val="18"/>
                <w:szCs w:val="18"/>
                <w:color w:val="auto"/>
              </w:rPr>
              <w:t>Baker Bros. Advisors LP</w:t>
            </w:r>
          </w:p>
        </w:tc>
        <w:tc>
          <w:tcPr>
            <w:tcW w:w="2340" w:type="dxa"/>
            <w:vAlign w:val="bottom"/>
          </w:tcPr>
          <w:p>
            <w:pPr>
              <w:spacing w:after="0"/>
              <w:rPr>
                <w:sz w:val="20"/>
                <w:szCs w:val="20"/>
                <w:color w:val="auto"/>
              </w:rPr>
            </w:pPr>
          </w:p>
        </w:tc>
      </w:tr>
      <w:tr>
        <w:trPr>
          <w:trHeight w:val="81"/>
        </w:trPr>
        <w:tc>
          <w:tcPr>
            <w:tcW w:w="89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44"/>
        </w:trPr>
        <w:tc>
          <w:tcPr>
            <w:tcW w:w="8900" w:type="dxa"/>
            <w:vAlign w:val="bottom"/>
          </w:tcPr>
          <w:p>
            <w:pPr>
              <w:ind w:left="260"/>
              <w:spacing w:after="0"/>
              <w:rPr>
                <w:sz w:val="20"/>
                <w:szCs w:val="20"/>
                <w:color w:val="auto"/>
              </w:rPr>
            </w:pPr>
            <w:r>
              <w:rPr>
                <w:rFonts w:ascii="Arial" w:cs="Arial" w:eastAsia="Arial" w:hAnsi="Arial"/>
                <w:sz w:val="18"/>
                <w:szCs w:val="18"/>
                <w:b w:val="1"/>
                <w:bCs w:val="1"/>
                <w:color w:val="auto"/>
              </w:rPr>
              <w:t>2    CHECK THE APPROPRIATE BOX IF A MEMBER OF A GROUP (See Instructions)</w:t>
            </w:r>
          </w:p>
        </w:tc>
        <w:tc>
          <w:tcPr>
            <w:tcW w:w="2340" w:type="dxa"/>
            <w:vAlign w:val="bottom"/>
          </w:tcPr>
          <w:p>
            <w:pPr>
              <w:ind w:left="156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p>
        </w:tc>
      </w:tr>
      <w:tr>
        <w:trPr>
          <w:trHeight w:val="283"/>
        </w:trPr>
        <w:tc>
          <w:tcPr>
            <w:tcW w:w="8900" w:type="dxa"/>
            <w:vAlign w:val="bottom"/>
          </w:tcPr>
          <w:p>
            <w:pPr>
              <w:spacing w:after="0"/>
              <w:rPr>
                <w:sz w:val="24"/>
                <w:szCs w:val="24"/>
                <w:color w:val="auto"/>
              </w:rPr>
            </w:pPr>
          </w:p>
        </w:tc>
        <w:tc>
          <w:tcPr>
            <w:tcW w:w="2340" w:type="dxa"/>
            <w:vAlign w:val="bottom"/>
          </w:tcPr>
          <w:p>
            <w:pPr>
              <w:ind w:left="156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tc>
      </w:tr>
    </w:tbl>
    <w:p>
      <w:pPr>
        <w:spacing w:after="0" w:line="137" w:lineRule="exact"/>
        <w:rPr>
          <w:sz w:val="20"/>
          <w:szCs w:val="20"/>
          <w:color w:val="auto"/>
        </w:rPr>
      </w:pPr>
    </w:p>
    <w:p>
      <w:pPr>
        <w:ind w:left="680" w:hanging="427"/>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85" w:lineRule="exact"/>
        <w:rPr>
          <w:sz w:val="20"/>
          <w:szCs w:val="20"/>
          <w:color w:val="auto"/>
        </w:rPr>
      </w:pPr>
    </w:p>
    <w:p>
      <w:pPr>
        <w:ind w:left="680" w:right="6640" w:hanging="427"/>
        <w:spacing w:after="0" w:line="485"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ind w:left="1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2091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09"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20" w:type="dxa"/>
            <w:vAlign w:val="bottom"/>
          </w:tcPr>
          <w:p>
            <w:pPr>
              <w:ind w:left="280"/>
              <w:spacing w:after="0"/>
              <w:rPr>
                <w:sz w:val="20"/>
                <w:szCs w:val="20"/>
                <w:color w:val="auto"/>
              </w:rPr>
            </w:pPr>
            <w:r>
              <w:rPr>
                <w:rFonts w:ascii="Arial" w:cs="Arial" w:eastAsia="Arial" w:hAnsi="Arial"/>
                <w:sz w:val="18"/>
                <w:szCs w:val="18"/>
                <w:color w:val="auto"/>
              </w:rPr>
              <w:t>10,144,039</w:t>
            </w: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520" w:type="dxa"/>
            <w:vAlign w:val="bottom"/>
            <w:vMerge w:val="continue"/>
          </w:tcPr>
          <w:p>
            <w:pPr>
              <w:spacing w:after="0"/>
              <w:rPr>
                <w:sz w:val="11"/>
                <w:szCs w:val="11"/>
                <w:color w:val="auto"/>
              </w:rPr>
            </w:pP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9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Pr>
          <w:p>
            <w:pPr>
              <w:spacing w:after="0"/>
              <w:rPr>
                <w:sz w:val="18"/>
                <w:szCs w:val="18"/>
                <w:color w:val="auto"/>
              </w:rPr>
            </w:pPr>
          </w:p>
        </w:tc>
        <w:tc>
          <w:tcPr>
            <w:tcW w:w="90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OWNED BY</w:t>
            </w:r>
          </w:p>
        </w:tc>
        <w:tc>
          <w:tcPr>
            <w:tcW w:w="52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52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rPr>
              <w:t>EACH</w:t>
            </w: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9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REPORTING</w:t>
            </w:r>
          </w:p>
        </w:tc>
        <w:tc>
          <w:tcPr>
            <w:tcW w:w="52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PERSON</w:t>
            </w:r>
          </w:p>
        </w:tc>
        <w:tc>
          <w:tcPr>
            <w:tcW w:w="520" w:type="dxa"/>
            <w:vAlign w:val="bottom"/>
          </w:tcPr>
          <w:p>
            <w:pPr>
              <w:spacing w:after="0"/>
              <w:rPr>
                <w:sz w:val="18"/>
                <w:szCs w:val="18"/>
                <w:color w:val="auto"/>
              </w:rPr>
            </w:pPr>
          </w:p>
        </w:tc>
        <w:tc>
          <w:tcPr>
            <w:tcW w:w="9020" w:type="dxa"/>
            <w:vAlign w:val="bottom"/>
            <w:vMerge w:val="restart"/>
          </w:tcPr>
          <w:p>
            <w:pPr>
              <w:ind w:left="280"/>
              <w:spacing w:after="0"/>
              <w:rPr>
                <w:sz w:val="20"/>
                <w:szCs w:val="20"/>
                <w:color w:val="auto"/>
              </w:rPr>
            </w:pPr>
            <w:r>
              <w:rPr>
                <w:rFonts w:ascii="Arial" w:cs="Arial" w:eastAsia="Arial" w:hAnsi="Arial"/>
                <w:sz w:val="18"/>
                <w:szCs w:val="18"/>
                <w:color w:val="auto"/>
              </w:rPr>
              <w:t>10,144,039</w:t>
            </w: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ind w:right="70"/>
              <w:spacing w:after="0" w:line="194" w:lineRule="exact"/>
              <w:rPr>
                <w:sz w:val="20"/>
                <w:szCs w:val="20"/>
                <w:color w:val="auto"/>
              </w:rPr>
            </w:pPr>
            <w:r>
              <w:rPr>
                <w:rFonts w:ascii="Arial" w:cs="Arial" w:eastAsia="Arial" w:hAnsi="Arial"/>
                <w:sz w:val="18"/>
                <w:szCs w:val="18"/>
                <w:b w:val="1"/>
                <w:bCs w:val="1"/>
                <w:color w:val="auto"/>
              </w:rPr>
              <w:t>WITH</w:t>
            </w:r>
          </w:p>
        </w:tc>
        <w:tc>
          <w:tcPr>
            <w:tcW w:w="52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52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9020" w:type="dxa"/>
            <w:vAlign w:val="bottom"/>
          </w:tcPr>
          <w:p>
            <w:pPr>
              <w:ind w:left="1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817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51" w:lineRule="exact"/>
        <w:rPr>
          <w:sz w:val="20"/>
          <w:szCs w:val="20"/>
          <w:color w:val="auto"/>
        </w:rPr>
      </w:pPr>
    </w:p>
    <w:p>
      <w:pPr>
        <w:ind w:left="820" w:right="3640" w:hanging="567"/>
        <w:spacing w:after="0" w:line="460" w:lineRule="auto"/>
        <w:tabs>
          <w:tab w:leader="none" w:pos="68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10,144,039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86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54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(See Instructions)</w:t>
            </w:r>
          </w:p>
        </w:tc>
        <w:tc>
          <w:tcPr>
            <w:tcW w:w="1860" w:type="dxa"/>
            <w:vAlign w:val="bottom"/>
          </w:tcPr>
          <w:p>
            <w:pPr>
              <w:spacing w:after="0"/>
              <w:rPr>
                <w:sz w:val="20"/>
                <w:szCs w:val="20"/>
                <w:color w:val="auto"/>
              </w:rPr>
            </w:pPr>
          </w:p>
        </w:tc>
      </w:tr>
      <w:tr>
        <w:trPr>
          <w:trHeight w:val="81"/>
        </w:trPr>
        <w:tc>
          <w:tcPr>
            <w:tcW w:w="540" w:type="dxa"/>
            <w:vAlign w:val="bottom"/>
            <w:tcBorders>
              <w:bottom w:val="single" w:sz="8" w:color="auto"/>
            </w:tcBorders>
          </w:tcPr>
          <w:p>
            <w:pPr>
              <w:spacing w:after="0"/>
              <w:rPr>
                <w:sz w:val="7"/>
                <w:szCs w:val="7"/>
                <w:color w:val="auto"/>
              </w:rPr>
            </w:pPr>
          </w:p>
        </w:tc>
        <w:tc>
          <w:tcPr>
            <w:tcW w:w="884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91"/>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86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8840" w:type="dxa"/>
            <w:vAlign w:val="bottom"/>
          </w:tcPr>
          <w:p>
            <w:pPr>
              <w:jc w:val="right"/>
              <w:ind w:right="7850"/>
              <w:spacing w:after="0"/>
              <w:rPr>
                <w:sz w:val="20"/>
                <w:szCs w:val="20"/>
                <w:color w:val="auto"/>
              </w:rPr>
            </w:pPr>
            <w:r>
              <w:rPr>
                <w:rFonts w:ascii="Arial" w:cs="Arial" w:eastAsia="Arial" w:hAnsi="Arial"/>
                <w:sz w:val="18"/>
                <w:szCs w:val="18"/>
                <w:color w:val="auto"/>
              </w:rPr>
              <w:t>6.0% (1)</w:t>
            </w:r>
          </w:p>
        </w:tc>
        <w:tc>
          <w:tcPr>
            <w:tcW w:w="1860" w:type="dxa"/>
            <w:vAlign w:val="bottom"/>
          </w:tcPr>
          <w:p>
            <w:pPr>
              <w:spacing w:after="0"/>
              <w:rPr>
                <w:sz w:val="24"/>
                <w:szCs w:val="24"/>
                <w:color w:val="auto"/>
              </w:rPr>
            </w:pPr>
          </w:p>
        </w:tc>
      </w:tr>
      <w:tr>
        <w:trPr>
          <w:trHeight w:val="81"/>
        </w:trPr>
        <w:tc>
          <w:tcPr>
            <w:tcW w:w="540" w:type="dxa"/>
            <w:vAlign w:val="bottom"/>
            <w:tcBorders>
              <w:bottom w:val="single" w:sz="8" w:color="auto"/>
            </w:tcBorders>
          </w:tcPr>
          <w:p>
            <w:pPr>
              <w:spacing w:after="0"/>
              <w:rPr>
                <w:sz w:val="7"/>
                <w:szCs w:val="7"/>
                <w:color w:val="auto"/>
              </w:rPr>
            </w:pPr>
          </w:p>
        </w:tc>
        <w:tc>
          <w:tcPr>
            <w:tcW w:w="884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76"/>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8840" w:type="dxa"/>
            <w:vAlign w:val="bottom"/>
          </w:tcPr>
          <w:p>
            <w:pPr>
              <w:ind w:left="220"/>
              <w:spacing w:after="0"/>
              <w:rPr>
                <w:sz w:val="20"/>
                <w:szCs w:val="20"/>
                <w:color w:val="auto"/>
              </w:rPr>
            </w:pPr>
            <w:r>
              <w:rPr>
                <w:rFonts w:ascii="Arial" w:cs="Arial" w:eastAsia="Arial" w:hAnsi="Arial"/>
                <w:sz w:val="18"/>
                <w:szCs w:val="18"/>
                <w:b w:val="1"/>
                <w:bCs w:val="1"/>
                <w:color w:val="auto"/>
              </w:rPr>
              <w:t>TYPE OF REPORTING PERSON (See Instructions)</w:t>
            </w:r>
          </w:p>
        </w:tc>
        <w:tc>
          <w:tcPr>
            <w:tcW w:w="186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8840" w:type="dxa"/>
            <w:vAlign w:val="bottom"/>
          </w:tcPr>
          <w:p>
            <w:pPr>
              <w:jc w:val="center"/>
              <w:ind w:right="7550"/>
              <w:spacing w:after="0"/>
              <w:rPr>
                <w:sz w:val="20"/>
                <w:szCs w:val="20"/>
                <w:color w:val="auto"/>
              </w:rPr>
            </w:pPr>
            <w:r>
              <w:rPr>
                <w:rFonts w:ascii="Arial" w:cs="Arial" w:eastAsia="Arial" w:hAnsi="Arial"/>
                <w:sz w:val="18"/>
                <w:szCs w:val="18"/>
                <w:color w:val="auto"/>
                <w:w w:val="99"/>
              </w:rPr>
              <w:t>IA, PN</w:t>
            </w:r>
          </w:p>
        </w:tc>
        <w:tc>
          <w:tcPr>
            <w:tcW w:w="1860" w:type="dxa"/>
            <w:vAlign w:val="bottom"/>
          </w:tcPr>
          <w:p>
            <w:pPr>
              <w:spacing w:after="0"/>
              <w:rPr>
                <w:sz w:val="20"/>
                <w:szCs w:val="20"/>
                <w:color w:val="auto"/>
              </w:rPr>
            </w:pPr>
          </w:p>
        </w:tc>
      </w:tr>
    </w:tbl>
    <w:p>
      <w:pPr>
        <w:spacing w:after="0" w:line="80" w:lineRule="exact"/>
        <w:rPr>
          <w:sz w:val="20"/>
          <w:szCs w:val="20"/>
          <w:color w:val="auto"/>
        </w:rPr>
      </w:pPr>
    </w:p>
    <w:p>
      <w:pPr>
        <w:ind w:left="660" w:right="4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169,774,432 shares of Common Stock (“Common Stock”) of Verastem, Inc. (the “Issuer”) outstanding as of November 6, 2020, as reported in the Issuer’s Form 10-Q filed with the Securities and Exchange Commission (“SEC”) on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92337C104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88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88465"/>
                    </a:xfrm>
                    <a:prstGeom prst="rect">
                      <a:avLst/>
                    </a:prstGeom>
                    <a:noFill/>
                  </pic:spPr>
                </pic:pic>
              </a:graphicData>
            </a:graphic>
          </wp:anchor>
        </w:drawing>
      </w:r>
    </w:p>
    <w:p>
      <w:pPr>
        <w:spacing w:after="0" w:line="300" w:lineRule="exact"/>
        <w:rPr>
          <w:sz w:val="20"/>
          <w:szCs w:val="20"/>
          <w:color w:val="auto"/>
        </w:rPr>
      </w:pPr>
    </w:p>
    <w:p>
      <w:pPr>
        <w:ind w:left="680" w:hanging="427"/>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ind w:left="680"/>
              <w:spacing w:after="0"/>
              <w:rPr>
                <w:sz w:val="20"/>
                <w:szCs w:val="20"/>
                <w:color w:val="auto"/>
              </w:rPr>
            </w:pPr>
            <w:r>
              <w:rPr>
                <w:rFonts w:ascii="Arial" w:cs="Arial" w:eastAsia="Arial" w:hAnsi="Arial"/>
                <w:sz w:val="18"/>
                <w:szCs w:val="18"/>
                <w:color w:val="auto"/>
              </w:rPr>
              <w:t>Baker Bros. Advisors (GP) LLC</w:t>
            </w:r>
          </w:p>
        </w:tc>
        <w:tc>
          <w:tcPr>
            <w:tcW w:w="2340" w:type="dxa"/>
            <w:vAlign w:val="bottom"/>
          </w:tcPr>
          <w:p>
            <w:pPr>
              <w:spacing w:after="0"/>
              <w:rPr>
                <w:sz w:val="20"/>
                <w:szCs w:val="20"/>
                <w:color w:val="auto"/>
              </w:rPr>
            </w:pPr>
          </w:p>
        </w:tc>
      </w:tr>
      <w:tr>
        <w:trPr>
          <w:trHeight w:val="81"/>
        </w:trPr>
        <w:tc>
          <w:tcPr>
            <w:tcW w:w="89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44"/>
        </w:trPr>
        <w:tc>
          <w:tcPr>
            <w:tcW w:w="8900" w:type="dxa"/>
            <w:vAlign w:val="bottom"/>
          </w:tcPr>
          <w:p>
            <w:pPr>
              <w:ind w:left="260"/>
              <w:spacing w:after="0"/>
              <w:rPr>
                <w:sz w:val="20"/>
                <w:szCs w:val="20"/>
                <w:color w:val="auto"/>
              </w:rPr>
            </w:pPr>
            <w:r>
              <w:rPr>
                <w:rFonts w:ascii="Arial" w:cs="Arial" w:eastAsia="Arial" w:hAnsi="Arial"/>
                <w:sz w:val="18"/>
                <w:szCs w:val="18"/>
                <w:b w:val="1"/>
                <w:bCs w:val="1"/>
                <w:color w:val="auto"/>
              </w:rPr>
              <w:t>2    CHECK THE APPROPRIATE BOX IF A MEMBER OF A GROUP (See Instructions)</w:t>
            </w:r>
          </w:p>
        </w:tc>
        <w:tc>
          <w:tcPr>
            <w:tcW w:w="2340" w:type="dxa"/>
            <w:vAlign w:val="bottom"/>
          </w:tcPr>
          <w:p>
            <w:pPr>
              <w:ind w:left="156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p>
        </w:tc>
      </w:tr>
      <w:tr>
        <w:trPr>
          <w:trHeight w:val="283"/>
        </w:trPr>
        <w:tc>
          <w:tcPr>
            <w:tcW w:w="8900" w:type="dxa"/>
            <w:vAlign w:val="bottom"/>
          </w:tcPr>
          <w:p>
            <w:pPr>
              <w:spacing w:after="0"/>
              <w:rPr>
                <w:sz w:val="24"/>
                <w:szCs w:val="24"/>
                <w:color w:val="auto"/>
              </w:rPr>
            </w:pPr>
          </w:p>
        </w:tc>
        <w:tc>
          <w:tcPr>
            <w:tcW w:w="2340" w:type="dxa"/>
            <w:vAlign w:val="bottom"/>
          </w:tcPr>
          <w:p>
            <w:pPr>
              <w:ind w:left="156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tc>
      </w:tr>
    </w:tbl>
    <w:p>
      <w:pPr>
        <w:spacing w:after="0" w:line="137" w:lineRule="exact"/>
        <w:rPr>
          <w:sz w:val="20"/>
          <w:szCs w:val="20"/>
          <w:color w:val="auto"/>
        </w:rPr>
      </w:pPr>
    </w:p>
    <w:p>
      <w:pPr>
        <w:ind w:left="680" w:hanging="427"/>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85" w:lineRule="exact"/>
        <w:rPr>
          <w:sz w:val="20"/>
          <w:szCs w:val="20"/>
          <w:color w:val="auto"/>
        </w:rPr>
      </w:pPr>
    </w:p>
    <w:p>
      <w:pPr>
        <w:ind w:left="680" w:right="6640" w:hanging="427"/>
        <w:spacing w:after="0" w:line="485"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ind w:left="1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2091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09"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20" w:type="dxa"/>
            <w:vAlign w:val="bottom"/>
          </w:tcPr>
          <w:p>
            <w:pPr>
              <w:ind w:left="280"/>
              <w:spacing w:after="0"/>
              <w:rPr>
                <w:sz w:val="20"/>
                <w:szCs w:val="20"/>
                <w:color w:val="auto"/>
              </w:rPr>
            </w:pPr>
            <w:r>
              <w:rPr>
                <w:rFonts w:ascii="Arial" w:cs="Arial" w:eastAsia="Arial" w:hAnsi="Arial"/>
                <w:sz w:val="18"/>
                <w:szCs w:val="18"/>
                <w:color w:val="auto"/>
              </w:rPr>
              <w:t>10,144,039</w:t>
            </w: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520" w:type="dxa"/>
            <w:vAlign w:val="bottom"/>
            <w:vMerge w:val="continue"/>
          </w:tcPr>
          <w:p>
            <w:pPr>
              <w:spacing w:after="0"/>
              <w:rPr>
                <w:sz w:val="11"/>
                <w:szCs w:val="11"/>
                <w:color w:val="auto"/>
              </w:rPr>
            </w:pP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9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Pr>
          <w:p>
            <w:pPr>
              <w:spacing w:after="0"/>
              <w:rPr>
                <w:sz w:val="18"/>
                <w:szCs w:val="18"/>
                <w:color w:val="auto"/>
              </w:rPr>
            </w:pPr>
          </w:p>
        </w:tc>
        <w:tc>
          <w:tcPr>
            <w:tcW w:w="90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OWNED BY</w:t>
            </w:r>
          </w:p>
        </w:tc>
        <w:tc>
          <w:tcPr>
            <w:tcW w:w="52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52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rPr>
              <w:t>EACH</w:t>
            </w: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9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REPORTING</w:t>
            </w:r>
          </w:p>
        </w:tc>
        <w:tc>
          <w:tcPr>
            <w:tcW w:w="52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PERSON</w:t>
            </w:r>
          </w:p>
        </w:tc>
        <w:tc>
          <w:tcPr>
            <w:tcW w:w="520" w:type="dxa"/>
            <w:vAlign w:val="bottom"/>
          </w:tcPr>
          <w:p>
            <w:pPr>
              <w:spacing w:after="0"/>
              <w:rPr>
                <w:sz w:val="18"/>
                <w:szCs w:val="18"/>
                <w:color w:val="auto"/>
              </w:rPr>
            </w:pPr>
          </w:p>
        </w:tc>
        <w:tc>
          <w:tcPr>
            <w:tcW w:w="9020" w:type="dxa"/>
            <w:vAlign w:val="bottom"/>
            <w:vMerge w:val="restart"/>
          </w:tcPr>
          <w:p>
            <w:pPr>
              <w:ind w:left="280"/>
              <w:spacing w:after="0"/>
              <w:rPr>
                <w:sz w:val="20"/>
                <w:szCs w:val="20"/>
                <w:color w:val="auto"/>
              </w:rPr>
            </w:pPr>
            <w:r>
              <w:rPr>
                <w:rFonts w:ascii="Arial" w:cs="Arial" w:eastAsia="Arial" w:hAnsi="Arial"/>
                <w:sz w:val="18"/>
                <w:szCs w:val="18"/>
                <w:color w:val="auto"/>
              </w:rPr>
              <w:t>10,144,039</w:t>
            </w: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ind w:right="70"/>
              <w:spacing w:after="0" w:line="194" w:lineRule="exact"/>
              <w:rPr>
                <w:sz w:val="20"/>
                <w:szCs w:val="20"/>
                <w:color w:val="auto"/>
              </w:rPr>
            </w:pPr>
            <w:r>
              <w:rPr>
                <w:rFonts w:ascii="Arial" w:cs="Arial" w:eastAsia="Arial" w:hAnsi="Arial"/>
                <w:sz w:val="18"/>
                <w:szCs w:val="18"/>
                <w:b w:val="1"/>
                <w:bCs w:val="1"/>
                <w:color w:val="auto"/>
              </w:rPr>
              <w:t>WITH</w:t>
            </w:r>
          </w:p>
        </w:tc>
        <w:tc>
          <w:tcPr>
            <w:tcW w:w="52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52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9020" w:type="dxa"/>
            <w:vAlign w:val="bottom"/>
          </w:tcPr>
          <w:p>
            <w:pPr>
              <w:ind w:left="1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817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51" w:lineRule="exact"/>
        <w:rPr>
          <w:sz w:val="20"/>
          <w:szCs w:val="20"/>
          <w:color w:val="auto"/>
        </w:rPr>
      </w:pPr>
    </w:p>
    <w:p>
      <w:pPr>
        <w:ind w:left="820" w:right="3640" w:hanging="567"/>
        <w:spacing w:after="0" w:line="460" w:lineRule="auto"/>
        <w:tabs>
          <w:tab w:leader="none" w:pos="68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10,144,039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86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54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(See Instructions)</w:t>
            </w:r>
          </w:p>
        </w:tc>
        <w:tc>
          <w:tcPr>
            <w:tcW w:w="1860" w:type="dxa"/>
            <w:vAlign w:val="bottom"/>
          </w:tcPr>
          <w:p>
            <w:pPr>
              <w:spacing w:after="0"/>
              <w:rPr>
                <w:sz w:val="20"/>
                <w:szCs w:val="20"/>
                <w:color w:val="auto"/>
              </w:rPr>
            </w:pPr>
          </w:p>
        </w:tc>
      </w:tr>
      <w:tr>
        <w:trPr>
          <w:trHeight w:val="81"/>
        </w:trPr>
        <w:tc>
          <w:tcPr>
            <w:tcW w:w="540" w:type="dxa"/>
            <w:vAlign w:val="bottom"/>
            <w:tcBorders>
              <w:bottom w:val="single" w:sz="8" w:color="auto"/>
            </w:tcBorders>
          </w:tcPr>
          <w:p>
            <w:pPr>
              <w:spacing w:after="0"/>
              <w:rPr>
                <w:sz w:val="7"/>
                <w:szCs w:val="7"/>
                <w:color w:val="auto"/>
              </w:rPr>
            </w:pPr>
          </w:p>
        </w:tc>
        <w:tc>
          <w:tcPr>
            <w:tcW w:w="884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91"/>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86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8840" w:type="dxa"/>
            <w:vAlign w:val="bottom"/>
          </w:tcPr>
          <w:p>
            <w:pPr>
              <w:ind w:left="280"/>
              <w:spacing w:after="0"/>
              <w:rPr>
                <w:sz w:val="20"/>
                <w:szCs w:val="20"/>
                <w:color w:val="auto"/>
              </w:rPr>
            </w:pPr>
            <w:r>
              <w:rPr>
                <w:rFonts w:ascii="Arial" w:cs="Arial" w:eastAsia="Arial" w:hAnsi="Arial"/>
                <w:sz w:val="18"/>
                <w:szCs w:val="18"/>
                <w:color w:val="auto"/>
              </w:rPr>
              <w:t>6.0% (1)</w:t>
            </w:r>
          </w:p>
        </w:tc>
        <w:tc>
          <w:tcPr>
            <w:tcW w:w="1860" w:type="dxa"/>
            <w:vAlign w:val="bottom"/>
          </w:tcPr>
          <w:p>
            <w:pPr>
              <w:spacing w:after="0"/>
              <w:rPr>
                <w:sz w:val="24"/>
                <w:szCs w:val="24"/>
                <w:color w:val="auto"/>
              </w:rPr>
            </w:pPr>
          </w:p>
        </w:tc>
      </w:tr>
      <w:tr>
        <w:trPr>
          <w:trHeight w:val="81"/>
        </w:trPr>
        <w:tc>
          <w:tcPr>
            <w:tcW w:w="540" w:type="dxa"/>
            <w:vAlign w:val="bottom"/>
            <w:tcBorders>
              <w:bottom w:val="single" w:sz="8" w:color="auto"/>
            </w:tcBorders>
          </w:tcPr>
          <w:p>
            <w:pPr>
              <w:spacing w:after="0"/>
              <w:rPr>
                <w:sz w:val="7"/>
                <w:szCs w:val="7"/>
                <w:color w:val="auto"/>
              </w:rPr>
            </w:pPr>
          </w:p>
        </w:tc>
        <w:tc>
          <w:tcPr>
            <w:tcW w:w="884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76"/>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8840" w:type="dxa"/>
            <w:vAlign w:val="bottom"/>
          </w:tcPr>
          <w:p>
            <w:pPr>
              <w:ind w:left="220"/>
              <w:spacing w:after="0"/>
              <w:rPr>
                <w:sz w:val="20"/>
                <w:szCs w:val="20"/>
                <w:color w:val="auto"/>
              </w:rPr>
            </w:pPr>
            <w:r>
              <w:rPr>
                <w:rFonts w:ascii="Arial" w:cs="Arial" w:eastAsia="Arial" w:hAnsi="Arial"/>
                <w:sz w:val="18"/>
                <w:szCs w:val="18"/>
                <w:b w:val="1"/>
                <w:bCs w:val="1"/>
                <w:color w:val="auto"/>
              </w:rPr>
              <w:t>TYPE OF REPORTING PERSON (See Instructions)</w:t>
            </w:r>
          </w:p>
        </w:tc>
        <w:tc>
          <w:tcPr>
            <w:tcW w:w="186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HC, OO</w:t>
            </w:r>
          </w:p>
        </w:tc>
        <w:tc>
          <w:tcPr>
            <w:tcW w:w="1860" w:type="dxa"/>
            <w:vAlign w:val="bottom"/>
          </w:tcPr>
          <w:p>
            <w:pPr>
              <w:spacing w:after="0"/>
              <w:rPr>
                <w:sz w:val="20"/>
                <w:szCs w:val="20"/>
                <w:color w:val="auto"/>
              </w:rPr>
            </w:pPr>
          </w:p>
        </w:tc>
      </w:tr>
    </w:tbl>
    <w:p>
      <w:pPr>
        <w:spacing w:after="0" w:line="80" w:lineRule="exact"/>
        <w:rPr>
          <w:sz w:val="20"/>
          <w:szCs w:val="20"/>
          <w:color w:val="auto"/>
        </w:rPr>
      </w:pPr>
    </w:p>
    <w:p>
      <w:pPr>
        <w:ind w:left="660" w:right="3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169,774,432 shares of Common Stock of the Issuer outstanding as of November 6, 2020, as reported in the Issuer’s Form 10-Q filed with the SEC on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92337C104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88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88465"/>
                    </a:xfrm>
                    <a:prstGeom prst="rect">
                      <a:avLst/>
                    </a:prstGeom>
                    <a:noFill/>
                  </pic:spPr>
                </pic:pic>
              </a:graphicData>
            </a:graphic>
          </wp:anchor>
        </w:drawing>
      </w:r>
    </w:p>
    <w:p>
      <w:pPr>
        <w:spacing w:after="0" w:line="300" w:lineRule="exact"/>
        <w:rPr>
          <w:sz w:val="20"/>
          <w:szCs w:val="20"/>
          <w:color w:val="auto"/>
        </w:rPr>
      </w:pPr>
    </w:p>
    <w:p>
      <w:pPr>
        <w:ind w:left="680" w:hanging="427"/>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ind w:left="680"/>
              <w:spacing w:after="0"/>
              <w:rPr>
                <w:sz w:val="20"/>
                <w:szCs w:val="20"/>
                <w:color w:val="auto"/>
              </w:rPr>
            </w:pPr>
            <w:r>
              <w:rPr>
                <w:rFonts w:ascii="Arial" w:cs="Arial" w:eastAsia="Arial" w:hAnsi="Arial"/>
                <w:sz w:val="18"/>
                <w:szCs w:val="18"/>
                <w:color w:val="auto"/>
              </w:rPr>
              <w:t>Felix J. Baker</w:t>
            </w:r>
          </w:p>
        </w:tc>
        <w:tc>
          <w:tcPr>
            <w:tcW w:w="2340" w:type="dxa"/>
            <w:vAlign w:val="bottom"/>
          </w:tcPr>
          <w:p>
            <w:pPr>
              <w:spacing w:after="0"/>
              <w:rPr>
                <w:sz w:val="20"/>
                <w:szCs w:val="20"/>
                <w:color w:val="auto"/>
              </w:rPr>
            </w:pPr>
          </w:p>
        </w:tc>
      </w:tr>
      <w:tr>
        <w:trPr>
          <w:trHeight w:val="81"/>
        </w:trPr>
        <w:tc>
          <w:tcPr>
            <w:tcW w:w="89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44"/>
        </w:trPr>
        <w:tc>
          <w:tcPr>
            <w:tcW w:w="8900" w:type="dxa"/>
            <w:vAlign w:val="bottom"/>
          </w:tcPr>
          <w:p>
            <w:pPr>
              <w:ind w:left="260"/>
              <w:spacing w:after="0"/>
              <w:rPr>
                <w:sz w:val="20"/>
                <w:szCs w:val="20"/>
                <w:color w:val="auto"/>
              </w:rPr>
            </w:pPr>
            <w:r>
              <w:rPr>
                <w:rFonts w:ascii="Arial" w:cs="Arial" w:eastAsia="Arial" w:hAnsi="Arial"/>
                <w:sz w:val="18"/>
                <w:szCs w:val="18"/>
                <w:b w:val="1"/>
                <w:bCs w:val="1"/>
                <w:color w:val="auto"/>
              </w:rPr>
              <w:t>2    CHECK THE APPROPRIATE BOX IF A MEMBER OF A GROUP (See Instructions)</w:t>
            </w:r>
          </w:p>
        </w:tc>
        <w:tc>
          <w:tcPr>
            <w:tcW w:w="2340" w:type="dxa"/>
            <w:vAlign w:val="bottom"/>
          </w:tcPr>
          <w:p>
            <w:pPr>
              <w:ind w:left="156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p>
        </w:tc>
      </w:tr>
      <w:tr>
        <w:trPr>
          <w:trHeight w:val="283"/>
        </w:trPr>
        <w:tc>
          <w:tcPr>
            <w:tcW w:w="8900" w:type="dxa"/>
            <w:vAlign w:val="bottom"/>
          </w:tcPr>
          <w:p>
            <w:pPr>
              <w:spacing w:after="0"/>
              <w:rPr>
                <w:sz w:val="24"/>
                <w:szCs w:val="24"/>
                <w:color w:val="auto"/>
              </w:rPr>
            </w:pPr>
          </w:p>
        </w:tc>
        <w:tc>
          <w:tcPr>
            <w:tcW w:w="2340" w:type="dxa"/>
            <w:vAlign w:val="bottom"/>
          </w:tcPr>
          <w:p>
            <w:pPr>
              <w:ind w:left="156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tc>
      </w:tr>
    </w:tbl>
    <w:p>
      <w:pPr>
        <w:spacing w:after="0" w:line="137" w:lineRule="exact"/>
        <w:rPr>
          <w:sz w:val="20"/>
          <w:szCs w:val="20"/>
          <w:color w:val="auto"/>
        </w:rPr>
      </w:pPr>
    </w:p>
    <w:p>
      <w:pPr>
        <w:ind w:left="680" w:hanging="427"/>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85" w:lineRule="exact"/>
        <w:rPr>
          <w:sz w:val="20"/>
          <w:szCs w:val="20"/>
          <w:color w:val="auto"/>
        </w:rPr>
      </w:pPr>
    </w:p>
    <w:p>
      <w:pPr>
        <w:ind w:left="680" w:right="6640" w:hanging="427"/>
        <w:spacing w:after="0" w:line="485" w:lineRule="auto"/>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w:t>
      </w:r>
    </w:p>
    <w:p>
      <w:pPr>
        <w:ind w:left="1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2091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09"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20" w:type="dxa"/>
            <w:vAlign w:val="bottom"/>
          </w:tcPr>
          <w:p>
            <w:pPr>
              <w:ind w:left="280"/>
              <w:spacing w:after="0"/>
              <w:rPr>
                <w:sz w:val="20"/>
                <w:szCs w:val="20"/>
                <w:color w:val="auto"/>
              </w:rPr>
            </w:pPr>
            <w:r>
              <w:rPr>
                <w:rFonts w:ascii="Arial" w:cs="Arial" w:eastAsia="Arial" w:hAnsi="Arial"/>
                <w:sz w:val="18"/>
                <w:szCs w:val="18"/>
                <w:color w:val="auto"/>
              </w:rPr>
              <w:t>10,144,039</w:t>
            </w: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520" w:type="dxa"/>
            <w:vAlign w:val="bottom"/>
            <w:vMerge w:val="continue"/>
          </w:tcPr>
          <w:p>
            <w:pPr>
              <w:spacing w:after="0"/>
              <w:rPr>
                <w:sz w:val="11"/>
                <w:szCs w:val="11"/>
                <w:color w:val="auto"/>
              </w:rPr>
            </w:pP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9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Pr>
          <w:p>
            <w:pPr>
              <w:spacing w:after="0"/>
              <w:rPr>
                <w:sz w:val="18"/>
                <w:szCs w:val="18"/>
                <w:color w:val="auto"/>
              </w:rPr>
            </w:pPr>
          </w:p>
        </w:tc>
        <w:tc>
          <w:tcPr>
            <w:tcW w:w="90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OWNED BY</w:t>
            </w:r>
          </w:p>
        </w:tc>
        <w:tc>
          <w:tcPr>
            <w:tcW w:w="52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52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rPr>
              <w:t>EACH</w:t>
            </w: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9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REPORTING</w:t>
            </w:r>
          </w:p>
        </w:tc>
        <w:tc>
          <w:tcPr>
            <w:tcW w:w="52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PERSON</w:t>
            </w:r>
          </w:p>
        </w:tc>
        <w:tc>
          <w:tcPr>
            <w:tcW w:w="520" w:type="dxa"/>
            <w:vAlign w:val="bottom"/>
          </w:tcPr>
          <w:p>
            <w:pPr>
              <w:spacing w:after="0"/>
              <w:rPr>
                <w:sz w:val="18"/>
                <w:szCs w:val="18"/>
                <w:color w:val="auto"/>
              </w:rPr>
            </w:pPr>
          </w:p>
        </w:tc>
        <w:tc>
          <w:tcPr>
            <w:tcW w:w="9020" w:type="dxa"/>
            <w:vAlign w:val="bottom"/>
            <w:vMerge w:val="restart"/>
          </w:tcPr>
          <w:p>
            <w:pPr>
              <w:ind w:left="280"/>
              <w:spacing w:after="0"/>
              <w:rPr>
                <w:sz w:val="20"/>
                <w:szCs w:val="20"/>
                <w:color w:val="auto"/>
              </w:rPr>
            </w:pPr>
            <w:r>
              <w:rPr>
                <w:rFonts w:ascii="Arial" w:cs="Arial" w:eastAsia="Arial" w:hAnsi="Arial"/>
                <w:sz w:val="18"/>
                <w:szCs w:val="18"/>
                <w:color w:val="auto"/>
              </w:rPr>
              <w:t>10,144,039</w:t>
            </w: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ind w:right="70"/>
              <w:spacing w:after="0" w:line="194" w:lineRule="exact"/>
              <w:rPr>
                <w:sz w:val="20"/>
                <w:szCs w:val="20"/>
                <w:color w:val="auto"/>
              </w:rPr>
            </w:pPr>
            <w:r>
              <w:rPr>
                <w:rFonts w:ascii="Arial" w:cs="Arial" w:eastAsia="Arial" w:hAnsi="Arial"/>
                <w:sz w:val="18"/>
                <w:szCs w:val="18"/>
                <w:b w:val="1"/>
                <w:bCs w:val="1"/>
                <w:color w:val="auto"/>
              </w:rPr>
              <w:t>WITH</w:t>
            </w:r>
          </w:p>
        </w:tc>
        <w:tc>
          <w:tcPr>
            <w:tcW w:w="52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9020" w:type="dxa"/>
            <w:vAlign w:val="bottom"/>
          </w:tcPr>
          <w:p>
            <w:pPr>
              <w:ind w:left="1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817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51" w:lineRule="exact"/>
        <w:rPr>
          <w:sz w:val="20"/>
          <w:szCs w:val="20"/>
          <w:color w:val="auto"/>
        </w:rPr>
      </w:pPr>
    </w:p>
    <w:p>
      <w:pPr>
        <w:ind w:left="820" w:right="3640" w:hanging="567"/>
        <w:spacing w:after="0" w:line="460" w:lineRule="auto"/>
        <w:tabs>
          <w:tab w:leader="none" w:pos="68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10,144,039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86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54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(See Instructions)</w:t>
            </w:r>
          </w:p>
        </w:tc>
        <w:tc>
          <w:tcPr>
            <w:tcW w:w="1860" w:type="dxa"/>
            <w:vAlign w:val="bottom"/>
          </w:tcPr>
          <w:p>
            <w:pPr>
              <w:spacing w:after="0"/>
              <w:rPr>
                <w:sz w:val="20"/>
                <w:szCs w:val="20"/>
                <w:color w:val="auto"/>
              </w:rPr>
            </w:pPr>
          </w:p>
        </w:tc>
      </w:tr>
      <w:tr>
        <w:trPr>
          <w:trHeight w:val="81"/>
        </w:trPr>
        <w:tc>
          <w:tcPr>
            <w:tcW w:w="540" w:type="dxa"/>
            <w:vAlign w:val="bottom"/>
            <w:tcBorders>
              <w:bottom w:val="single" w:sz="8" w:color="auto"/>
            </w:tcBorders>
          </w:tcPr>
          <w:p>
            <w:pPr>
              <w:spacing w:after="0"/>
              <w:rPr>
                <w:sz w:val="7"/>
                <w:szCs w:val="7"/>
                <w:color w:val="auto"/>
              </w:rPr>
            </w:pPr>
          </w:p>
        </w:tc>
        <w:tc>
          <w:tcPr>
            <w:tcW w:w="884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91"/>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86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8840" w:type="dxa"/>
            <w:vAlign w:val="bottom"/>
          </w:tcPr>
          <w:p>
            <w:pPr>
              <w:jc w:val="right"/>
              <w:ind w:right="7850"/>
              <w:spacing w:after="0"/>
              <w:rPr>
                <w:sz w:val="20"/>
                <w:szCs w:val="20"/>
                <w:color w:val="auto"/>
              </w:rPr>
            </w:pPr>
            <w:r>
              <w:rPr>
                <w:rFonts w:ascii="Arial" w:cs="Arial" w:eastAsia="Arial" w:hAnsi="Arial"/>
                <w:sz w:val="18"/>
                <w:szCs w:val="18"/>
                <w:color w:val="auto"/>
              </w:rPr>
              <w:t>6.0% (1)</w:t>
            </w:r>
          </w:p>
        </w:tc>
        <w:tc>
          <w:tcPr>
            <w:tcW w:w="1860" w:type="dxa"/>
            <w:vAlign w:val="bottom"/>
          </w:tcPr>
          <w:p>
            <w:pPr>
              <w:spacing w:after="0"/>
              <w:rPr>
                <w:sz w:val="24"/>
                <w:szCs w:val="24"/>
                <w:color w:val="auto"/>
              </w:rPr>
            </w:pPr>
          </w:p>
        </w:tc>
      </w:tr>
      <w:tr>
        <w:trPr>
          <w:trHeight w:val="81"/>
        </w:trPr>
        <w:tc>
          <w:tcPr>
            <w:tcW w:w="540" w:type="dxa"/>
            <w:vAlign w:val="bottom"/>
            <w:tcBorders>
              <w:bottom w:val="single" w:sz="8" w:color="auto"/>
            </w:tcBorders>
          </w:tcPr>
          <w:p>
            <w:pPr>
              <w:spacing w:after="0"/>
              <w:rPr>
                <w:sz w:val="7"/>
                <w:szCs w:val="7"/>
                <w:color w:val="auto"/>
              </w:rPr>
            </w:pPr>
          </w:p>
        </w:tc>
        <w:tc>
          <w:tcPr>
            <w:tcW w:w="884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76"/>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8840" w:type="dxa"/>
            <w:vAlign w:val="bottom"/>
          </w:tcPr>
          <w:p>
            <w:pPr>
              <w:ind w:left="220"/>
              <w:spacing w:after="0"/>
              <w:rPr>
                <w:sz w:val="20"/>
                <w:szCs w:val="20"/>
                <w:color w:val="auto"/>
              </w:rPr>
            </w:pPr>
            <w:r>
              <w:rPr>
                <w:rFonts w:ascii="Arial" w:cs="Arial" w:eastAsia="Arial" w:hAnsi="Arial"/>
                <w:sz w:val="18"/>
                <w:szCs w:val="18"/>
                <w:b w:val="1"/>
                <w:bCs w:val="1"/>
                <w:color w:val="auto"/>
              </w:rPr>
              <w:t>TYPE OF REPORTING PERSON (See Instructions)</w:t>
            </w:r>
          </w:p>
        </w:tc>
        <w:tc>
          <w:tcPr>
            <w:tcW w:w="186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8840" w:type="dxa"/>
            <w:vAlign w:val="bottom"/>
          </w:tcPr>
          <w:p>
            <w:pPr>
              <w:jc w:val="center"/>
              <w:ind w:right="7530"/>
              <w:spacing w:after="0"/>
              <w:rPr>
                <w:sz w:val="20"/>
                <w:szCs w:val="20"/>
                <w:color w:val="auto"/>
              </w:rPr>
            </w:pPr>
            <w:r>
              <w:rPr>
                <w:rFonts w:ascii="Arial" w:cs="Arial" w:eastAsia="Arial" w:hAnsi="Arial"/>
                <w:sz w:val="18"/>
                <w:szCs w:val="18"/>
                <w:color w:val="auto"/>
                <w:w w:val="99"/>
              </w:rPr>
              <w:t>IN, HC</w:t>
            </w:r>
          </w:p>
        </w:tc>
        <w:tc>
          <w:tcPr>
            <w:tcW w:w="1860" w:type="dxa"/>
            <w:vAlign w:val="bottom"/>
          </w:tcPr>
          <w:p>
            <w:pPr>
              <w:spacing w:after="0"/>
              <w:rPr>
                <w:sz w:val="20"/>
                <w:szCs w:val="20"/>
                <w:color w:val="auto"/>
              </w:rPr>
            </w:pPr>
          </w:p>
        </w:tc>
      </w:tr>
    </w:tbl>
    <w:p>
      <w:pPr>
        <w:spacing w:after="0" w:line="80" w:lineRule="exact"/>
        <w:rPr>
          <w:sz w:val="20"/>
          <w:szCs w:val="20"/>
          <w:color w:val="auto"/>
        </w:rPr>
      </w:pPr>
    </w:p>
    <w:p>
      <w:pPr>
        <w:ind w:left="660" w:right="3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169,774,432 shares of Common Stock of the Issuer outstanding as of November 6, 2020, as reported in the Issuer’s Form 10-Q filed with the SEC on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92337C104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88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88465"/>
                    </a:xfrm>
                    <a:prstGeom prst="rect">
                      <a:avLst/>
                    </a:prstGeom>
                    <a:noFill/>
                  </pic:spPr>
                </pic:pic>
              </a:graphicData>
            </a:graphic>
          </wp:anchor>
        </w:drawing>
      </w:r>
    </w:p>
    <w:p>
      <w:pPr>
        <w:spacing w:after="0" w:line="300" w:lineRule="exact"/>
        <w:rPr>
          <w:sz w:val="20"/>
          <w:szCs w:val="20"/>
          <w:color w:val="auto"/>
        </w:rPr>
      </w:pPr>
    </w:p>
    <w:p>
      <w:pPr>
        <w:ind w:left="680" w:hanging="427"/>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ind w:left="680"/>
              <w:spacing w:after="0"/>
              <w:rPr>
                <w:sz w:val="20"/>
                <w:szCs w:val="20"/>
                <w:color w:val="auto"/>
              </w:rPr>
            </w:pPr>
            <w:r>
              <w:rPr>
                <w:rFonts w:ascii="Arial" w:cs="Arial" w:eastAsia="Arial" w:hAnsi="Arial"/>
                <w:sz w:val="18"/>
                <w:szCs w:val="18"/>
                <w:color w:val="auto"/>
              </w:rPr>
              <w:t>Julian C. Baker</w:t>
            </w:r>
          </w:p>
        </w:tc>
        <w:tc>
          <w:tcPr>
            <w:tcW w:w="2340" w:type="dxa"/>
            <w:vAlign w:val="bottom"/>
          </w:tcPr>
          <w:p>
            <w:pPr>
              <w:spacing w:after="0"/>
              <w:rPr>
                <w:sz w:val="20"/>
                <w:szCs w:val="20"/>
                <w:color w:val="auto"/>
              </w:rPr>
            </w:pPr>
          </w:p>
        </w:tc>
      </w:tr>
      <w:tr>
        <w:trPr>
          <w:trHeight w:val="81"/>
        </w:trPr>
        <w:tc>
          <w:tcPr>
            <w:tcW w:w="89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44"/>
        </w:trPr>
        <w:tc>
          <w:tcPr>
            <w:tcW w:w="8900" w:type="dxa"/>
            <w:vAlign w:val="bottom"/>
          </w:tcPr>
          <w:p>
            <w:pPr>
              <w:ind w:left="260"/>
              <w:spacing w:after="0"/>
              <w:rPr>
                <w:sz w:val="20"/>
                <w:szCs w:val="20"/>
                <w:color w:val="auto"/>
              </w:rPr>
            </w:pPr>
            <w:r>
              <w:rPr>
                <w:rFonts w:ascii="Arial" w:cs="Arial" w:eastAsia="Arial" w:hAnsi="Arial"/>
                <w:sz w:val="18"/>
                <w:szCs w:val="18"/>
                <w:b w:val="1"/>
                <w:bCs w:val="1"/>
                <w:color w:val="auto"/>
              </w:rPr>
              <w:t>2    CHECK THE APPROPRIATE BOX IF A MEMBER OF A GROUP (See Instructions)</w:t>
            </w:r>
          </w:p>
        </w:tc>
        <w:tc>
          <w:tcPr>
            <w:tcW w:w="2340" w:type="dxa"/>
            <w:vAlign w:val="bottom"/>
          </w:tcPr>
          <w:p>
            <w:pPr>
              <w:ind w:left="156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p>
        </w:tc>
      </w:tr>
      <w:tr>
        <w:trPr>
          <w:trHeight w:val="283"/>
        </w:trPr>
        <w:tc>
          <w:tcPr>
            <w:tcW w:w="8900" w:type="dxa"/>
            <w:vAlign w:val="bottom"/>
          </w:tcPr>
          <w:p>
            <w:pPr>
              <w:spacing w:after="0"/>
              <w:rPr>
                <w:sz w:val="24"/>
                <w:szCs w:val="24"/>
                <w:color w:val="auto"/>
              </w:rPr>
            </w:pPr>
          </w:p>
        </w:tc>
        <w:tc>
          <w:tcPr>
            <w:tcW w:w="2340" w:type="dxa"/>
            <w:vAlign w:val="bottom"/>
          </w:tcPr>
          <w:p>
            <w:pPr>
              <w:ind w:left="156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tc>
      </w:tr>
    </w:tbl>
    <w:p>
      <w:pPr>
        <w:spacing w:after="0" w:line="137" w:lineRule="exact"/>
        <w:rPr>
          <w:sz w:val="20"/>
          <w:szCs w:val="20"/>
          <w:color w:val="auto"/>
        </w:rPr>
      </w:pPr>
    </w:p>
    <w:p>
      <w:pPr>
        <w:ind w:left="680" w:hanging="427"/>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85" w:lineRule="exact"/>
        <w:rPr>
          <w:sz w:val="20"/>
          <w:szCs w:val="20"/>
          <w:color w:val="auto"/>
        </w:rPr>
      </w:pPr>
    </w:p>
    <w:p>
      <w:pPr>
        <w:ind w:left="680" w:right="6640" w:hanging="427"/>
        <w:spacing w:after="0" w:line="485" w:lineRule="auto"/>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w:t>
      </w:r>
    </w:p>
    <w:p>
      <w:pPr>
        <w:ind w:left="1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2091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09"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20" w:type="dxa"/>
            <w:vAlign w:val="bottom"/>
          </w:tcPr>
          <w:p>
            <w:pPr>
              <w:ind w:left="280"/>
              <w:spacing w:after="0"/>
              <w:rPr>
                <w:sz w:val="20"/>
                <w:szCs w:val="20"/>
                <w:color w:val="auto"/>
              </w:rPr>
            </w:pPr>
            <w:r>
              <w:rPr>
                <w:rFonts w:ascii="Arial" w:cs="Arial" w:eastAsia="Arial" w:hAnsi="Arial"/>
                <w:sz w:val="18"/>
                <w:szCs w:val="18"/>
                <w:color w:val="auto"/>
              </w:rPr>
              <w:t>10,144,039</w:t>
            </w: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520" w:type="dxa"/>
            <w:vAlign w:val="bottom"/>
            <w:vMerge w:val="continue"/>
          </w:tcPr>
          <w:p>
            <w:pPr>
              <w:spacing w:after="0"/>
              <w:rPr>
                <w:sz w:val="11"/>
                <w:szCs w:val="11"/>
                <w:color w:val="auto"/>
              </w:rPr>
            </w:pP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9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Pr>
          <w:p>
            <w:pPr>
              <w:spacing w:after="0"/>
              <w:rPr>
                <w:sz w:val="18"/>
                <w:szCs w:val="18"/>
                <w:color w:val="auto"/>
              </w:rPr>
            </w:pPr>
          </w:p>
        </w:tc>
        <w:tc>
          <w:tcPr>
            <w:tcW w:w="90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OWNED BY</w:t>
            </w:r>
          </w:p>
        </w:tc>
        <w:tc>
          <w:tcPr>
            <w:tcW w:w="52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52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rPr>
              <w:t>EACH</w:t>
            </w: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9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REPORTING</w:t>
            </w:r>
          </w:p>
        </w:tc>
        <w:tc>
          <w:tcPr>
            <w:tcW w:w="52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PERSON</w:t>
            </w:r>
          </w:p>
        </w:tc>
        <w:tc>
          <w:tcPr>
            <w:tcW w:w="520" w:type="dxa"/>
            <w:vAlign w:val="bottom"/>
          </w:tcPr>
          <w:p>
            <w:pPr>
              <w:spacing w:after="0"/>
              <w:rPr>
                <w:sz w:val="18"/>
                <w:szCs w:val="18"/>
                <w:color w:val="auto"/>
              </w:rPr>
            </w:pPr>
          </w:p>
        </w:tc>
        <w:tc>
          <w:tcPr>
            <w:tcW w:w="9020" w:type="dxa"/>
            <w:vAlign w:val="bottom"/>
            <w:vMerge w:val="restart"/>
          </w:tcPr>
          <w:p>
            <w:pPr>
              <w:ind w:left="280"/>
              <w:spacing w:after="0"/>
              <w:rPr>
                <w:sz w:val="20"/>
                <w:szCs w:val="20"/>
                <w:color w:val="auto"/>
              </w:rPr>
            </w:pPr>
            <w:r>
              <w:rPr>
                <w:rFonts w:ascii="Arial" w:cs="Arial" w:eastAsia="Arial" w:hAnsi="Arial"/>
                <w:sz w:val="18"/>
                <w:szCs w:val="18"/>
                <w:color w:val="auto"/>
              </w:rPr>
              <w:t>10,144,039</w:t>
            </w: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ind w:right="70"/>
              <w:spacing w:after="0" w:line="194" w:lineRule="exact"/>
              <w:rPr>
                <w:sz w:val="20"/>
                <w:szCs w:val="20"/>
                <w:color w:val="auto"/>
              </w:rPr>
            </w:pPr>
            <w:r>
              <w:rPr>
                <w:rFonts w:ascii="Arial" w:cs="Arial" w:eastAsia="Arial" w:hAnsi="Arial"/>
                <w:sz w:val="18"/>
                <w:szCs w:val="18"/>
                <w:b w:val="1"/>
                <w:bCs w:val="1"/>
                <w:color w:val="auto"/>
              </w:rPr>
              <w:t>WITH</w:t>
            </w:r>
          </w:p>
        </w:tc>
        <w:tc>
          <w:tcPr>
            <w:tcW w:w="52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9020" w:type="dxa"/>
            <w:vAlign w:val="bottom"/>
          </w:tcPr>
          <w:p>
            <w:pPr>
              <w:ind w:left="1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817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51" w:lineRule="exact"/>
        <w:rPr>
          <w:sz w:val="20"/>
          <w:szCs w:val="20"/>
          <w:color w:val="auto"/>
        </w:rPr>
      </w:pPr>
    </w:p>
    <w:p>
      <w:pPr>
        <w:ind w:left="820" w:right="3640" w:hanging="567"/>
        <w:spacing w:after="0" w:line="460" w:lineRule="auto"/>
        <w:tabs>
          <w:tab w:leader="none" w:pos="68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10,144,039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86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54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(See Instructions)</w:t>
            </w:r>
          </w:p>
        </w:tc>
        <w:tc>
          <w:tcPr>
            <w:tcW w:w="1860" w:type="dxa"/>
            <w:vAlign w:val="bottom"/>
          </w:tcPr>
          <w:p>
            <w:pPr>
              <w:spacing w:after="0"/>
              <w:rPr>
                <w:sz w:val="20"/>
                <w:szCs w:val="20"/>
                <w:color w:val="auto"/>
              </w:rPr>
            </w:pPr>
          </w:p>
        </w:tc>
      </w:tr>
      <w:tr>
        <w:trPr>
          <w:trHeight w:val="81"/>
        </w:trPr>
        <w:tc>
          <w:tcPr>
            <w:tcW w:w="540" w:type="dxa"/>
            <w:vAlign w:val="bottom"/>
            <w:tcBorders>
              <w:bottom w:val="single" w:sz="8" w:color="auto"/>
            </w:tcBorders>
          </w:tcPr>
          <w:p>
            <w:pPr>
              <w:spacing w:after="0"/>
              <w:rPr>
                <w:sz w:val="7"/>
                <w:szCs w:val="7"/>
                <w:color w:val="auto"/>
              </w:rPr>
            </w:pPr>
          </w:p>
        </w:tc>
        <w:tc>
          <w:tcPr>
            <w:tcW w:w="884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91"/>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8840" w:type="dxa"/>
            <w:vAlign w:val="bottom"/>
          </w:tcPr>
          <w:p>
            <w:pPr>
              <w:ind w:left="1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86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8840" w:type="dxa"/>
            <w:vAlign w:val="bottom"/>
          </w:tcPr>
          <w:p>
            <w:pPr>
              <w:jc w:val="right"/>
              <w:ind w:right="7850"/>
              <w:spacing w:after="0"/>
              <w:rPr>
                <w:sz w:val="20"/>
                <w:szCs w:val="20"/>
                <w:color w:val="auto"/>
              </w:rPr>
            </w:pPr>
            <w:r>
              <w:rPr>
                <w:rFonts w:ascii="Arial" w:cs="Arial" w:eastAsia="Arial" w:hAnsi="Arial"/>
                <w:sz w:val="18"/>
                <w:szCs w:val="18"/>
                <w:color w:val="auto"/>
              </w:rPr>
              <w:t>6.0% (1)</w:t>
            </w:r>
          </w:p>
        </w:tc>
        <w:tc>
          <w:tcPr>
            <w:tcW w:w="1860" w:type="dxa"/>
            <w:vAlign w:val="bottom"/>
          </w:tcPr>
          <w:p>
            <w:pPr>
              <w:spacing w:after="0"/>
              <w:rPr>
                <w:sz w:val="24"/>
                <w:szCs w:val="24"/>
                <w:color w:val="auto"/>
              </w:rPr>
            </w:pPr>
          </w:p>
        </w:tc>
      </w:tr>
      <w:tr>
        <w:trPr>
          <w:trHeight w:val="81"/>
        </w:trPr>
        <w:tc>
          <w:tcPr>
            <w:tcW w:w="540" w:type="dxa"/>
            <w:vAlign w:val="bottom"/>
            <w:tcBorders>
              <w:bottom w:val="single" w:sz="8" w:color="auto"/>
            </w:tcBorders>
          </w:tcPr>
          <w:p>
            <w:pPr>
              <w:spacing w:after="0"/>
              <w:rPr>
                <w:sz w:val="7"/>
                <w:szCs w:val="7"/>
                <w:color w:val="auto"/>
              </w:rPr>
            </w:pPr>
          </w:p>
        </w:tc>
        <w:tc>
          <w:tcPr>
            <w:tcW w:w="884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76"/>
        </w:trPr>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8840" w:type="dxa"/>
            <w:vAlign w:val="bottom"/>
          </w:tcPr>
          <w:p>
            <w:pPr>
              <w:ind w:left="220"/>
              <w:spacing w:after="0"/>
              <w:rPr>
                <w:sz w:val="20"/>
                <w:szCs w:val="20"/>
                <w:color w:val="auto"/>
              </w:rPr>
            </w:pPr>
            <w:r>
              <w:rPr>
                <w:rFonts w:ascii="Arial" w:cs="Arial" w:eastAsia="Arial" w:hAnsi="Arial"/>
                <w:sz w:val="18"/>
                <w:szCs w:val="18"/>
                <w:b w:val="1"/>
                <w:bCs w:val="1"/>
                <w:color w:val="auto"/>
              </w:rPr>
              <w:t>TYPE OF REPORTING PERSON (See Instructions)</w:t>
            </w:r>
          </w:p>
        </w:tc>
        <w:tc>
          <w:tcPr>
            <w:tcW w:w="186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8840" w:type="dxa"/>
            <w:vAlign w:val="bottom"/>
          </w:tcPr>
          <w:p>
            <w:pPr>
              <w:jc w:val="center"/>
              <w:ind w:right="7530"/>
              <w:spacing w:after="0"/>
              <w:rPr>
                <w:sz w:val="20"/>
                <w:szCs w:val="20"/>
                <w:color w:val="auto"/>
              </w:rPr>
            </w:pPr>
            <w:r>
              <w:rPr>
                <w:rFonts w:ascii="Arial" w:cs="Arial" w:eastAsia="Arial" w:hAnsi="Arial"/>
                <w:sz w:val="18"/>
                <w:szCs w:val="18"/>
                <w:color w:val="auto"/>
                <w:w w:val="99"/>
              </w:rPr>
              <w:t>IN, HC</w:t>
            </w:r>
          </w:p>
        </w:tc>
        <w:tc>
          <w:tcPr>
            <w:tcW w:w="1860" w:type="dxa"/>
            <w:vAlign w:val="bottom"/>
          </w:tcPr>
          <w:p>
            <w:pPr>
              <w:spacing w:after="0"/>
              <w:rPr>
                <w:sz w:val="20"/>
                <w:szCs w:val="20"/>
                <w:color w:val="auto"/>
              </w:rPr>
            </w:pPr>
          </w:p>
        </w:tc>
      </w:tr>
    </w:tbl>
    <w:p>
      <w:pPr>
        <w:spacing w:after="0" w:line="80" w:lineRule="exact"/>
        <w:rPr>
          <w:sz w:val="20"/>
          <w:szCs w:val="20"/>
          <w:color w:val="auto"/>
        </w:rPr>
      </w:pPr>
    </w:p>
    <w:p>
      <w:pPr>
        <w:ind w:left="660" w:right="3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169,774,432 shares of Common Stock of the Issuer outstanding as of November 6, 2020, as reported in the Issuer’s Form 10-Q filed with the SEC on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tcPr>
          <w:p>
            <w:pPr>
              <w:ind w:left="4080"/>
              <w:spacing w:after="0"/>
              <w:rPr>
                <w:sz w:val="20"/>
                <w:szCs w:val="20"/>
                <w:color w:val="auto"/>
              </w:rPr>
            </w:pPr>
            <w:r>
              <w:rPr>
                <w:rFonts w:ascii="Arial" w:cs="Arial" w:eastAsia="Arial" w:hAnsi="Arial"/>
                <w:sz w:val="18"/>
                <w:szCs w:val="18"/>
                <w:b w:val="1"/>
                <w:bCs w:val="1"/>
                <w:color w:val="auto"/>
              </w:rPr>
              <w:t>Schedule 13G</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Verastem, Inc.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117 Kendrick Street, Suite 500</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Needham, MA 02494</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This Schedule 13G is being filed jointly by the Baker Bros. Advisors LP (the “Adviser”), Baker Bros. Advisors (GP) LLC (the “Adviser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GP”), Felix J. Baker and Julian C. Baker (collectively,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The business address of each of the Reporting Persons is: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Baker Bros. Advisors LP</w:t>
            </w:r>
          </w:p>
        </w:tc>
      </w:tr>
      <w:tr>
        <w:trPr>
          <w:trHeight w:val="595"/>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860 Washington Street,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r>
      <w:tr>
        <w:trPr>
          <w:trHeight w:val="309"/>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New York, NY 10014</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(212) 339-5690</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The Adviser is a limited partnership organized under the laws of the State of Delaware. The Adviser GP is a limited liability company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organized under the laws of the State of Delaware. The citizenship of each of Julian C. Baker and Felix J. Baker is the United States of</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America.</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Common Stock, par value $0.0001 per share (“Common Stock”).</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92337C104</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(c), check whether the person filing is a:</w:t>
      </w:r>
    </w:p>
    <w:p>
      <w:pPr>
        <w:spacing w:after="0" w:line="196" w:lineRule="exact"/>
        <w:rPr>
          <w:sz w:val="20"/>
          <w:szCs w:val="20"/>
          <w:color w:val="auto"/>
        </w:rPr>
      </w:pPr>
    </w:p>
    <w:p>
      <w:pPr>
        <w:ind w:left="900" w:hanging="244"/>
        <w:spacing w:after="0" w:line="207" w:lineRule="exact"/>
        <w:tabs>
          <w:tab w:leader="none" w:pos="9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920" w:hanging="264"/>
        <w:spacing w:after="0" w:line="207" w:lineRule="exact"/>
        <w:tabs>
          <w:tab w:leader="none" w:pos="9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900" w:hanging="244"/>
        <w:spacing w:after="0" w:line="207" w:lineRule="exact"/>
        <w:tabs>
          <w:tab w:leader="none" w:pos="9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920" w:hanging="264"/>
        <w:spacing w:after="0" w:line="207" w:lineRule="exact"/>
        <w:tabs>
          <w:tab w:leader="none" w:pos="9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900" w:hanging="244"/>
        <w:spacing w:after="0" w:line="207" w:lineRule="exact"/>
        <w:tabs>
          <w:tab w:leader="none" w:pos="9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880" w:hanging="224"/>
        <w:spacing w:after="0" w:line="207" w:lineRule="exact"/>
        <w:tabs>
          <w:tab w:leader="none" w:pos="88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920" w:hanging="264"/>
        <w:spacing w:after="0" w:line="207" w:lineRule="exact"/>
        <w:tabs>
          <w:tab w:leader="none" w:pos="9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920" w:hanging="264"/>
        <w:spacing w:after="0" w:line="207" w:lineRule="exact"/>
        <w:tabs>
          <w:tab w:leader="none" w:pos="9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880" w:hanging="224"/>
        <w:spacing w:after="0" w:line="196" w:lineRule="exact"/>
        <w:tabs>
          <w:tab w:leader="none" w:pos="880" w:val="left"/>
        </w:tabs>
        <w:numPr>
          <w:ilvl w:val="0"/>
          <w:numId w:val="2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 of</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1940.</w:t>
      </w:r>
    </w:p>
    <w:p>
      <w:pPr>
        <w:spacing w:after="0" w:line="176"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(j) </w:t>
      </w: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Items 5 through 9 and 11 of each of the cover pages to this Schedule 13G are incorporated herein by reference. Set forth below is the aggregate number of shares of Common Stock directly held by each of Baker Brothers Life Sciences, L.P. (“Life Sciences”) and 667, L.P. (“667”, and together with Life Sciences, the “Funds”) which may be deemed to be indirectly beneficially owned by the Reporting Persons.</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information set forth below is based on 169,774,432 shares of Common Stock outstanding as of November 6, 2020, as reported in the Issuer’s Form 10-Q filed with the Securities and Exchange Commission on November 9, 2020. Such percentage figures are calculated in accordance with Rule 13d-3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Number of Shares of Common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Stock we own or have the right</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Percent of Class</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Holder</w:t>
            </w:r>
          </w:p>
        </w:tc>
        <w:tc>
          <w:tcPr>
            <w:tcW w:w="16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to acquire within 60 days</w:t>
            </w:r>
          </w:p>
        </w:tc>
        <w:tc>
          <w:tcPr>
            <w:tcW w:w="2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667, L.P.</w:t>
            </w:r>
          </w:p>
        </w:tc>
        <w:tc>
          <w:tcPr>
            <w:tcW w:w="16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757,740</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420" w:type="dxa"/>
            <w:vAlign w:val="bottom"/>
            <w:gridSpan w:val="2"/>
          </w:tcPr>
          <w:p>
            <w:pPr>
              <w:spacing w:after="0"/>
              <w:rPr>
                <w:sz w:val="20"/>
                <w:szCs w:val="20"/>
                <w:color w:val="auto"/>
              </w:rPr>
            </w:pPr>
            <w:r>
              <w:rPr>
                <w:rFonts w:ascii="Arial" w:cs="Arial" w:eastAsia="Arial" w:hAnsi="Arial"/>
                <w:sz w:val="18"/>
                <w:szCs w:val="18"/>
                <w:color w:val="auto"/>
              </w:rPr>
              <w:t>Baker Brothers Life Sciences, L.P.</w:t>
            </w:r>
          </w:p>
        </w:tc>
        <w:tc>
          <w:tcPr>
            <w:tcW w:w="2360" w:type="dxa"/>
            <w:vAlign w:val="bottom"/>
          </w:tcPr>
          <w:p>
            <w:pPr>
              <w:jc w:val="right"/>
              <w:spacing w:after="0"/>
              <w:rPr>
                <w:sz w:val="20"/>
                <w:szCs w:val="20"/>
                <w:color w:val="auto"/>
              </w:rPr>
            </w:pPr>
            <w:r>
              <w:rPr>
                <w:rFonts w:ascii="Arial" w:cs="Arial" w:eastAsia="Arial" w:hAnsi="Arial"/>
                <w:sz w:val="18"/>
                <w:szCs w:val="18"/>
                <w:color w:val="auto"/>
              </w:rPr>
              <w:t>9,386,299</w:t>
            </w:r>
          </w:p>
        </w:tc>
        <w:tc>
          <w:tcPr>
            <w:tcW w:w="24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10,144,039</w:t>
            </w:r>
          </w:p>
        </w:tc>
        <w:tc>
          <w:tcPr>
            <w:tcW w:w="24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Adviser GP, Felix J. Baker and Julian C. Baker as managing members of the Adviser GP, and the Adviser may be deemed to be beneficial owners of securities of the Issuer directly held by the Funds.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Adviser GP is the sole general partner of the Adviser. Pursuant to the management agreements, as amended, among the Adviser, Life Sciences and 667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 N/A</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1300" w:right="5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information in Item 4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 w:name="page9"/>
    <w:bookmarkEnd w:id="8"/>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Baker Bros. Advisors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L. Lessing</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Julian C. Baker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accordance with Rule 13d-1(k)(1) under the Securities Exchange Act of 1934, as amended, the undersigned hereby agree that this Statement on Schedule 13G relating to the Common Stock of Verastem, Inc. is being filed with the Securities and Exchange Commission on behalf of each of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Baker Bros. Advisors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L. Lessing</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Julian C. Baker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3"/>
      <w:numFmt w:val="bullet"/>
      <w:start w:val="1"/>
    </w:lvl>
  </w:abstractNum>
  <w:abstractNum w:abstractNumId="4">
    <w:nsid w:val="DED7263"/>
    <w:multiLevelType w:val="hybridMultilevel"/>
    <w:lvl w:ilvl="0">
      <w:lvlJc w:val="left"/>
      <w:lvlText w:val="4"/>
      <w:numFmt w:val="bullet"/>
      <w:start w:val="1"/>
    </w:lvl>
  </w:abstractNum>
  <w:abstractNum w:abstractNumId="5">
    <w:nsid w:val="7FDCC233"/>
    <w:multiLevelType w:val="hybridMultilevel"/>
    <w:lvl w:ilvl="0">
      <w:lvlJc w:val="left"/>
      <w:lvlText w:val="9"/>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4"/>
      <w:numFmt w:val="bullet"/>
      <w:start w:val="1"/>
    </w:lvl>
  </w:abstractNum>
  <w:abstractNum w:abstractNumId="10">
    <w:nsid w:val="25E45D32"/>
    <w:multiLevelType w:val="hybridMultilevel"/>
    <w:lvl w:ilvl="0">
      <w:lvlJc w:val="left"/>
      <w:lvlText w:val="9"/>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4"/>
      <w:numFmt w:val="bullet"/>
      <w:start w:val="1"/>
    </w:lvl>
  </w:abstractNum>
  <w:abstractNum w:abstractNumId="15">
    <w:nsid w:val="257130A3"/>
    <w:multiLevelType w:val="hybridMultilevel"/>
    <w:lvl w:ilvl="0">
      <w:lvlJc w:val="left"/>
      <w:lvlText w:val="9"/>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bullet"/>
      <w:start w:val="1"/>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4"/>
      <w:numFmt w:val="bullet"/>
      <w:start w:val="1"/>
    </w:lvl>
  </w:abstractNum>
  <w:abstractNum w:abstractNumId="20">
    <w:nsid w:val="721DA317"/>
    <w:multiLevelType w:val="hybridMultilevel"/>
    <w:lvl w:ilvl="0">
      <w:lvlJc w:val="left"/>
      <w:lvlText w:val="9"/>
      <w:numFmt w:val="bullet"/>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2021-02-16T16:23:52Z</dcterms:created>
  <dcterms:modified xsi:type="dcterms:W3CDTF">2021-02-16T16:23:52Z</dcterms:modified>
</cp:coreProperties>
</file>