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005-1_4seq1.xml.htm"/>
      <w:bookmarkStart w:id="1" w:name="kstm262600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Calkins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VERASTEM, INC.,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Verastem,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satisfy statutory withholding requirements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number of shares beneficially owned includes 831 shares of common stock acquired pursuant to the Issuer's 2018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Calkins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1861" TargetMode="External"/><Relationship Id="rId5" Type="http://schemas.openxmlformats.org/officeDocument/2006/relationships/hyperlink" Target="http://www.sec.gov/cgi-bin/browse-edgar?action=getcompany&amp;CIK=0001526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3359</Characters>
  <CharactersWithSpaces>3907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