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37d6_8k.htm"/>
      <w:bookmarkStart w:id="1" w:name="kstm2627537d6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1014"/>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27-3269467</w:t>
            </w:r>
          </w:p>
        </w:tc>
      </w:tr>
      <w:tr>
        <w:trPr/>
        <w:tc>
          <w:tcPr>
            <w:tcW w:w="263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rP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117 Kendrick Street, </w:t>
            </w:r>
            <w:bookmarkStart w:id="9" w:name="xdx_905_edei--EntityAddressAddressLine2_"/>
            <w:bookmarkEnd w:id="9"/>
            <w:r>
              <w:rPr>
                <w:rFonts w:ascii="Times New Roman;Times;Serif" w:hAnsi="Times New Roman;Times;Serif"/>
                <w:b/>
                <w:i w:val="false"/>
                <w:caps w:val="false"/>
                <w:smallCaps w:val="false"/>
                <w:sz w:val="20"/>
              </w:rPr>
              <w:t xml:space="preserve">Suite 500, </w:t>
            </w:r>
            <w:bookmarkStart w:id="10" w:name="xdx_90F_edei--EntityAddressCityOrTown_c2"/>
            <w:bookmarkEnd w:id="10"/>
            <w:r>
              <w:rPr>
                <w:rFonts w:ascii="Times New Roman;Times;Serif" w:hAnsi="Times New Roman;Times;Serif"/>
                <w:b/>
                <w:i w:val="false"/>
                <w:caps w:val="false"/>
                <w:smallCaps w:val="false"/>
                <w:sz w:val="20"/>
              </w:rPr>
              <w:t xml:space="preserve">Needham, </w:t>
            </w:r>
            <w:bookmarkStart w:id="11" w:name="xdx_906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02494</w:t>
            </w:r>
          </w:p>
        </w:tc>
      </w:tr>
      <w:tr>
        <w:trP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61014__20"/>
      <w:bookmarkEnd w:id="13"/>
      <w:r>
        <w:rPr>
          <w:rFonts w:ascii="Times New Roman;Times;Serif" w:hAnsi="Times New Roman;Times;Serif"/>
          <w:b/>
          <w:i w:val="false"/>
          <w:caps w:val="false"/>
          <w:smallCaps w:val="false"/>
          <w:sz w:val="20"/>
        </w:rPr>
        <w:t xml:space="preserve">781) </w:t>
      </w:r>
      <w:bookmarkStart w:id="14" w:name="xdx_90A_edei--LocalPhoneNumber_c20261014"/>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5_edei--SolicitingMaterial_c202610"/>
            <w:bookmarkEnd w:id="16"/>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1014"/>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1014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Verastem, Inc. (the “Company”) entered into an underwriting agreement (the “Underwriting Agreement”) with Jefferies LLC and Guggenheim Securities, LLC, as representatives of the several underwriters named in Schedule I thereto (the “Underwriters”), relating to the underwritten offering, issuance and sale by the Company of: (i) 30,937,500 shares (the “Shares”) of the Company’s common stock, par value $0.0001 per share (the “Common Stock”), and (ii) to certain investors, pre-funded warrants (the “Pre-Funded Warrants”) to purchase up to 312,503 shares of Common Stock (collectively, the “Offering”). All of the Shares and the Pre-Funded Warrants will be sold by the Company. Each share of Common Stock is being offered at an offering price of $8.00, less the underwriting discounts and commissions, and each Pre-Funded Warrant is being offered at an offering price of $7.9999, which is equal to the offering price per share of Common Stock less the $0.0001 exercise price of each Pre-Funded Warrant, less the underwriting discounts and commissions.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receive net proceeds from the Offering, after deducting underwriting discounts and commissions and estimated offering expenses, of approximately $234.7 million.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shelf registration statement on Form S-3, as amended (File No. 333-289399), which was declared effective on August 15, 2025. The closing of the Offering is expected to take place on or about October 15, 2026, subject to the satisfaction of customary closing conditions.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have an exercise price equal to $0.0001 per underlying share of Common Stock. Each Pre-Funded Warrant is exercisable for the number of shares of the Company’s Common Stock stated therein. The Pre-Funded Warrants will not expire and are exercisable in cash or by means of a cashless exercise.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in whole or in part by delivering a duly executed exercise notice accompanied by payment in full for the number of shares of Common Stock purchased upon such exercise. The exercise price and the number of shares of Common Stock issuable upon exercise of each Pre-Funded Warrant are subject to appropriate adjustment in the event of certain stock dividends and distributions, stock splits, stock combinations, reclassifications or similar events affecting the Common Stock as well as upon any distribution of assets, including cash, stock or other property, to the Company’s stockholders.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4.99% or 9.99%, at the election of the holder (or such higher percentage up to 19.99%, at the election of the holder) of the number of shares of Common Stock outstanding immediately after giving effect to the exercise, which percentage may be increased or decreased at the holder’s election upon 61 days’ notice to the Company subject to the terms of such Pre-Funded Warrants, provided that such percentage may in no event exceed 19.99%.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the consummation of an acquisition (as described in the Pre-Funded Warrants), each Pre-Funded Warrant will automatically be converted into the right of the holder of such Pre-Funded Warrant to receive the kind and amount of securities, cash or other property that such holders would have received had they exercised such Pre-Funded Warrant immediately prior to such acquisition, without regard to any limitations on exercise contained in the Pre-Funded Warrants. The foregoing description of the Pre-Funded Warrants is qualified in its entirety by reference to the Form of Pre-Funded Warrant filed as Exhibit 4.1 to this Current Report on Form 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by the Company and customary conditions to closing, indemnification obligations of the Company and the Underwriters, including for liabilities under the Securities Act of 1933, as amended (the “Securities Act”), and termination provisions.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Underwriting Agreement is filed as Exhibit 1.1 to this Current Report on Form 8-K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 counsel to the Company, has issued an opinion to the Company, dated October 14, 2026, regarding the Shares and Pre-Funded Warrants to be sold in the Offering. A copy of the opinion is filed as Exhibit 5.1 to this Current Report on Form 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the exhibits hereto, shall not constitute an offer to sell or the solicitation of an offer to buy any securities of the Company, which is being made only by means of a written prospectus meeting the requirements of Section 10 of the Securities Act, nor shall there be any sale of the Company’s securities in any state or jurisdiction in which such offer, solicitation or sale would be unlawful prior to registration or qualification under the securities laws of such jurisdiction.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76"/>
        <w:gridCol w:w="60"/>
        <w:gridCol w:w="9269"/>
      </w:tblGrid>
      <w:tr>
        <w:trPr/>
        <w:tc>
          <w:tcPr>
            <w:tcW w:w="876"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bottom w:val="single" w:sz="8"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876" w:type="dxa"/>
            <w:tcBorders/>
            <w:shd w:fill="FFFFFF" w:val="clear"/>
            <w:tcMar>
              <w:bottom w:w="0" w:type="dxa"/>
            </w:tcMar>
            <w:vAlign w:val="center"/>
          </w:tcPr>
          <w:p>
            <w:pPr>
              <w:pStyle w:val="TableContents"/>
              <w:bidi w:val="0"/>
              <w:spacing w:before="0" w:after="283"/>
              <w:jc w:val="left"/>
              <w:rPr/>
            </w:pPr>
            <w:hyperlink w:anchor="tm2627537d6_ex1-1.htm">
              <w:r>
                <w:rPr>
                  <w:rStyle w:val="InternetLink"/>
                  <w:sz w:val="20"/>
                </w:rPr>
                <w:t>1.1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shd w:fill="FFFFFF" w:val="clear"/>
            <w:tcMar>
              <w:bottom w:w="0" w:type="dxa"/>
            </w:tcMar>
            <w:vAlign w:val="center"/>
          </w:tcPr>
          <w:p>
            <w:pPr>
              <w:pStyle w:val="TableContents"/>
              <w:bidi w:val="0"/>
              <w:spacing w:before="0" w:after="283"/>
              <w:jc w:val="left"/>
              <w:rPr/>
            </w:pPr>
            <w:hyperlink w:anchor="tm2627537d6_ex1-1.htm">
              <w:r>
                <w:rPr>
                  <w:rStyle w:val="InternetLink"/>
                  <w:sz w:val="20"/>
                </w:rPr>
                <w:t>Underwriting Agreement, dated October 14, 2026, among Verastem, Inc. and Jefferies LLC and Guggenheim Securities, LLC, as representatives of the several underwriters</w:t>
              </w:r>
            </w:hyperlink>
          </w:p>
        </w:tc>
      </w:tr>
      <w:tr>
        <w:trPr/>
        <w:tc>
          <w:tcPr>
            <w:tcW w:w="876" w:type="dxa"/>
            <w:tcBorders/>
            <w:shd w:fill="FFFFFF" w:val="clear"/>
            <w:tcMar>
              <w:bottom w:w="0" w:type="dxa"/>
            </w:tcMar>
            <w:vAlign w:val="center"/>
          </w:tcPr>
          <w:p>
            <w:pPr>
              <w:pStyle w:val="TableContents"/>
              <w:bidi w:val="0"/>
              <w:spacing w:before="0" w:after="283"/>
              <w:jc w:val="left"/>
              <w:rPr/>
            </w:pPr>
            <w:hyperlink w:anchor="tm2627537d6_ex4-1.htm">
              <w:r>
                <w:rPr>
                  <w:rStyle w:val="InternetLink"/>
                  <w:sz w:val="20"/>
                </w:rPr>
                <w:t>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shd w:fill="FFFFFF" w:val="clear"/>
            <w:tcMar>
              <w:bottom w:w="0" w:type="dxa"/>
            </w:tcMar>
            <w:vAlign w:val="center"/>
          </w:tcPr>
          <w:p>
            <w:pPr>
              <w:pStyle w:val="TableContents"/>
              <w:bidi w:val="0"/>
              <w:spacing w:before="0" w:after="283"/>
              <w:jc w:val="left"/>
              <w:rPr/>
            </w:pPr>
            <w:hyperlink w:anchor="tm2627537d6_ex4-1.htm">
              <w:r>
                <w:rPr>
                  <w:rStyle w:val="InternetLink"/>
                  <w:sz w:val="20"/>
                </w:rPr>
                <w:t>Form of Pre-Funded Warrant</w:t>
              </w:r>
            </w:hyperlink>
          </w:p>
        </w:tc>
      </w:tr>
      <w:tr>
        <w:trPr/>
        <w:tc>
          <w:tcPr>
            <w:tcW w:w="876" w:type="dxa"/>
            <w:tcBorders/>
            <w:shd w:fill="FFFFFF" w:val="clear"/>
            <w:tcMar>
              <w:bottom w:w="0" w:type="dxa"/>
            </w:tcMar>
            <w:vAlign w:val="center"/>
          </w:tcPr>
          <w:p>
            <w:pPr>
              <w:pStyle w:val="TableContents"/>
              <w:bidi w:val="0"/>
              <w:spacing w:before="0" w:after="283"/>
              <w:jc w:val="left"/>
              <w:rPr/>
            </w:pPr>
            <w:hyperlink w:anchor="tm2627537d6_ex5-1.htm">
              <w:r>
                <w:rPr>
                  <w:rStyle w:val="InternetLink"/>
                  <w:sz w:val="20"/>
                </w:rPr>
                <w:t>5.1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shd w:fill="FFFFFF" w:val="clear"/>
            <w:tcMar>
              <w:bottom w:w="0" w:type="dxa"/>
            </w:tcMar>
            <w:vAlign w:val="center"/>
          </w:tcPr>
          <w:p>
            <w:pPr>
              <w:pStyle w:val="TableContents"/>
              <w:bidi w:val="0"/>
              <w:spacing w:before="0" w:after="283"/>
              <w:jc w:val="left"/>
              <w:rPr/>
            </w:pPr>
            <w:hyperlink w:anchor="tm2627537d6_ex5-1.htm">
              <w:r>
                <w:rPr>
                  <w:rStyle w:val="InternetLink"/>
                  <w:sz w:val="20"/>
                </w:rPr>
                <w:t>Opinion of Ropes &amp; Gray LLP</w:t>
              </w:r>
            </w:hyperlink>
          </w:p>
        </w:tc>
      </w:tr>
      <w:tr>
        <w:trPr/>
        <w:tc>
          <w:tcPr>
            <w:tcW w:w="876" w:type="dxa"/>
            <w:tcBorders/>
            <w:shd w:fill="FFFFFF" w:val="clear"/>
            <w:tcMar>
              <w:bottom w:w="0" w:type="dxa"/>
            </w:tcMar>
            <w:vAlign w:val="center"/>
          </w:tcPr>
          <w:p>
            <w:pPr>
              <w:pStyle w:val="TableContents"/>
              <w:bidi w:val="0"/>
              <w:spacing w:before="0" w:after="283"/>
              <w:jc w:val="left"/>
              <w:rPr/>
            </w:pPr>
            <w:hyperlink w:anchor="tm2627537d6_ex5-1.htm">
              <w:r>
                <w:rPr>
                  <w:rStyle w:val="InternetLink"/>
                  <w:sz w:val="20"/>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shd w:fill="FFFFFF" w:val="clear"/>
            <w:tcMar>
              <w:bottom w:w="0" w:type="dxa"/>
            </w:tcMar>
            <w:vAlign w:val="center"/>
          </w:tcPr>
          <w:p>
            <w:pPr>
              <w:pStyle w:val="TableContents"/>
              <w:bidi w:val="0"/>
              <w:spacing w:before="0" w:after="283"/>
              <w:jc w:val="left"/>
              <w:rPr/>
            </w:pPr>
            <w:hyperlink w:anchor="tm2627537d6_ex5-1.htm">
              <w:r>
                <w:rPr>
                  <w:rStyle w:val="InternetLink"/>
                  <w:sz w:val="20"/>
                </w:rPr>
                <w:t>Consent of Ropes &amp; Gray LLP (included in Exhibit 5.1 above)</w:t>
              </w:r>
            </w:hyperlink>
          </w:p>
        </w:tc>
      </w:tr>
      <w:tr>
        <w:trPr/>
        <w:tc>
          <w:tcPr>
            <w:tcW w:w="876"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9"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030"/>
        <w:gridCol w:w="320"/>
        <w:gridCol w:w="3125"/>
      </w:tblGrid>
      <w:tr>
        <w:trPr/>
        <w:tc>
          <w:tcPr>
            <w:tcW w:w="203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VERASTEM,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October 14, 2026</w:t>
            </w:r>
          </w:p>
        </w:tc>
        <w:tc>
          <w:tcPr>
            <w:tcW w:w="320" w:type="dxa"/>
            <w:tcBorders/>
            <w:vAlign w:val="center"/>
          </w:tcPr>
          <w:p>
            <w:pPr>
              <w:pStyle w:val="TableContents"/>
              <w:bidi w:val="0"/>
              <w:spacing w:before="0" w:after="283"/>
              <w:jc w:val="left"/>
              <w:rPr>
                <w:sz w:val="20"/>
              </w:rPr>
            </w:pPr>
            <w:r>
              <w:rPr>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Daniel W. Paterson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Daniel W. Paterson</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i/>
                <w:sz w:val="20"/>
              </w:rPr>
            </w:pPr>
            <w:r>
              <w:rPr>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537d6_ex1-1.htm"/>
      <w:bookmarkStart w:id="24" w:name="kstm2627537d6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30,937,500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312,503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br/>
        <w:t>GUGGENHEIM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Verastem,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(i) an aggregate of 30,937,500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its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and (ii) pre-funded warrants,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to purchase up to an aggregate of 312,503 Shares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The 30,937,500 Shares to be sold by the Company are called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The shares of Common Stock issuable upon exercise of the Pre-Funded Warrants are referred to herein as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The Offered Shares, the Pre-Funded Warrants and the Warrant Shares are collectively referred to herein as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and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have agreed to act as representatives of the several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in connection with the offering and sale of the Offered Securities. To the extent there are no additional underwriters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as used herein shall mean you, as Underwriters, and the term “Underwriters” shall mean either the singular or the plural,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as amended, File No. 333-289399, including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Any registration statement filed by the Company pursuant to Rule 462(b) under the Securities Act in connection with the offer and sale of the Offered Securities is called the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and from and after the date and time of filing of any such Rule 462(b) Registration Statement the term “Registration Statement” shall include the Rule 462(b) Registration Statement. The preliminary prospectus supplement dated October 13, 2026 describing the Offered Securities and the offering thereof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together with the Base Prospectus,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final prospectus supplement to the Base Prospectus that describes the Offered Securities and the offering thereof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“Applicable Time” is 6:10 a.m. (New York City time) on October 14,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as amended or supplemented immediately prior to the Applicable Time, together with the information included on </w:t>
      </w:r>
      <w:r>
        <w:rPr>
          <w:rFonts w:ascii="Times New Roman;Times;Serif" w:hAnsi="Times New Roman;Times;Serif"/>
          <w:b w:val="false"/>
          <w:i w:val="false"/>
          <w:caps w:val="false"/>
          <w:smallCaps w:val="false"/>
          <w:sz w:val="20"/>
          <w:u w:val="single"/>
        </w:rPr>
        <w:t>Schedule B-1</w:t>
      </w:r>
      <w:r>
        <w:rPr>
          <w:rFonts w:ascii="Times New Roman;Times;Serif" w:hAnsi="Times New Roman;Times;Serif"/>
          <w:b w:val="false"/>
          <w:i w:val="false"/>
          <w:caps w:val="false"/>
          <w:smallCaps w:val="false"/>
          <w:sz w:val="20"/>
        </w:rPr>
        <w:t xml:space="preserve"> hereto and the free writing prospectuses, if any, identified in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xml:space="preserve"> means a “road show” (as defined in Rule 433 under the Securities Act) relating to the offering of the Offered Securities contemplated hereby that is a “written communication”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is or is deemed to be incorporated by reference in the Registration Statement, the Preliminary Prospectus, any preliminary prospectus, the Base Prospectus, the Time of Sale Prospectus or the Prospectus, as the case may be. All references in this Agreement to (i) the Registration Statement, the Preliminary Prospectus, any preliminary prospectus, the Time of Sale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Securities as contemplated by Section 3(n)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agreements with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Representations and Warranties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hereby represents, warrants and covenants to each Underwriter, as of the date of this Agreement, as of the Closing Date (as hereinafter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Registration Statement has become effective under the Securities Act. The Company has complied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until such time as the Underwriters are no longer required to deliver a Prospectus in order to confirm sales of the Offered Securities,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Closing Date (as defined in ‎Section 2) as then amended or supplemented by the Company,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As of the determination date referenced in Rule 164(h) under the Securities Act, the Company was 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The representations and warranties set forth in the immediately preceding sentence do not apply to statements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Except for the free writing prospectuses, if any, identified in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and electronic road shows, if any, furnished to the Representatives before first use, the Company has not prepared, used or referred to, and will not, without the prior written consent of the Representatives,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Prior to the completion of the Underwriters’ distribution of the Offered Securities,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or the free writing prospectuses, if any, identified on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Offered Shares have been duly authorized for issuance and sale pursuant to this Agreement and, 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There are no persons with registration or other similar rights to have any equity or debt securities registered for sale under the Registration Statement or included in the offering contemplated by this Agreement and the Pre-Funded Warrants, except for such rights as have been duly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(as defined below), considered as one entity or (B) the ability of the Company to consummate the transactions contemplated by this Agreement and the Pre-Funded Warrants or perform its obligations hereunder and under the Pre-Funded Warrants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of the Company and its significant subsidiaries (as such term is defined in Rule 1-02 of Regulation S-X promulgated by the Commission)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has been duly organized and is validly existing and in good standing as a corporation or other business entity under the laws of the jurisdiction in which it is chartered or organized with full corporate, limited liability company or limited partnership power and authority to own or lease, as the case may be, and to operate its properties and conduct its business as described in the Registration Statement, the Time of Sale Prospectus and the Prospectus, and is duly qualified to do business as a foreign corporation and is in good standing under the laws of each jurisdiction which requires such qualification, except where the failure to be so qualified or in good standing or have such power or authority would not, individually or in the aggregate,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All the outstanding shares of capital stock or limited liability company or limited partnership interests, as applicable, of each Subsidiary have been duly and validly authorized and issued and are fully paid and nonassessable, and all outstanding shares of capital stock or interests of the Subsidiaries are owned by the Company either directly or through wholly owned Subsidiaries free and clear of any perfected security interest or any other security interests, claims, liens or encumbrances. Except as set forth in the Registration Statement, the Time of Sale Prospectus and the Prospectus, there are no outstanding options, warrants or other rights to purchase, agreements or other obligations to issue, or rights to convert any obligations into or exchange any securities or interests for capital stock or other ownership interests of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Company’s authorized equity capitalization is as set forth in the Registration Statement, the Time of Sale Prospectus and the Prospectus under the heading “Capitalization”; the capital stock of the Company conforms in all material respects to the description thereof contained in the Registration Statement, the Time of Sale Prospectus and the Prospectus; the outstanding shares of capital stock of the Company have been duly and validly authorized and issued and are fully paid and non-assessable; the Offered Securities have been duly and validly authorized, and, when issued and delivered to and paid for by the Underwriters pursuant to the terms of this Agreement, will be fully paid and non-assessable; the Offered Securities are duly listed, and admitted and authorized for trading, subject to official notice of issuance and evidence of satisfactory distribution, on the Nasdaq Capital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the certificates for the Offered Securities are in valid and sufficient form; the holders of outstanding shares of capital stock of the Company are not entitled to preemptive or other rights to subscribe for the Offered Securities; except as set forth in the Registration Statement, the Time of Sale Prospectus and the Prospectus, no options, warrants or other rights to purchase, agreements or other obligations to issue, or rights to convert any obligations into or exchange any securities for, shares of capital stock of or ownership interests in the Company are outstanding; and all offers and sales by the Company of the Company’s shares of common stock prior to the date hereof were at all relevant times duly registered under the Securities Act or were exempt from the registration requirements of the Securities Act and were duly registered or the subject of an available exemption from the registration requirements of the applicable state securities or blue sky laws. No holder of the Offered Securities will be subject to personal liability for obligations of the Company solely by reason of being such a holder. The Pre-Funded Warrants have been duly authorized by the Company and, when executed and delivered by the Company pursuant to this Agreement, will constitute valid, legal and binding obligations of the Company, enforceable in accordance with their terms, except as such enforceability may be limited by bankruptcy, insolvency, reorganization or similar laws affecting the rights of creditors generally and subject to general principles of equity. The Warrant Shares have been duly authorized and validly reserved for issuance upon exercise of the Pre-Funded Warrants in a number sufficient to meet the current exercise requirements and, when issued and delivered in accordance with the terms thereof, will be validly issued, fully paid and nonassessable, and the holders thereof will not be subject to personal liability by reason of being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The Company is not and, immediately after giving effect to the offering and sale of the Offered Securities and the application of the proceeds thereof as described in the Registration Statement, the Time of Sale Prospectus and the Prospectus, will not be an “investment company” or an entity “controlled” by an “investment company”, in each case, as defined in the Investment Company Act of 1940, as amended,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No consent, approval, authorization, filing with, license, registration, qualification or order of any court or governmental agency or body is required in connection with the transactions contemplated herein or in the Pre-Funded Warrants, except such as have been obtained under the Securities Act and such as may be required under the blue sky laws of any jurisdiction in connection with the purchase and distribution of the Offered Shares and the Pre-Funded Warrants and, upon exercise of the Pre-Funded Warrants, the Warrant Shares by the Underwriters in the manner contemplated herein or therein and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Neither the issue and sale of the Offered Shares and Pre-Funded Warrants and, upon exercise of the Pre-Funded Warrants, the Warrant Shares nor the consummation of any other of the transactions contemplated herein or in the Pre-Funded Warrants nor the fulfillment of the terms hereof or thereof will conflict with, result in a breach or violation of, or constitute a default under, result in the termination, modification or acceleration of, or imposition of any lien, charge or encumbrance upon any property or assets of the Company or any of its Subsidiaries pursuant to, (i) the charter, by-laws or similar organizational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above, for any such conflict, breach, violation, default, lien, charge or encumbrance that would not reasonably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Neither the Company nor any Subsidiary is in violation or default of (i) any provision of its charter, bylaws or similar organizational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writ or decree of any court, regulatory body, administrative agency, governmental body, arbitrator or other authority having jurisdiction over the Company or such Subsidiary or any of its properties, assets or operations, as applicable, except, in the case of clauses (ii) and (iii) above, for any such default or violation that would not, individually or in the aggregate,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No holders of securities of the Company or its Subsidiaries have rights to require the registration of such securities under the Securities Act by reason of the filing of the Registration Statement with the Commission or the issuance and sale of the Offered Shares and the Pre-Funded Warrants and, upon exercise of the Pre-Funded Warrants,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The consolidated historical financial statements, including the notes thereto, of the Company and its consolidated subsidiaries included or incorporated by reference in the Registration Statement, the Time of Sale Prospectus and the Prospectus present fairly the financial condition, results of operations and cash flows of the Company as of the dates and for the periods indicated (subject to normal year-end audit adjustments for interim financial statements), and have been prepared in compliance with the applicable accounting requirements of the Securities Act and the Exchange Act, as applicable, and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(except for such adjustments to accounting standards and practices as otherwise noted therein). All non-GAAP financial information included or incorporated by reference in the Registration Statement, the Time of Sale Prospectus and the Prospectus complies with the requirements of Regulation G and Item 10 of Regulation S-K under the Securities Act, to the extent applicable; and there are no material off-balance sheet arrangements (as defined in Regulation S-K under the Securities Act, Item 303(a)(4)(ii)) or any other relationships with unconsolidated entities or other persons, that could reasonably be expected to affect materially the Company’s liquidity or the availability of or requirements for its capital resources. Except as disclosed therein, there is no pro forma or as adjusted financial information or other financial statements or supporting schedules or exhibits which are required to be included in the Registration Statement, the Time of Sale Prospectus and the Prospectus or a document incorporated by reference therein in accordance with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No action, suit, inquiry or proceeding brought by or before any court or governmental agency, authority or body or any arbitrator (“</w:t>
      </w:r>
      <w:r>
        <w:rPr>
          <w:rFonts w:ascii="Times New Roman;Times;Serif" w:hAnsi="Times New Roman;Times;Serif"/>
          <w:b/>
          <w:i w:val="false"/>
          <w:caps w:val="false"/>
          <w:smallCaps w:val="false"/>
          <w:sz w:val="20"/>
        </w:rPr>
        <w:t>Actions</w:t>
      </w:r>
      <w:r>
        <w:rPr>
          <w:rFonts w:ascii="Times New Roman;Times;Serif" w:hAnsi="Times New Roman;Times;Serif"/>
          <w:b w:val="false"/>
          <w:i w:val="false"/>
          <w:caps w:val="false"/>
          <w:smallCaps w:val="false"/>
          <w:sz w:val="20"/>
        </w:rPr>
        <w:t>”) involving the Company or any of its Subsidiaries or its or their property is pending or, to the best knowledge of the Company, threatened that could reasonably be expected to, individually or in the aggregate, result in a Material Adverse Change, except as set forth in or contemplated in the Registration Statement, the Time of Sale Prospectus and the Prospectus (exclusive of any supplement thereto). There are no current or pending Actions that are required under the Securities Act to be described in the Registration Statement, the Time of Sale Prospectus and the Prospectus that are not so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Each of the Company and each of its Subsidiaries owns or leases all such properties as are necessary to the conduct of its operations as presently conducted except where failure to do so would not be reasonably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Ernst &amp; Young LLP, who have certified certain financial statements of the Company and its consolidated subsidiaries and delivered their report with respect to the audited consolidated financial statements and schedules included or incorporated by reference in the Registration Statement, the Time of Sale Prospectus and the Prospectus, are independent public accountants with respect to the Company and its Subsidiaries within the meaning of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val="false"/>
          <w:i w:val="false"/>
          <w:caps w:val="false"/>
          <w:smallCaps w:val="false"/>
          <w:sz w:val="20"/>
        </w:rPr>
        <w:t>There are no transfer taxes or other similar taxes, fees or charges under U.S. federal law or the laws of any U.S. state, or any political subdivision thereof, required to be paid in connection with the execution and delivery of this Agreement and the Pre-Funded Warrants or the issuance, sale or delivery by the Company of the Offered Shares and the Pre-Funded Warrants and, upon exercise of the Pre-Funded Warrants,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The Company and each of its Subsidiaries has filed all tax returns that are required to be filed or has requested extensions thereof (except in any case in which the failure so to file would not, individually or in the aggregate, result in a Material Adverse Change and except as set forth in or contemplated in the Registration Statement, the Time of Sale Prospectus and the Prospectus (exclusive of any supplement thereto)) and has paid all taxes required to be paid by it and any other assessment, fine or penalty levied against it, to the extent that any of the foregoing is due and payable, except (i) for any such assessment, fine or penalty that is currently being contested in good faith and for which adequate reserves have been provided in accordance with GAAP or as would not, individually or in the aggregate, result in a Material Adverse Change, or (ii) as set forth in or contemplated in the Registration Statement, the Time of Sale Prospectus and the Prospectus (exclusive of any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val="false"/>
          <w:i w:val="false"/>
          <w:caps w:val="false"/>
          <w:smallCaps w:val="false"/>
          <w:sz w:val="20"/>
        </w:rPr>
        <w:t>No labor problem or dispute with the employees of the Company or any of its Subsidiaries exists or, to the knowledge of the Company, is threatened or imminent, which would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The Company and each of its Subsidiaries are insured by reputable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val="false"/>
          <w:i w:val="false"/>
          <w:caps w:val="false"/>
          <w:smallCaps w:val="false"/>
          <w:sz w:val="20"/>
        </w:rPr>
        <w:t>No Subsidiary of the Company is currently prohibited or restricted, directly or indirectly, from paying any dividends to the Company, from making any other distribution on such Subsidiary’s capital stock or other ownership interest, from repaying to the Company any loans or advances to such Subsidiary from the Company or from transferring any of such Subsidiary’s property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val="false"/>
          <w:i w:val="false"/>
          <w:caps w:val="false"/>
          <w:smallCaps w:val="false"/>
          <w:sz w:val="20"/>
        </w:rPr>
        <w:t>The Company and its Subsidiaries possess all licenses, certificates, permits and other authorizations issued by all applicable authorities necessary to conduct their respective businesses. The Company and its Subsidiaries are in compliance with the terms of such licenses, certificates, permits and other authorizations, except where the failure to so comply would not, individually or in the aggregate, be reasonably expected to result in a Material Adverse Change. Neither the Company nor any such Subsidiary has received any notice of proceedings relating to the revocation or modification of any such certificate, authorization or permit which, individually or in the aggregate, if the subject of an unfavorable decision, ruling or finding, would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val="false"/>
          <w:i w:val="false"/>
          <w:caps w:val="false"/>
          <w:smallCaps w:val="false"/>
          <w:sz w:val="20"/>
        </w:rPr>
        <w:t>The Company and its Subsidiaries maintain a system of “internal control over financial reporting” (as defined in Rule 13a-15(f) of the Exchange Act) that complies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internal controls over financial reporting are effective and the Company and its Subsidiaries are not aware of any material weakness in their internal controls over financial reporting. The Company’s independent auditors and board of directors have been advised of: (i) all “material weaknesses” and “significant deficiencies” (each, as defined in Rule 12b-2 of the Exchange Act),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(whether or not remediated); all such material weaknesses and significant deficiencies, if any, have been disclosed in the Registration Statement, the Time of Sale Prospectus and the Prospectus in all material respects; and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val="false"/>
          <w:i w:val="false"/>
          <w:caps w:val="false"/>
          <w:smallCaps w:val="false"/>
          <w:sz w:val="20"/>
        </w:rPr>
        <w:t>The Company and its Subsidiaries maintain “disclosure controls and procedures” (as such term is defined in Rule 13a-15(e) under the Exchange Act) that (i) are designed to ensure that material information relating to the Company and its Subsidiaries is made known to the Company’s principal executive officer and its principal financial officer by others within those entities, especially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val="false"/>
          <w:i w:val="false"/>
          <w:caps w:val="false"/>
          <w:smallCaps w:val="false"/>
          <w:sz w:val="20"/>
        </w:rPr>
        <w:t>The Company (i)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Offered Securities and (ii) will not, directly or indirectly, sell, bid for, or purchase the Offered Securities to be issued and sold pursuant to this Agreement, or pay anyone any compensation for soliciting purchases of the Offered Securities other than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val="false"/>
          <w:i w:val="false"/>
          <w:caps w:val="false"/>
          <w:smallCaps w:val="false"/>
          <w:sz w:val="20"/>
        </w:rPr>
        <w:t>The Company and its Subsidiaries and their respective properties, assets and operations are in compliance with, and the Company and its Subsidiaries hold all permits, authorizations and approvals required under, Environmental Laws (as defined below), except to the extent that failure to so comply or to hold such permits, authorizations or approvals would not, individually or in the aggregate, result in a Material Adverse Change; there are no past, present or, to the Company’s knowledge, reasonably anticipated future events, conditions, circumstances, activities, practices, actions, omissions or plans that would reasonably be expected to give rise to any material costs or liabilities to the Company or its Subsidiaries under, or to interfere with or prevent compliance by the Company or its Subsidiaries with, Environmental Laws; except as would not, individually or in the aggregate, result in a Material Adverse Change, neither the Company nor its Subsidiaries (i) is the subject of any investigation, (ii) has received any notice or claim, (iii) is a party to or affected by any pending or, to the Company’s knowledge, threatened action, suit or proceeding, (iv) is bound by any judgment, decree or order or (v) has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any U.S. federal, state, local or foreign law, statute, ordinance, rule, regulation, order, decree, judgment, injunction, permit, license, authorization or other binding requirement, or common law,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material (including, without limitation, pollutants, contaminants, hazardous or toxic substances or wastes) that is regulated by or may give rise to liability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val="false"/>
          <w:i w:val="false"/>
          <w:caps w:val="false"/>
          <w:smallCaps w:val="false"/>
          <w:sz w:val="20"/>
        </w:rPr>
        <w:t>(i) Each “employee benefit plan” (within the meaning of Section 3(3) of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for which the Company or any member of its “</w:t>
      </w:r>
      <w:r>
        <w:rPr>
          <w:rFonts w:ascii="Times New Roman;Times;Serif" w:hAnsi="Times New Roman;Times;Serif"/>
          <w:b/>
          <w:i w:val="false"/>
          <w:caps w:val="false"/>
          <w:smallCaps w:val="false"/>
          <w:sz w:val="20"/>
        </w:rPr>
        <w:t>Controlled Group</w:t>
      </w:r>
      <w:r>
        <w:rPr>
          <w:rFonts w:ascii="Times New Roman;Times;Serif" w:hAnsi="Times New Roman;Times;Serif"/>
          <w:b w:val="false"/>
          <w:i w:val="false"/>
          <w:caps w:val="false"/>
          <w:smallCaps w:val="false"/>
          <w:sz w:val="20"/>
        </w:rPr>
        <w:t>” (defined as an entity, whether or not incorporated, that is under common control with the Company within the meaning of Section 4001(a)(14) of ERISA or any entity that would be regarded as a single employer with the Company under Section 414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would have any liability (each,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to which a statutory or administrative prohibited transaction exemption applies;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 (iii)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(iv) no “reportable event” (within the meaning of Section 4043(c) of ERISA and the regulations promulgated thereunder) has occurred or is reasonably expected to occur; and (v) each Plan that is intended to be qualified under Section 401(a) of the Code has received a favorable determination or opinion letter from the Internal Revenue Service as to its qualification, and to the knowledge of the Company, nothing has occurred, whether by action or by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val="false"/>
          <w:i w:val="false"/>
          <w:caps w:val="false"/>
          <w:smallCaps w:val="false"/>
          <w:sz w:val="20"/>
        </w:rPr>
        <w:t>There is and has been no failure on the part of the Company or, to the Company’s knowledge, any of the Company’s directors or officers, in their capacities as such, to comply with any applicable provision of the Sarbanes-Oxley Act of 2002 and the rules and regulations promulgated in connection therewith, including Section 402 relating to loans and Sections 302 and 906 relating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val="false"/>
          <w:i w:val="false"/>
          <w:caps w:val="false"/>
          <w:smallCaps w:val="false"/>
          <w:sz w:val="20"/>
        </w:rPr>
        <w:t>(i) Neither the Company nor the Subsidiaries, nor any director or officer of the Company or any Subsidiary nor, to the Company’s knowledge, any employee of the Company or any Subsidiary, agent, affiliate, representative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U.S.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to the Company’s knowledge, any affiliate of any of them, on the one hand, and the directors, officers and stockholders of the Company or any Subsidiary, on the other hand, that is required by the Securities Act to be described in the Registration Statement and the Prospectus that is not so described; and (iii)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val="false"/>
          <w:i w:val="false"/>
          <w:caps w:val="false"/>
          <w:smallCaps w:val="false"/>
          <w:sz w:val="20"/>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(i) The Company represents that, neither the Company nor any of its Subsidiaries (collectively, the “</w:t>
      </w:r>
      <w:r>
        <w:rPr>
          <w:rFonts w:ascii="Times New Roman;Times;Serif" w:hAnsi="Times New Roman;Times;Serif"/>
          <w:b/>
          <w:i w:val="false"/>
          <w:caps w:val="false"/>
          <w:smallCaps w:val="false"/>
          <w:sz w:val="20"/>
        </w:rPr>
        <w:t>Entity</w:t>
      </w:r>
      <w:r>
        <w:rPr>
          <w:rFonts w:ascii="Times New Roman;Times;Serif" w:hAnsi="Times New Roman;Times;Serif"/>
          <w:b w:val="false"/>
          <w:i w:val="false"/>
          <w:caps w:val="false"/>
          <w:smallCaps w:val="false"/>
          <w:sz w:val="20"/>
        </w:rPr>
        <w:t>”) or, to the Company’s knowledge, any director, officer, employee, agent, affiliate or representative of the Entity, is a government, individual, or entity (in this paragraph (ii),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a Person that is (A) the subject of any sanctions administered or enforced by the U.S. Department of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(B) located, organized or resident in a country or territory that is the subject of Sanctions that broadly prohibit dealings with that country or territory (including, without limitation, Crimea, so-called Donetsk People’s Republic and so-called Luhansk People’s Republic regions of Ukraine, Cuba, Iran, Syria (prior to July 1, 2025) and North Korea) (the “</w:t>
      </w:r>
      <w:r>
        <w:rPr>
          <w:rFonts w:ascii="Times New Roman;Times;Serif" w:hAnsi="Times New Roman;Times;Serif"/>
          <w:b/>
          <w:i w:val="false"/>
          <w:caps w:val="false"/>
          <w:smallCaps w:val="false"/>
          <w:sz w:val="20"/>
        </w:rPr>
        <w:t>Sanctioned Countries</w:t>
      </w:r>
      <w:r>
        <w:rPr>
          <w:rFonts w:ascii="Times New Roman;Times;Serif" w:hAnsi="Times New Roman;Times;Serif"/>
          <w:b w:val="false"/>
          <w:i w:val="false"/>
          <w:caps w:val="false"/>
          <w:smallCaps w:val="false"/>
          <w:sz w:val="20"/>
        </w:rPr>
        <w:t>”); (ii) the Entity represents and covenants that it will not, directly or indirectly, use the proceeds of the offering,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offering, whether as underwriter, advisor, investor or otherwise); (iii) the Entity represents and covenants that, except as detailed in the Registration Statement and the Prospectus, for the past ten years, it has not engaged in, is not now knowingly engaging in, and will not knowingly engage in, any dealings or transactions with any Person, or in any country or territory, that at the time of the dealing or transaction is or was the subject of Sanctions or is or was a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w:t>
      </w:r>
      <w:r>
        <w:rPr>
          <w:rFonts w:ascii="Times New Roman;Times;Serif" w:hAnsi="Times New Roman;Times;Serif"/>
          <w:b w:val="false"/>
          <w:i w:val="false"/>
          <w:caps w:val="false"/>
          <w:smallCaps w:val="false"/>
          <w:sz w:val="20"/>
        </w:rPr>
        <w:t>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Times;Serif" w:hAnsi="Times New Roman;Times;Serif"/>
          <w:b/>
          <w:i w:val="false"/>
          <w:caps w:val="false"/>
          <w:smallCaps w:val="false"/>
          <w:sz w:val="20"/>
        </w:rPr>
        <w:t>Confidential Data</w:t>
      </w:r>
      <w:r>
        <w:rPr>
          <w:rFonts w:ascii="Times New Roman;Times;Serif" w:hAnsi="Times New Roman;Times;Serif"/>
          <w:b w:val="false"/>
          <w:i w:val="false"/>
          <w:caps w:val="false"/>
          <w:smallCaps w:val="false"/>
          <w:sz w:val="20"/>
        </w:rPr>
        <w:t>”)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(v) any “personal information” as defined by the California Consumer Privacy Act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(vi)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w:t>
      </w:r>
      <w:r>
        <w:rPr>
          <w:rFonts w:ascii="Times New Roman;Times;Serif" w:hAnsi="Times New Roman;Times;Serif"/>
          <w:b w:val="false"/>
          <w:i w:val="false"/>
          <w:caps w:val="false"/>
          <w:smallCaps w:val="false"/>
          <w:sz w:val="20"/>
        </w:rPr>
        <w:t>The Company and its Subsidiaries are, and at all prior times were, in material compliance with all applicable U.S. state and federal data privacy and security laws and regulations, including without limitation HIPAA, CCPA, and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in each case, except as would not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w:t>
      </w:r>
      <w:r>
        <w:rPr>
          <w:rFonts w:ascii="Times New Roman;Times;Serif" w:hAnsi="Times New Roman;Times;Serif"/>
          <w:b w:val="false"/>
          <w:i w:val="false"/>
          <w:caps w:val="false"/>
          <w:smallCaps w:val="false"/>
          <w:sz w:val="20"/>
        </w:rPr>
        <w:t>The interactive data in the eXtensible Business Reporting Language included as an exhibit to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w:t>
      </w:r>
      <w:r>
        <w:rPr>
          <w:rFonts w:ascii="Times New Roman;Times;Serif" w:hAnsi="Times New Roman;Times;Serif"/>
          <w:b w:val="false"/>
          <w:i w:val="false"/>
          <w:caps w:val="false"/>
          <w:smallCaps w:val="false"/>
          <w:sz w:val="20"/>
        </w:rPr>
        <w:t>The Company and its Subsidiaries have good and marketable title to all personal property owned by them, free and clear of all encumbrances and defects except those that (i) do not materially interfere with the use made and proposed to be made of such property by the Company and any of its Subsidiaries or (ii) would not reasonably be expected, individually or in the aggregate, to result in a Material Adverse Change. Any real or personal property described in the Registration Statement, the Time of Sale Prospectus or the Prospectus as being leased by the Company and any of its Subsidiaries is held by them under valid, existing and enforceable leases, except those matters that (A) do not materially interfere with the use made or proposed to be made of such property by the Company or any of its Subsidiaries or (B) would not, individually or in the aggregate,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w:t>
      </w:r>
      <w:r>
        <w:rPr>
          <w:rFonts w:ascii="Times New Roman;Times;Serif" w:hAnsi="Times New Roman;Times;Serif"/>
          <w:b w:val="false"/>
          <w:i w:val="false"/>
          <w:caps w:val="false"/>
          <w:smallCaps w:val="false"/>
          <w:sz w:val="20"/>
        </w:rPr>
        <w:t>No relationship, direct or indirect, exists between or among the Company or any of its Subsidiaries on the one hand, and the directors, officers, or shareholders of the Company on the other hand, which is required to be described in the Registration Statement, the Time of Sale Prospectus and the Prospectus and which is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w:t>
      </w:r>
      <w:r>
        <w:rPr>
          <w:rFonts w:ascii="Times New Roman;Times;Serif" w:hAnsi="Times New Roman;Times;Serif"/>
          <w:b w:val="false"/>
          <w:i w:val="false"/>
          <w:caps w:val="false"/>
          <w:smallCaps w:val="false"/>
          <w:sz w:val="20"/>
        </w:rPr>
        <w:t>The Subsidiaries listed on Schedule C attached hereto are the only significant Subsidiaries of the Company as defined by Rule 1-02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w:t>
      </w:r>
      <w:r>
        <w:rPr>
          <w:rFonts w:ascii="Times New Roman;Times;Serif" w:hAnsi="Times New Roman;Times;Serif"/>
          <w:b w:val="false"/>
          <w:i w:val="false"/>
          <w:caps w:val="false"/>
          <w:smallCaps w:val="false"/>
          <w:sz w:val="20"/>
        </w:rPr>
        <w:t>The statistical and market-related data included or incorporated by reference in the Registration Statement, the Time of Sale Prospectus and the Prospectus are based on or derived from sources that the Company believes to be reliable and accurate. To the extent required, the Company has obtained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w:t>
      </w:r>
      <w:r>
        <w:rPr>
          <w:rFonts w:ascii="Times New Roman;Times;Serif" w:hAnsi="Times New Roman;Times;Serif"/>
          <w:b w:val="false"/>
          <w:i w:val="false"/>
          <w:caps w:val="false"/>
          <w:smallCaps w:val="false"/>
          <w:sz w:val="20"/>
        </w:rPr>
        <w:t>Neither the issuance, sale and delivery of the Offered Shares and the Pre-Funded Warrants and, upon exercise of the Pre-Funded Warrants, the Warrant Shares nor the application of the proceeds thereof by the Company as described in each of the Registration Statement, the Time of Sale Prospectus and the Prospectus will violate Regulation T, U or X of the Board of Governors of the Federal Reserve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w:t>
      </w:r>
      <w:r>
        <w:rPr>
          <w:rFonts w:ascii="Times New Roman;Times;Serif" w:hAnsi="Times New Roman;Times;Serif"/>
          <w:b w:val="false"/>
          <w:i w:val="false"/>
          <w:caps w:val="false"/>
          <w:smallCaps w:val="false"/>
          <w:sz w:val="20"/>
        </w:rPr>
        <w:t>Since the date of the most recent financial statements of the Company included or incorporated by reference in each of the Registration Statement, the Time of Sale Prospectus and the Prospectus (i) there has not been any change in the capital stock,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prospects, earnings, rights, assets,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(ss)        </w:t>
      </w:r>
      <w:r>
        <w:rPr>
          <w:rFonts w:ascii="Times New Roman;Times;Serif" w:hAnsi="Times New Roman;Times;Serif"/>
          <w:b w:val="false"/>
          <w:i w:val="false"/>
          <w:caps w:val="false"/>
          <w:smallCaps w:val="false"/>
          <w:sz w:val="20"/>
        </w:rPr>
        <w:t>No forward-looking statement (within the meaning of Section 27A of the Securities Act and Section 21E of the Exchange Act) included in any of the Registration Statement, the Time of Sale Prospectus and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(tt)        </w:t>
      </w:r>
      <w:r>
        <w:rPr>
          <w:rFonts w:ascii="Times New Roman;Times;Serif" w:hAnsi="Times New Roman;Times;Serif"/>
          <w:b w:val="false"/>
          <w:i w:val="false"/>
          <w:caps w:val="false"/>
          <w:smallCaps w:val="false"/>
          <w:sz w:val="20"/>
        </w:rPr>
        <w:t>The Company and its Subsidiaries own, possess, license or have other valid and enforceable rights to use all patents, patent applications, trademarks, service marks, trademark and service mark registrations, trade names, copyrights, licenses, inventions, technology, know-how (including trade secrets and other unpatented and/or unpatentable proprietary or confidential information, systems or procedures) and other intellectual property (collectively, the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used in or necessary for the conduct of the Company’s business as presently conducted or proposed to be conducted as described in the Registration Statement, the Time of Sale Prospectus and the Prospectus. Except as set forth in the Registration Statement, the Time of Sale Prospectus and the Prospectus: (a) the Company is either the sole owner or co-owner of the Intellectual Property owned by it and has the valid and enforceable right to use such Intellectual Property, and to the knowledge of the Company, based on the agreements with co-owners with respect to any co-owned Intellectual Property to which the Company is a party, has neither the obligation to obtain consent to sublicense nor a duty of accounting to any co-owner, as applicable, and there are no rights of third parties to any Intellectual Property that is owned by the Company, other than any co-owner of any patent or patent application constituting Intellectual Property who is listed as such on the records of the U.S. Patent and Trademark Office (“</w:t>
      </w:r>
      <w:r>
        <w:rPr>
          <w:rFonts w:ascii="Times New Roman;Times;Serif" w:hAnsi="Times New Roman;Times;Serif"/>
          <w:b/>
          <w:i w:val="false"/>
          <w:caps w:val="false"/>
          <w:smallCaps w:val="false"/>
          <w:sz w:val="20"/>
        </w:rPr>
        <w:t>USPTO</w:t>
      </w:r>
      <w:r>
        <w:rPr>
          <w:rFonts w:ascii="Times New Roman;Times;Serif" w:hAnsi="Times New Roman;Times;Serif"/>
          <w:b w:val="false"/>
          <w:i w:val="false"/>
          <w:caps w:val="false"/>
          <w:smallCaps w:val="false"/>
          <w:sz w:val="20"/>
        </w:rPr>
        <w:t>”); (b) to the knowledge of the Company, there is no infringement or misappropriation by third parties of any Intellectual Property owned by or exclusively licensed to the Company, and no third party has infringed or misappropriated any Intellectual Property owned by or exclusively licensed to the Company;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 Intellectual Property owned by the Company and, to the knowledge of the Company, the Intellectual Property licensed to the Company, is valid, subsisting and enforceable, there is no pending or, to the knowledge of the Company, threatened action, suit, proceeding or claim by others challenging the validity or scope of any such Intellectual Property, and the Company is unaware of any facts which would form a reasonable basis for any such claim; (e) to the knowledge of the Company, the Company does not infringe or misappropriate, and has not infringed or misappropriated, any third party Intellectual Property, and there is no pending or threatened action, suit, proceeding or claim by others that the Company infringes or otherwise violates third party Intellectual Property; (f) the Company is not obligated to pay a material royalty, grant a license or option, or provide other material consideration to any third party in connection with the Intellectual Property; (g) all employees or contractors engaged in the development of Intellectual Property on behalf of the Company have executed an invention assignment agreement whereby such employees or contractors presently assign all of their right, title and interest in and to such Intellectual Property to the Company, and to the knowledge of the Company no such agreement has been breached or violated; (h) to the knowledge of the Company, no employee of the Company is in or has been in violation of any term of any employment contract, patent disclosure agreement, non-competition agreement, non-solicitation agreement, nondisclosure agreement or any restrictive covenant to or with a former employer where the basis of such violation relates to such employee’s employment with the Company; (i) the Company uses, and has used, commercially reasonable efforts to appropriately maintain the confidentiality of all information intended to be maintained as a trade secret; and (j) no government funding, facilities or resources of a university, college, other educational institution or research center was used in the development of any Intellectual Property solely owned or purported to be solely owned by the Company that would confer upon any governmental agency or body, university, college, other educational institution or research center any claim or right of ownership to any such Intellectual Property. The Company expects the product candidates described in the Registration Statement, the Time of Sale Prospectus and the Prospectus as under development by the Company to fall within the scope of the claims of one or more patents or patent applications owned by or exclusively licensed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        </w:t>
      </w:r>
      <w:r>
        <w:rPr>
          <w:rFonts w:ascii="Times New Roman;Times;Serif" w:hAnsi="Times New Roman;Times;Serif"/>
          <w:b w:val="false"/>
          <w:i w:val="false"/>
          <w:caps w:val="false"/>
          <w:smallCaps w:val="false"/>
          <w:sz w:val="20"/>
        </w:rPr>
        <w:t>(a) All patents and patent applications owned by or exclusively licensed to the Company or under which the Company has rights have, to the knowledge of the Company, been duly and properly filed and each issued patent is being diligently maintained; (b) the Company is unaware of any facts that would preclude the issuance of a valid and enforceable patent on any pending patent applications included in the Intellectual Property; (c) to the knowledge of the Company, the Company and the parties prosecuting such applications have complied or are in the process of complying with their duty of candor and disclosure to the USPTO, and all such requirements in the relevant foreign patent authority having similar requirements as the case may be, in connection with such patents and patent applications for which it has filing, prosecution and/or maintenance responsibilities; and (d) to the knowledge of the Company, there is no third party patent or patent application that contains claims that dominate or may dominate (as such term is described in 35 U.S.C. §135 and 37 C.F.R. 41.100 to 41.208) the issued claims of any patents owned by or exclusively licensed to the Company or from which the issued claims of any patents owned by or exclusively licensed to the Company are derived (as such term is described in 35 U.S.C. §135 and 37 C.F.R. 42.400 to 42.412).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(vv)        </w:t>
      </w:r>
      <w:r>
        <w:rPr>
          <w:rFonts w:ascii="Times New Roman;Times;Serif" w:hAnsi="Times New Roman;Times;Serif"/>
          <w:b w:val="false"/>
          <w:i w:val="false"/>
          <w:caps w:val="false"/>
          <w:smallCaps w:val="false"/>
          <w:sz w:val="20"/>
        </w:rPr>
        <w:t>Except as disclosed in the Registration Statement, the Time of Sale Prospectus and the Prospectus, the Company (i) does not have any material lending or other relationship with any bank or lending affiliate of the Representatives and (ii) does not intend to use any of the proceeds from the sale of the Offered Shares and Pre-Funded Warrants (or from the exercise of the Pre-Funded Warrants) hereunder to repay any outstanding debt owed to the Representatives or any affiliate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        </w:t>
      </w:r>
      <w:r>
        <w:rPr>
          <w:rFonts w:ascii="Times New Roman;Times;Serif" w:hAnsi="Times New Roman;Times;Serif"/>
          <w:b w:val="false"/>
          <w:i w:val="false"/>
          <w:caps w:val="false"/>
          <w:smallCaps w:val="false"/>
          <w:sz w:val="20"/>
        </w:rPr>
        <w:t>(i) The Company and its Subsidiaries have fee simple title to or leasehold interest in all of the properties described in the Registration Statement, the Time of Sale Prospectus and the Prospectus as owned or leased by them and the improvements (exclusive of improvements owned by tenants) located thereon (the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in each case, free and clear of all liens, encumbrances, claims, security interests, restrictions and defects, except such as are disclosed in the Registration Statement, the Time of Sale Prospectus and the Prospectus or do not materially affect the value of such Property and do not materially interfere with the use made and proposed to be made of such Property by the Company and any Subsidiary or would not reasonably be expected, individually or in the aggregate, to result in a Material Adverse Change; (ii) neither the Company nor any of its Subsidiaries knows of any condemnation which is threatened and which if consummated would reasonably be expected to result in a Material Adverse Change; (iii) to the best of the Company’s knowledge, each of the Properties complies with all applicable codes, laws and regulations (including without limitation, building and zoning codes, laws and regulations and laws relating to access to the Properties), except for such failures to comply that would not individually or in the aggregate reasonably be expected to materially affect the value of such Property or interfere in any material respect with the use made and proposed to be made of such Property by the Company or any Subsidiary; and (iv) to the knowledge of the Company, except as set forth in or contemplated in the Registration Statement, the Time of Sale Prospectus and the Prospectus and, with respect to (A) below, except as would not individually or in the aggregate reasonably be expected to materially affect the value of such Property or interfere in any material respect with the use made and proposed to be made of such Property by the Company or any Subsidiary: (A) there are no uncured events of default, or events that with the giving of notice or passage of time, or both, would constitute an event of default by any tenant under any of the terms and provisions of any lease described in the Time of Sale Prospectus; and (B) no tenant under any of the leases at the Properties has a right of first refusal to purchase the premises demised under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            </w:t>
      </w:r>
      <w:r>
        <w:rPr>
          <w:rFonts w:ascii="Times New Roman;Times;Serif" w:hAnsi="Times New Roman;Times;Serif"/>
          <w:b w:val="false"/>
          <w:i w:val="false"/>
          <w:caps w:val="false"/>
          <w:smallCaps w:val="false"/>
          <w:sz w:val="20"/>
        </w:rPr>
        <w:t>The preclinical studies and clinical trials that are described in, or the results of which are referred to in, the Registration Statement, the Time of Sale Prospectus and the Prospectus were and, if still pending, are being conducted in all material respects in accordance with standard accepted medical and scientific research procedures and all applicable protocols, rules and regulations to which they are subject, including without limitation, any applicable Health Care Laws (as defined below); the descriptions of and information regarding the results of such studies, tests and trials, and the data and results derived therefrom, described in the Registration Statement, the Time of Sale Prospectus and the Prospectus are accurate and complete, as of the date indicated, in all material respects and fairly present the data derived from such tests and trials, and neither the Company nor its Subsidiaries, after due inquiry, has any knowledge of any other studies, tests, trials, publications, presentations or other information relating to the Company’s products or product candidates not described in the Registration Statement, the Time of Sale Prospectus and the Prospectus the results of which reasonably call into question the results described or referred to in the Registration Statement, the Time of Sale Prospectus and the Prospectus; neither the Company nor its Subsidiaries has received any notices or other correspondence from the Food and Drug Administration of the U.S. Department of Health and Human Services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any committee thereof or from any other U.S. or foreign government or drug or medical device regulatory agency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requiring or threatening the termination, suspension or material modification of any studies, tests or trials that are currently being conducted or proposed to be conducted by or on behalf of the Company or its Subsidiaries; and the Company and its Subsidiaries have operated and currently are in compliance in all material respects with all applicable rules, regulations and policies of the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        </w:t>
      </w:r>
      <w:r>
        <w:rPr>
          <w:rFonts w:ascii="Times New Roman;Times;Serif" w:hAnsi="Times New Roman;Times;Serif"/>
          <w:b w:val="false"/>
          <w:i w:val="false"/>
          <w:caps w:val="false"/>
          <w:smallCaps w:val="false"/>
          <w:sz w:val="20"/>
        </w:rPr>
        <w:t>Except as would not, individually or in the aggregate, have or may reasonably be expected to result in a Material Adverse Change: (i) neither the Company nor its Subsidiaries has received any written notice of adverse finding, warning letter, untitled letter, FDA Form-483 or other correspondence or notice from any Regulatory Agency or other relevant regulatory authorities, or any other court or arbitrator or U.S. federal, state, local or foreign governmental or regulatory authority, alleging or asserting noncompliance with any applicable Health Care Laws or Regulatory Authorizations (in each case, as defined below); (ii) the Company and its Subsidiaries, and to the Company’s knowledge, their respective directors, officers, employees or agents, are and have been since January 1, 2016 in compliance with: (A) applicable health care laws, including without limitation, the Federal Food, Drug and Cosmetic Act (21 U.S.C. § 301 et seq.), the federal Anti-Kickback Statute (42 U.S.C. § 1320a-7b(b)), the Civil Monetary Penalties Law (42 U.S.C. § 1320a-7a), the U.S. Civil False Claims Act (31 U.S.C. § 3729 et seq.), 18 U.S.C. §§ 286, 287, 1035, 1347, 1349 and the health care fraud criminal provisions under HIPAA (42 U.S.C. § 1320d et seq.), the exclusion laws (42 U.S.C. § 1320a-7), Medicare (Title XVIII of the Social Security Act), Medicaid (Title XIX of the Social Security Act), HIPAA, as amended by the Health Information Technology for Economic and Clinical Health Act (42 U.S.C. § 17921 et seq.), each as amended, and the regulations promulgated thereunder; and all other comparable local, state, federal, national, supranational and foreign laws, and the regulations promulgated thereunder, (collectively,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and (B) any licenses, certificates, approvals, clearances, exemptions, registrations, authorizations, permits, and supplements or amendments thereto, required pursuant to any such applicable Health Care Laws (“</w:t>
      </w:r>
      <w:r>
        <w:rPr>
          <w:rFonts w:ascii="Times New Roman;Times;Serif" w:hAnsi="Times New Roman;Times;Serif"/>
          <w:b/>
          <w:i w:val="false"/>
          <w:caps w:val="false"/>
          <w:smallCaps w:val="false"/>
          <w:sz w:val="20"/>
        </w:rPr>
        <w:t>Regulatory Authorizations</w:t>
      </w:r>
      <w:r>
        <w:rPr>
          <w:rFonts w:ascii="Times New Roman;Times;Serif" w:hAnsi="Times New Roman;Times;Serif"/>
          <w:b w:val="false"/>
          <w:i w:val="false"/>
          <w:caps w:val="false"/>
          <w:smallCaps w:val="false"/>
          <w:sz w:val="20"/>
        </w:rPr>
        <w:t>”); (iii) the Company and its Subsidiaries possess such valid and current Regulatory Authorizations as required to conduct their respective businesses as currently conducted, and are not in violation of any term of any such Regulatory Authorizations; (iv) neither the Company nor any Subsidiary has received written notice that any Regulatory Agency or Governmental Authority has taken, is taking or intends to take action to limit, suspend, modify or revoke any Regulatory Authorizations, and to the Company’s knowledge, no Regulatory Agency or Governmental Authority is threatening such action; (v) to the Company’s knowledge, no event has occurred which allows, or after notice or lapse of time would reasonably be expected to allow, revocation, termination or other impairment of the rights of the holder of any Regulatory Authorization; (vi) the Company and its Subsidiaries have filed, obtained, maintained or submitted all reports, documents, forms, notices, applications, records, claims, submissions and supplements or amendments as required by any applicable Health Care Laws or Regulatory Authorizations and all such reports, documents, forms, notices, applications, records, claims, submissions and supplements or amendments were complete and correct on the date filed (or were corrected or supplemented by a subsequent submission); (vii) neither the Company nor its Subsidiaries has received written notice of any ongoing or pending claim, action, suit, proceeding, hearing, enforcement, investigation, arbitration or other action from any U.S. or non-U.S. federal, national, state, provincial, local, municipal, international government or other governmental, administrative or regulatory authority, governmental, administrative or regulatory agency or body, department, board, bureau, agency or instrumentality, court, tribunal, arbitrator or arbitral body (public or private) or self-regulatory organization (each, a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or third party alleging that any product, operation or activity is in violation of any Health Care Laws or has any knowledge that any such Governmental Authority or third party is considering any such claim, litigation, arbitration, action, suit, investigation or proceeding; (viii) neither the Company nor its Subsidiaries or any of their respective directors, officers, employees or, to the Company’s knowledge, agents, is or has been debarred, suspended or excluded, or has been convicted of any crime or engaged in any conduct that would result in a debarment, suspension or exclusion from any U.S. federal or state government health care program; and (ix) the Company and its Subsidiaries are not a party to nor have any ongoing reporting obligations pursuant to any corporate integrity agreement, deferred prosecution agreement, monitoring agreement, consent decree, settlement order, plan of correction or similar agreement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(zz)        </w:t>
      </w:r>
      <w:r>
        <w:rPr>
          <w:rFonts w:ascii="Times New Roman;Times;Serif" w:hAnsi="Times New Roman;Times;Serif"/>
          <w:b w:val="false"/>
          <w:i w:val="false"/>
          <w:caps w:val="false"/>
          <w:smallCaps w:val="false"/>
          <w:sz w:val="20"/>
        </w:rPr>
        <w:t>The Company has established and administers an internal compliance program to assist the Company and the directors, officers and employees of the Company in complying with applicable Health Care Laws and applicable regulatory guidelines (including, without limitation, those administered by the FDA and any other foreign, federal, state or local governmental or regulatory authority performing functions similar to those performed by the FDA), except where such noncompliance would not reasonably be expected to result in a Material Adverse Change, and such compliance program has been designed and implemented in a manner generally consistent with pharmaceutical industry standards, including but not limited to the seven elements of an effective compliance program set forth in the Compliance Program Guidance for Pharmaceutical Manufacturers issued by the Office of Inspector General on May 5, 2003 (68 Fed. Reg. 23,731).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(aaa)        </w:t>
      </w:r>
      <w:r>
        <w:rPr>
          <w:rFonts w:ascii="Times New Roman;Times;Serif" w:hAnsi="Times New Roman;Times;Serif"/>
          <w:b w:val="false"/>
          <w:i w:val="false"/>
          <w:caps w:val="false"/>
          <w:smallCaps w:val="false"/>
          <w:sz w:val="20"/>
        </w:rPr>
        <w:t>(i) Except as disclosed in the Registration Statement, the Time of Sale Prospectus and the Prospectus, there have been no recalls, field notifications, field corrections, market withdrawals or replacements, warnings, “dear doctor” letters, investigator notices, safety alerts or other notice or action relating to an alleged lack of safety, efficacy, or regulatory compliance of the Company’s products (“</w:t>
      </w:r>
      <w:r>
        <w:rPr>
          <w:rFonts w:ascii="Times New Roman;Times;Serif" w:hAnsi="Times New Roman;Times;Serif"/>
          <w:b/>
          <w:i w:val="false"/>
          <w:caps w:val="false"/>
          <w:smallCaps w:val="false"/>
          <w:sz w:val="20"/>
        </w:rPr>
        <w:t>Safety Notices</w:t>
      </w:r>
      <w:r>
        <w:rPr>
          <w:rFonts w:ascii="Times New Roman;Times;Serif" w:hAnsi="Times New Roman;Times;Serif"/>
          <w:b w:val="false"/>
          <w:i w:val="false"/>
          <w:caps w:val="false"/>
          <w:smallCaps w:val="false"/>
          <w:sz w:val="20"/>
        </w:rPr>
        <w:t>”) and (ii) to the Company’s knowledge, there are no facts that would be reasonably likely to result in (x) a Safety Notice with respect to the Company’s products, (y) a material change in labeling of any of the Company’s respective products or services, or (z) a termination or suspension of manufacturing, marketing or distribution of any of the Company’s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(bbb)        </w:t>
      </w:r>
      <w:r>
        <w:rPr>
          <w:rFonts w:ascii="Times New Roman;Times;Serif" w:hAnsi="Times New Roman;Times;Serif"/>
          <w:b w:val="false"/>
          <w:i w:val="false"/>
          <w:caps w:val="false"/>
          <w:smallCaps w:val="false"/>
          <w:sz w:val="20"/>
        </w:rPr>
        <w:t>The manufacture of the Company’s products and product candidates by or, to the Company’s knowledge, on behalf of the Company is being conducted in compliance in all material respects with all applicable Health Care Laws, including, to the extent applicable and without limitation, the FDA’s current good manufacturing practice regulations codified at 21 C.F.R. Parts 210 and 211, except as would not reasonably be expected, individually or in the aggregate, to result in a Material Adverse Change. To the Company’s knowledge, except as would not reasonably be expected, individually or in the aggregate, to result in a Material Adverse Change, (i) the manufacturing facilities and operations of its suppliers are in compliance in all material respects with all applicable statutes, rules, and regulations of the FDA and comparable regulatory agencies outside of the United States to which the Company or its contractors and products are subject; and (ii) none of the contractors involved in producing the Company’s products have received any written notice of adverse finding, warning letter, or other written correspondence or notice from the FDA or any other federal, state, local or foreign governmental or regulatory authority alleging or asserting material noncompliance with any Health Care Laws or Regulatory Authorization involving operations or activities related to Company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(ccc)        </w:t>
      </w:r>
      <w:r>
        <w:rPr>
          <w:rFonts w:ascii="Times New Roman;Times;Serif" w:hAnsi="Times New Roman;Times;Serif"/>
          <w:b w:val="false"/>
          <w:i w:val="false"/>
          <w:caps w:val="false"/>
          <w:smallCaps w:val="false"/>
          <w:sz w:val="20"/>
        </w:rPr>
        <w:t>Except pursuant to this Agreement, there is no broker, finder or other party that is entitled to receive from the Company any brokerage or finder’s fee or other fee or commission as a result of any transactions contemplated by this Agreement and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(ddd)        </w:t>
      </w:r>
      <w:r>
        <w:rPr>
          <w:rFonts w:ascii="Times New Roman;Times;Serif" w:hAnsi="Times New Roman;Times;Serif"/>
          <w:b w:val="false"/>
          <w:i w:val="false"/>
          <w:caps w:val="false"/>
          <w:smallCaps w:val="false"/>
          <w:sz w:val="20"/>
        </w:rPr>
        <w:t>Any certificate signed by any officer of the Company and delivered to the Representatives or counsel for the Underwriters in connection with the offering of the Offered Securities shall be deemed a representation and warranty by the Company, as to matters covered thereby, to each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Purchase, Sale and Delivery of the 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The Shares and Pre-Funded Warrants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herein set forth, the Company agrees to issue and sell to the several Underwriters an aggregate of 30,937,500 Shares and Pre-Funded Warrants to purchase up to 312,503 shares of Common Stock. On the basis of the representations, warranties and agreements herein contained, and upon the terms but subject to the conditions herein set forth, the Underwriters agree, severally and not jointly, to purchase from the Company the respective number of Shares and Pre-Funded Warrants set forth opposite their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purchase price per Share to be paid by the several Underwriters to the Company shall be $7.52 per share (the “</w:t>
      </w:r>
      <w:r>
        <w:rPr>
          <w:rFonts w:ascii="Times New Roman;Times;Serif" w:hAnsi="Times New Roman;Times;Serif"/>
          <w:b/>
          <w:i w:val="false"/>
          <w:caps w:val="false"/>
          <w:smallCaps w:val="false"/>
          <w:sz w:val="20"/>
        </w:rPr>
        <w:t>Share Purchase Price</w:t>
      </w:r>
      <w:r>
        <w:rPr>
          <w:rFonts w:ascii="Times New Roman;Times;Serif" w:hAnsi="Times New Roman;Times;Serif"/>
          <w:b w:val="false"/>
          <w:i w:val="false"/>
          <w:caps w:val="false"/>
          <w:smallCaps w:val="false"/>
          <w:sz w:val="20"/>
        </w:rPr>
        <w:t>”). The purchase price per Pre-Funded Warrant to be paid by the several Underwriters to the Company shall be $7.5199 per Pre-Funded Warrant (the “</w:t>
      </w:r>
      <w:r>
        <w:rPr>
          <w:rFonts w:ascii="Times New Roman;Times;Serif" w:hAnsi="Times New Roman;Times;Serif"/>
          <w:b/>
          <w:i w:val="false"/>
          <w:caps w:val="false"/>
          <w:smallCaps w:val="false"/>
          <w:sz w:val="20"/>
        </w:rPr>
        <w:t>Pre-Funded Warrant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The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Delivery of the Shares and the Pre-Funded Warrants to be purchased by the Underwriters and payment therefor shall be made at the offices of Mintz, Levin, Cohn, Ferris, Glovsky and Popeo, P.C., One Financial Center, Boston, MA 02111 (or such other place as may be agreed to by the Company and the Representatives) at 9:00 a.m. New York City time, on October 15, 2026, or such other time and date not later than 1:30 p.m. New York City time on October 15, 2026 as the Representatives shall designate by notice to the Company (the time and date of such closing are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Offering of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Representatives hereby advise the Company that the Underwriters intend to offer for sale to investors, initially on the terms set forth in the Registration Statement, the Time of Sale Prospectus and the Prospectus, their respective portions of the Offered Securities as soon after this Agreement has been executed as the Representatives, in their sole judgment, have determined is advisable and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Payment for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Payment for the Offered Securities shall be made at the Closing Date by wire transfer of immediately available funds to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is understood that the Representatives have been authorized, for their own account and the accounts of the several Underwriters, to accept delivery of and receipt for, and make payment of the purchase price for, the Offered Shares the Underwriters have agreed to purchase. Each of Jefferies and Guggenheim Securities, individually and not as the Representatives of the Underwriters, may (but shall not be obligated to) make payment for any Offered Shares and the Pre-Funded Warrants to be purchased by any Underwriter whose funds shall not have been received by the Representatives by the Closing Date for the account of such Underwriter, but any such payment shall not relieve such Underwriter from any of its obligations under this Agreement or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Delivery of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to the Representatives for the accounts of the several Underwriters, the Shares at the Closing Date, against release of a wire transfer of immediately available funds for the amount of the purchase price therefor. The Pre-Funded Warrants shall be delivered to the Representatives in definitive form. The Pre-Funded Warrants will be made available for inspection by the Representatives on the business day prior to the Closing Date. If the Representatives so elect, delivery of the Offered Securities may be made by credit to the accounts designated by the Representatives through The Depository Trust Company’s full fast transfer or DWAC programs. If the Representatives so elect, the Offered Shares and the Pre-Funded Warrants shall be registered in such names and denominations as the Representatives shall have requested at least two full business days prior to the Closing Date and shall be made available for inspection on the business day preceding the Closing Date at a location in New York City as the Representatives may designate. Time shall be of the essence, and delivery at the time and place specified in this Agreement is a further condition to the obligations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and the Representatives shall instruct purchasers of the Pre-Funded Warrants to make payment for the Pre-Funded Warrants on the Closing Date to the Company by wire transfer in immediately available funds to the account specified by the Company at a purchase price of $7.9999 per Pre-Funded Warrant, in lieu of payment by the Underwriters for such Pre-Funded Warrants, and the Company shall deliver such Pre-Funded Warrants to such purchasers on the Closing Date in definitive form against such payment, in lieu of the Company’s obligation to deliver such Pre-Funded Warrants to the Underwriters; provided that, the Underwriters shall withhold $0.48 per Pre-Funded Warrant with respect to such Pre-Funded Warrants as an offset effected by the Company of its claim for payment by the Underwriters to the Company for the Shares against the Company’s obligation to pay the amount so withheld with respect to such Pre-Funded Warrants to the Underwriters. In the event that any purchaser of the Pre-Funded Warrants fails to make payment to the Company for all or part of the Pre-Funded Warrants on the Closing Date, the Representatives shall either (i) make payment to the Company for such Pre-Funded Warrants at the Pre-Funded Warrant Purchase Price or (ii) elect, by written notice to the Company, to receive Shares at the Share Purchase Price in lieu of all or a portion of such Pre-Funded Warrants contemplated to be sold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Additional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Covenants of the Company</w:t>
      </w:r>
      <w:r>
        <w:rPr>
          <w:rFonts w:ascii="Times New Roman;Times;Serif" w:hAnsi="Times New Roman;Times;Serif"/>
          <w:b w:val="false"/>
          <w:i w:val="false"/>
          <w:caps w:val="false"/>
          <w:smallCaps w:val="false"/>
          <w:sz w:val="20"/>
        </w:rPr>
        <w:t>. The Company further covenants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Delivery of Registration Statement, Time of Sale Prospectus and Prospectus.</w:t>
      </w:r>
      <w:r>
        <w:rPr>
          <w:rFonts w:ascii="Times New Roman;Times;Serif" w:hAnsi="Times New Roman;Times;Serif"/>
          <w:b w:val="false"/>
          <w:i w:val="false"/>
          <w:caps w:val="false"/>
          <w:smallCaps w:val="false"/>
          <w:sz w:val="20"/>
        </w:rPr>
        <w:t xml:space="preserve"> The Company shall furnish to each Underwriter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the Underwriters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Representatives’ Review of Proposed Amendments and Supplements.</w:t>
      </w:r>
      <w:r>
        <w:rPr>
          <w:rFonts w:ascii="Times New Roman;Times;Serif" w:hAnsi="Times New Roman;Times;Serif"/>
          <w:b w:val="false"/>
          <w:i w:val="false"/>
          <w:caps w:val="false"/>
          <w:smallCaps w:val="false"/>
          <w:sz w:val="20"/>
        </w:rPr>
        <w:t xml:space="preserve"> 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shall not be unreasonably withheld, conditioned or delayed. Prior to amending or supplementing the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conditioned or delayed. The Company shall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Amendments and Supplements to Time of Sale Prospectus.</w:t>
      </w:r>
      <w:r>
        <w:rPr>
          <w:rFonts w:ascii="Times New Roman;Times;Serif" w:hAnsi="Times New Roman;Times;Serif"/>
          <w:b w:val="false"/>
          <w:i w:val="false"/>
          <w:caps w:val="false"/>
          <w:smallCaps w:val="false"/>
          <w:sz w:val="20"/>
        </w:rPr>
        <w:t xml:space="preserve"> 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date of this Agreement, the Company shall promptly advise the Representatives in writing (which may be by electronic mail) of: (i) the receipt of any comments of, or requests for additional or supplemental information from, the Commission relating to the Registration Statement; (ii) the time and date of any filing of any post-effective amendment to the Registration Statement or any amendment or supplement to the Base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the preliminary prospectus, the Time of Sale Prospectus or the Prospectus or of any order preventing or suspending the use of the preliminary prospectus, the Time of Sale Prospectus, any free writing prospectus or the Prospectus, or, if the Company gains knowledge of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reasonable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cooperate with the Representatives and counsel for the Underwriters to qualify or register the Offered Securities for sale under (or obtain exemptions from the application of) the state securities or blue sky laws of those jurisdictions as may be reasonably designated by the Representatives, shall use reasonable best efforts to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if the Company gains knowledge of such proceeding, any initiation or threat of any proceeding for any such purpose, and in the event of the issuance of any order suspending such qualification, registration or exemption, the Company shall use its reasonable best efforts to obtain the withdrawal thereof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Use of Proceeds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apply the net proceeds from the sale of the Offered Securities (including any cash exercise of the Pre-Funded Warrants) sold by it in all material respects in the manner described under the caption “Use of Proceeds”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Transfer Agent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engage and maintain, at its expense, a registrar and transfer agent for the Shares (including the Offered Shares and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the requirements of this Section 3(k) shall be satisfied to the extent that such information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comply with the Securities Act and the Exchange Act so as to permit the completion of the distribution of the Offered Securities as contemplated by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use its best efforts to list, subject to notice of issuance, the Offered Shares and the Warrant Shares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Securities.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i/>
          <w:caps w:val="false"/>
          <w:smallCaps w:val="false"/>
          <w:sz w:val="20"/>
        </w:rPr>
        <w:t>Agreement Not to Offer or Sell Additional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period commencing on and including the date hereof and continuing through and including the 60th day following the date of the Prospectus (such period, as extended as described below, being referred to herein as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the Company will not, without the prior written consent of the Representatives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Securities); (viii) effect a reverse stock split, recapitalization, share consolidation, reclassification or similar transaction affecting the outstanding Shares; or (ix) publicly announce the intention to do any of the foregoing;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may (A) effect the transactions contemplated hereby; (B) issue or grant Shares or options to purchase Shares or other awards or Related Securities, or issue Shares upon exercise of options, vesting of restricted stock, or other awards or Related Securities pursuant to any stock option, stock bonus or other stock plan or arrangement described in the Registration Statement, the Time of Sale Prospectus and the Prospectus, provided that the Company shall cause each newly appointed director or executive officer that is a recipient of any such Shares or options or other awards to enter into a Lock-up Agreement with the Representatives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for the remainder of the Lock-up Period; (C) issue Shares pursuant to the conversion of securities or the exercise of pre-funded warrants or warrants, which securities, pre-funded warrants or warrants are outstanding on the date hereof and described in the Registration Statement, the Time of Sale Prospectus and the Prospectus; (D) facilitate the transfer of Shares under a trading plan pursuant to Rule 10b5-1 under the Exchange Act (a “</w:t>
      </w:r>
      <w:r>
        <w:rPr>
          <w:rFonts w:ascii="Times New Roman;Times;Serif" w:hAnsi="Times New Roman;Times;Serif"/>
          <w:b/>
          <w:i w:val="false"/>
          <w:caps w:val="false"/>
          <w:smallCaps w:val="false"/>
          <w:sz w:val="20"/>
        </w:rPr>
        <w:t>Trading Plan</w:t>
      </w:r>
      <w:r>
        <w:rPr>
          <w:rFonts w:ascii="Times New Roman;Times;Serif" w:hAnsi="Times New Roman;Times;Serif"/>
          <w:b w:val="false"/>
          <w:i w:val="false"/>
          <w:caps w:val="false"/>
          <w:smallCaps w:val="false"/>
          <w:sz w:val="20"/>
        </w:rPr>
        <w:t xml:space="preserve">”) that is existing on the date hereof which has been provided to the Representatives or their legal counsel; (E) issue Shares to one or more counterparties in connection with the consummation of a strategic partnership, joint venture, collaboration, merger, co-promotion or distribution arrangement, or the acquisition, in-licensing or out-licensing of any business products or technologies; provided, that (x) the aggregate number of shares issued pursuant to this clause (E) shall not exceed 5.0% of the total number of outstanding shares of Common Stock immediately following the issuance and sale of the Offered Securities pursuant hereto and (y) prior to such issuance, each recipient of such Shares under this clause (E) shall execute and deliver to the Representatives a Lock-up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 file a new registration statement on Form S-3 and/or prospectus or prospectus supplement for an “at-the-market” offering; provided that none of the Company’s securities are issued or sold pursuant to such registration statement and/or prospectus or prospectus supplement during the Lock-up Period; and (G) facilitate the establishment of a trading plan on behalf of a shareholder, officer or director of the Company pursuant to Rule 10b5-1 under the Exchange Act for the transfer of Shares, provided that (x) such plan does not provide for the transfer of Shares during the Lock-up Period, (y) to the extent a public announcement or filing under the Exchange Act, if any, is required of the Company regarding the establishment of such plan, such announcement or filing shall include a statement to the effect that no transfer of Shares may be made under such plan during the Lock-up Period, and (z) the Company does not otherwise voluntarily effect any public filing or report regarding the establishment of such plan during the Lock-up Period. For purposes of the foregoing, “</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i/>
          <w:caps w:val="false"/>
          <w:smallCaps w:val="false"/>
          <w:sz w:val="20"/>
        </w:rPr>
        <w:t>Future Reports to the Representatives.</w:t>
      </w:r>
      <w:r>
        <w:rPr>
          <w:rFonts w:ascii="Times New Roman;Times;Serif" w:hAnsi="Times New Roman;Times;Serif"/>
          <w:b w:val="false"/>
          <w:i w:val="false"/>
          <w:caps w:val="false"/>
          <w:smallCaps w:val="false"/>
          <w:sz w:val="20"/>
        </w:rPr>
        <w:t xml:space="preserve"> During the period of five years hereafter, the Company will furnish to the Representatives, c/o Jefferies, at 520 Madison Avenue, New York, New York 10022, Attention: Global Head of Syndicate, and c/o Guggenheim Securities, at 330 Madison Avenue, New York, New York 10017, Attention: Head of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requirements of this Section 3(p) shall be satisfied to the extent that such reports, statement, communications, financial statements or other documents are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i/>
          <w:caps w:val="false"/>
          <w:smallCaps w:val="false"/>
          <w:sz w:val="20"/>
        </w:rPr>
        <w:t>Investment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invest or otherwise use the proceeds received by the Company from its sale of the Offered Securities in such a manner as would require the Company or any of its Subsidiaries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will not take, and will ensure that no affiliate of the Company will take, directly or indirectly, without giving effect to activities by the Underwriters, any action designed to or that would reasonably be expected to cause or result in stabilization or manipulation of the price of the Shares or any reference security with respect to the Shares, whether to facilitate the sale or resale of the Offered Securities or otherwise, and the Company will, and will use its reasonable best efforts to cause each of its affiliates to, comply with all applicable provisions of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i/>
          <w:caps w:val="false"/>
          <w:smallCaps w:val="false"/>
          <w:sz w:val="20"/>
        </w:rPr>
        <w:t>Enforce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executive officers and directors pursuant to Section 6(i)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i/>
          <w:caps w:val="false"/>
          <w:smallCaps w:val="false"/>
          <w:sz w:val="20"/>
        </w:rPr>
        <w:t>Company to Provide Interim 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the requirements of this Section 3(t) shall be satisfied to the extent that such financial statements are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i/>
          <w:caps w:val="false"/>
          <w:smallCaps w:val="false"/>
          <w:sz w:val="20"/>
        </w:rPr>
        <w:t>Announcement Regarding Lock-ups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announce the Representatives’ intention to release any director or “officer” (within the meaning of Rule 16a-1(f) under the Exchange Act) of the Company from any of the restrictions imposed by any Lock-Up Agreement, by issuing, through a major news service, a press release in form and substance satisfactory to the Representatives or, if consented to by the Representatives, in a registration statement that is publicly filed in connection with a secondary offering of the Company’s shares 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the Representatives, on behalf of the Underwriters, from announcing the same through a major news service, irrespective of whether the Company has made the required announcement;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Representatives, on behalf of the several Underwriters, may, in their sole discretion, waive in writing the performance by the Company of any one or more of the foregoing covenants or extend the time for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Payment of 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Shares, if any, the warrant agent for the Pre-Funded Warrants,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reasonable and documented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reasonable and documented legal fees of, and disbursements by, counsel to the Underwriters, provided that the fees and expenses under the subsection (vi) above and this subsection (vii) shall not exceed $25,000 in the aggregate,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(ix) the fees and expenses associated with listing the Offered Securities on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 stock transfer taxes payable on resale of any of the Offered Securities by them and any advertising expenses connected with any offers they may make and lodging expenses incurred by them in connection with any road show,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Conditions of the Obligations of the Underwriters.</w:t>
      </w:r>
      <w:r>
        <w:rPr>
          <w:rFonts w:ascii="Times New Roman;Times;Serif" w:hAnsi="Times New Roman;Times;Serif"/>
          <w:b w:val="false"/>
          <w:i w:val="false"/>
          <w:caps w:val="false"/>
          <w:smallCaps w:val="false"/>
          <w:sz w:val="20"/>
        </w:rPr>
        <w:t xml:space="preserve"> The respective obligations of the several Underwriters hereunder to purchase and pay for the Offered Securities as provided herein on the Closing Date shall be subject to the accuracy of the representations and warranties on the part of the Company set forth in Section 1 hereof as of the date hereof and as of the Closing Date as though then made and to the timely performance by the Company of its covenants and other obligations hereunder, and to each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hereof, the Representatives shall have received from Ernst &amp; Young LLP, independent registered public accountants for the Company, a letter dated the date hereof addressed to the Underwriters,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 xml:space="preserve">Compliance with Registration Requirements; No Stop Order; No Objection from FINRA. </w:t>
      </w:r>
      <w:r>
        <w:rPr>
          <w:rFonts w:ascii="Times New Roman;Times;Serif" w:hAnsi="Times New Roman;Times;Serif"/>
          <w:b w:val="false"/>
          <w:i w:val="false"/>
          <w:caps w:val="false"/>
          <w:smallCaps w:val="false"/>
          <w:sz w:val="20"/>
        </w:rPr>
        <w:t>For the period from and after the date of this Agreement and through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filing has been made with FINRA,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No Material Adverse Change or Ratings Agency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judgment of the Representatives there shall not have occurred any Material Adverse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Opinion of Counsel for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Closing Date the Representatives shall have received the opinion and negative assurance letter of Ropes &amp; Gray LLP, counsel for the Company, dated as of such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Opinion of Intellectual Property Counsel for the Company.</w:t>
      </w:r>
      <w:r>
        <w:rPr>
          <w:rFonts w:ascii="Times New Roman;Times;Serif" w:hAnsi="Times New Roman;Times;Serif"/>
          <w:b w:val="false"/>
          <w:i w:val="false"/>
          <w:caps w:val="false"/>
          <w:smallCaps w:val="false"/>
          <w:sz w:val="20"/>
        </w:rPr>
        <w:t xml:space="preserve"> On the Closing Date the Representatives shall have received the opinion of Goodwin Procter LLP, counsel for the Company with respect to intellectual property matters, dated as of such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Closing Date the Representatives shall have received the opinion and negative assurance letter of Mintz, Levin, Cohn, Ferris, Glovsky and Popeo, P.C., counsel for the Underwriters in connection with the offer and sale of the Offered Securities, in form and substance satisfactory to the Underwriters, dated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Closing Date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period from and including the date of this Agreement through and including such date, there has not occurred any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warranties and covenants of the Company set forth in Section 1 of this Agreement are true and correct with the same force and effect as though expressly made on and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complied with all the agreements hereunder and satisfied all the conditions on its part to be performed or satisfied hereunder at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Closing Date the Representatives shall have received from Ernst &amp; Young LLP, independent registered public accountants for the Company, a letter dated such date, in form and substance reasonably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Closing Date; and (ii) cover certain financial information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each such agreement shall be in full force and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At least one (1) full business day prior to the Closing Date, the Representatives shall have received electronic copies of the Pre-Funded Warrants, substantially in the form of Exhibit C,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Rule 462(b) Registration Statement</w:t>
      </w:r>
      <w:r>
        <w:rPr>
          <w:rFonts w:ascii="Times New Roman;Times;Serif" w:hAnsi="Times New Roman;Times;Serif"/>
          <w:b w:val="false"/>
          <w:i w:val="false"/>
          <w:caps w:val="false"/>
          <w:smallCaps w:val="false"/>
          <w:sz w:val="20"/>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CFO Certificate</w:t>
      </w:r>
      <w:r>
        <w:rPr>
          <w:rFonts w:ascii="Times New Roman;Times;Serif" w:hAnsi="Times New Roman;Times;Serif"/>
          <w:b w:val="false"/>
          <w:i w:val="false"/>
          <w:caps w:val="false"/>
          <w:smallCaps w:val="false"/>
          <w:sz w:val="20"/>
        </w:rPr>
        <w:t>. On the date of this Agreement and on the Closing Date,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the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Reimbursement of Underwriters’ Expenses</w:t>
      </w:r>
      <w:r>
        <w:rPr>
          <w:rFonts w:ascii="Times New Roman;Times;Serif" w:hAnsi="Times New Roman;Times;Serif"/>
          <w:b w:val="false"/>
          <w:i w:val="false"/>
          <w:caps w:val="false"/>
          <w:smallCaps w:val="false"/>
          <w:sz w:val="20"/>
        </w:rPr>
        <w:t>. If this Agreement is terminated by the Representatives pursuant to Section 6, Section 11 or Section 12, or if the sale to the Underwriters of the Offered Securities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Indemnification of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(as defined below) or the Prospectus (or any amendment or supplement to the foregoing), or the omission or alleged omission to state therein a material fact necessary in order to make the statements therein,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Indemnification of the Company and its Directors and Officers</w:t>
      </w:r>
      <w:r>
        <w:rPr>
          <w:rFonts w:ascii="Times New Roman;Times;Serif" w:hAnsi="Times New Roman;Times;Serif"/>
          <w:b w:val="false"/>
          <w:i w:val="false"/>
          <w:caps w:val="false"/>
          <w:smallCaps w:val="false"/>
          <w:sz w:val="20"/>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first and second sentences of the third paragraph, the first sentence of the fourth paragraph, the first three sentences under the first paragraph under the section entitled “Commission and Expenses,” the first and third sentences under the first paragraph of the section entitled “Stabilization,” the first, second and fourth sentences of the second paragraph of the section entitled “Stabilization,” the third paragraph under the section entitled “Stabilization,” the first, second and fifth sentences of the fourth paragraph under the section entitled “Stabilization,” and the sixth paragraph under the section entitled “Stabilization,” each under the caption “Underwriting” in the Preliminary Prospectus Supplement and the Final Prospectus Supplement. The indemnity agreement set forth in this Section 9(b) shall be in addition to any liabilities that each Underwriter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Notifications and Other Indemnification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defendants in any such action include both the indemnified party and the indemnifying party and the indemnified party shall have reasonably concluded based upon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Settlements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Contribution</w:t>
      </w:r>
      <w:r>
        <w:rPr>
          <w:rFonts w:ascii="Times New Roman;Times;Serif" w:hAnsi="Times New Roman;Times;Serif"/>
          <w:b w:val="false"/>
          <w:i w:val="false"/>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initial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investors.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Default of One or More of the Several Underwriters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on the Closing Date any one or 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Shares and Pre-Funded Warrants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bears to the aggregate number of Shares and Pre-Funded Warrants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(other than the breaching Underwriter or Underwriters) to any other party except that the provisions of Section 4, Section 7, Section 9 and Section 10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Prior to the purchase of the Shares by the Underwriters on the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any federal, New York, or Massachusetts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provisions of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No Advisory or Fiduciary Relationship. </w:t>
      </w:r>
      <w:r>
        <w:rPr>
          <w:rFonts w:ascii="Times New Roman;Times;Serif" w:hAnsi="Times New Roman;Times;Serif"/>
          <w:b w:val="false"/>
          <w:i w:val="false"/>
          <w:caps w:val="false"/>
          <w:smallCaps w:val="false"/>
          <w:sz w:val="20"/>
        </w:rPr>
        <w:t>The Company acknowledges and agrees that (a) the purchase and sale of the Offered Securities pursuant to this Agreement, including the determination of the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Representations and Indemnities to Survive Delivery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045"/>
        <w:gridCol w:w="4685"/>
      </w:tblGrid>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Representatives:</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Jefferies LLC</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520 Madison Avenue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York, New York 10022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Facsimile: [***]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General Counsel</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Guggenheim Securities, LLC</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330 Madison Avenue</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10017</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General Counsel</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Mintz, Levin, Cohn, Ferris, Glovsky and Popeo, P.C.</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Financial Center</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Massachusetts 02111</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Attention: William C. Hicks, John T. Rudy &amp; Nishant M. </w:t>
              <w:br/>
              <w:t>Dharia</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Company:</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Verastem, Inc.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 Kendrick Street, Suite 500</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Needham, Massachusetts 02494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Dan Calkins</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Prudential Tower</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Boylston Street</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Massachusetts 02199</w:t>
            </w:r>
          </w:p>
        </w:tc>
      </w:tr>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Thomas Danielski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Successors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Securities as such from any of the Underwriters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the event that any Underwriter that is a Covered Entity or a BHC Act Affiliate (as defined below) of such Underwriter becomes subject to a proceeding under a U.S. Special Resolution Regime (as defined below),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Governing Law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Times;Serif" w:hAnsi="Times New Roman;Times;Serif"/>
          <w:b/>
          <w:i w:val="false"/>
          <w:caps w:val="false"/>
          <w:smallCaps w:val="false"/>
          <w:sz w:val="20"/>
        </w:rPr>
        <w:t>Related Proceedings</w:t>
      </w:r>
      <w:r>
        <w:rPr>
          <w:rFonts w:ascii="Times New Roman;Times;Serif" w:hAnsi="Times New Roman;Times;Serif"/>
          <w:b w:val="false"/>
          <w:i w:val="false"/>
          <w:caps w:val="false"/>
          <w:smallCaps w:val="false"/>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 “</w:t>
      </w:r>
      <w:r>
        <w:rPr>
          <w:rFonts w:ascii="Times New Roman;Times;Serif" w:hAnsi="Times New Roman;Times;Serif"/>
          <w:b/>
          <w:i w:val="false"/>
          <w:caps w:val="false"/>
          <w:smallCaps w:val="false"/>
          <w:sz w:val="20"/>
        </w:rPr>
        <w:t>Related Judgment</w:t>
      </w:r>
      <w:r>
        <w:rPr>
          <w:rFonts w:ascii="Times New Roman;Times;Serif" w:hAnsi="Times New Roman;Times;Serif"/>
          <w:b w:val="false"/>
          <w:i w:val="false"/>
          <w:caps w:val="false"/>
          <w:smallCaps w:val="false"/>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        General Provisions.</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65"/>
        <w:gridCol w:w="3590"/>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VERASTEM, INC.</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W. Paterson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W. Paterson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489"/>
        <w:gridCol w:w="2650"/>
        <w:gridCol w:w="75"/>
      </w:tblGrid>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Gautham Baliga</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Gautham Baliga</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Shiv Taylor, M.D.</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Shiv Taylor, M.D.</w:t>
            </w:r>
          </w:p>
        </w:tc>
        <w:tc>
          <w:tcPr>
            <w:tcW w:w="75" w:type="dxa"/>
            <w:tcBorders/>
            <w:vAlign w:val="center"/>
          </w:tcPr>
          <w:p>
            <w:pPr>
              <w:pStyle w:val="TableContents"/>
              <w:bidi w:val="0"/>
              <w:spacing w:before="0" w:after="283"/>
              <w:jc w:val="left"/>
              <w:rPr/>
            </w:pPr>
            <w:r>
              <w:rPr/>
              <w:t> </w:t>
            </w:r>
          </w:p>
        </w:tc>
      </w:tr>
      <w:tr>
        <w:trPr/>
        <w:tc>
          <w:tcPr>
            <w:tcW w:w="489"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tbl>
      <w:tblPr>
        <w:tblW w:w="5009" w:type="dxa"/>
        <w:jc w:val="left"/>
        <w:tblInd w:w="0" w:type="dxa"/>
        <w:tblLayout w:type="fixed"/>
        <w:tblCellMar>
          <w:top w:w="0" w:type="dxa"/>
          <w:left w:w="0" w:type="dxa"/>
          <w:bottom w:w="28" w:type="dxa"/>
          <w:right w:w="0" w:type="dxa"/>
        </w:tblCellMar>
      </w:tblPr>
      <w:tblGrid>
        <w:gridCol w:w="2390"/>
        <w:gridCol w:w="60"/>
        <w:gridCol w:w="60"/>
        <w:gridCol w:w="950"/>
        <w:gridCol w:w="60"/>
        <w:gridCol w:w="60"/>
        <w:gridCol w:w="107"/>
        <w:gridCol w:w="1247"/>
        <w:gridCol w:w="75"/>
      </w:tblGrid>
      <w:tr>
        <w:trPr/>
        <w:tc>
          <w:tcPr>
            <w:tcW w:w="2390" w:type="dxa"/>
            <w:tcBorders>
              <w:bottom w:val="single" w:sz="8" w:space="0" w:color="000000"/>
            </w:tcBorders>
            <w:vAlign w:val="center"/>
          </w:tcPr>
          <w:p>
            <w:pPr>
              <w:pStyle w:val="TableContents"/>
              <w:bidi w:val="0"/>
              <w:spacing w:before="0" w:after="283"/>
              <w:jc w:val="left"/>
              <w:rPr>
                <w:b/>
                <w:sz w:val="20"/>
              </w:rPr>
            </w:pPr>
            <w:r>
              <w:rPr>
                <w:b/>
                <w:sz w:val="20"/>
              </w:rPr>
              <w:t>Underwriters</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Number of </w:t>
              <w:br/>
              <w:t xml:space="preserve">Shares </w:t>
              <w:br/>
              <w:t xml:space="preserve">to be </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Number of </w:t>
              <w:br/>
              <w:t xml:space="preserve">Pre-Funded </w:t>
              <w:br/>
              <w:t xml:space="preserve">Warrants </w:t>
              <w:br/>
              <w:t>to be Purchased</w:t>
            </w:r>
          </w:p>
        </w:tc>
        <w:tc>
          <w:tcPr>
            <w:tcW w:w="75"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9,281,250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8,043,750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Riley Securities,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sz w:val="20"/>
              </w:rPr>
            </w:pPr>
            <w:r>
              <w:rPr>
                <w:sz w:val="20"/>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30,937,500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selling 30,937,500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offering price per share for the Shares shall be $8.00.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is selling Pre-Funded Warrants to purchase up to 312,503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offering price per Pre-Funded Warrant shall be $7.9999.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Europe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Securities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br/>
        <w:t>Guggenheim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Verastem,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&amp;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owner of shares of common stock, par value $0.0001 per share,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Related Securities. The Company proposes to conduct an underwritten offering of Shares and/or pre-funded warrants to purchase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for which Jefferies LLC and Guggenheim Securities, LLC will act as the representatives of the underwriters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and other underwriting arrangements with the Company with respect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sets forth definitions for capitalized terms used in this letter agreement that are not defined in the body of this agreement. Those definitions are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the Representatives, which may withhold their consent in their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 or Offer to Sell any Shares or Related Securities currently or hereafter owned either of record or beneficially (as defined in Rule 13d-3 under the Exchange Act) by the undersigned or such Family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594"/>
        <w:gridCol w:w="9431"/>
      </w:tblGrid>
      <w:tr>
        <w:trPr/>
        <w:tc>
          <w:tcPr>
            <w:tcW w:w="1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Symbol" w:hAnsi="Symbol"/>
              </w:rPr>
            </w:pPr>
            <w:r>
              <w:rPr>
                <w:rFonts w:ascii="Symbol" w:hAnsi="Symbol"/>
              </w:rPr>
              <w:t>·</w:t>
            </w:r>
          </w:p>
        </w:tc>
        <w:tc>
          <w:tcPr>
            <w:tcW w:w="94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 into any Swap,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(except for the filing of any resale registration statement which the Company may be contractually obligated to file pursuant to agreements in effect on the date hereof and incorporated by reference in the Registration Statement, as such term is defined in the Underwriting Agreement),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publicly announce any intention to do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restrictions will not apply to the registration of the offer and sale of the Shares, and the sale of the Shares to the underwriters, in each case as contemplated by the Underwriting Agreement. In addition, the foregoing restrictions shall not apply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a)</w:t>
            </w:r>
          </w:p>
        </w:tc>
        <w:tc>
          <w:tcPr>
            <w:tcW w:w="10027" w:type="dxa"/>
            <w:tcBorders/>
            <w:vAlign w:val="center"/>
          </w:tcPr>
          <w:p>
            <w:pPr>
              <w:pStyle w:val="TableContents"/>
              <w:bidi w:val="0"/>
              <w:spacing w:before="0" w:after="283"/>
              <w:jc w:val="both"/>
              <w:rPr/>
            </w:pPr>
            <w:r>
              <w:rPr/>
              <w:t>the transfer of Shares or Related Securities acquired in the Offering or in open market transactions after the completion of the Offering; provided that no filing under Section 16(a) of the Exchange Act shall be required or shall be voluntarily made in connection with subsequent sales of Shares or Related Securities acquired in such transactions (other than as otherwise permitted pursuant to the other provisions of this letter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b)</w:t>
            </w:r>
          </w:p>
        </w:tc>
        <w:tc>
          <w:tcPr>
            <w:tcW w:w="10021" w:type="dxa"/>
            <w:tcBorders/>
            <w:vAlign w:val="center"/>
          </w:tcPr>
          <w:p>
            <w:pPr>
              <w:pStyle w:val="TableContents"/>
              <w:bidi w:val="0"/>
              <w:spacing w:before="0" w:after="283"/>
              <w:jc w:val="both"/>
              <w:rPr/>
            </w:pPr>
            <w:r>
              <w:rPr/>
              <w:t>the transfer of Shares or Related Securities to the Company pursuant to a “net” or “cashless” exercise by the undersigned of outstanding equity awards pursuant to an employee benefit plan of the Company as in effect and disclosed in the final prospectus used for the Offering, including to satisfy the exercise price or withholding tax or remittance obligations; provided that (i) any Shares received upon such exercise shall be subject to all of the restrictions set forth in this letter agreement and (ii) no filing under Section 16(a) of the Exchange Act, reporting a reduction in beneficial ownership of Shares, shall be required or shall be voluntarily made during the Lock-up Period, unless such filing indicates in the footnotes thereto that the filing relates to the exercise of equity awards, that no shares were sold to the public by the reporting person and the Shares received upon exercise of such securities are subject to a lock-up agreement with the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4"/>
        <w:gridCol w:w="10034"/>
      </w:tblGrid>
      <w:tr>
        <w:trPr/>
        <w:tc>
          <w:tcPr>
            <w:tcW w:w="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c)</w:t>
            </w:r>
          </w:p>
        </w:tc>
        <w:tc>
          <w:tcPr>
            <w:tcW w:w="10034" w:type="dxa"/>
            <w:tcBorders/>
            <w:vAlign w:val="center"/>
          </w:tcPr>
          <w:p>
            <w:pPr>
              <w:pStyle w:val="TableContents"/>
              <w:bidi w:val="0"/>
              <w:spacing w:before="0" w:after="283"/>
              <w:jc w:val="both"/>
              <w:rPr/>
            </w:pPr>
            <w:r>
              <w:rPr/>
              <w:t>the exercise of Related Securities pursuant to an employee benefit plan disclosed in the final prospectus used for the Offering; provided that (i) any Shares received upon such exercise shall be subject to all of the restrictions set forth in this letter agreement and (ii) no filing under Section 16(a) of the Exchange Act, reporting a reduction in beneficial ownership of Shares, shall be required or shall be voluntarily made during the Lock-up Period, unless such filing shall indicate in the footnotes thereto that such filing relates to the exercise of options, stock appreciation rights or warrants to purchase Shares and the Shares received upon exercise of such securities are subject to a lock-up agreement with the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d)</w:t>
            </w:r>
          </w:p>
        </w:tc>
        <w:tc>
          <w:tcPr>
            <w:tcW w:w="10018" w:type="dxa"/>
            <w:tcBorders/>
            <w:vAlign w:val="center"/>
          </w:tcPr>
          <w:p>
            <w:pPr>
              <w:pStyle w:val="TableContents"/>
              <w:bidi w:val="0"/>
              <w:spacing w:before="0" w:after="283"/>
              <w:jc w:val="both"/>
              <w:rPr/>
            </w:pPr>
            <w:r>
              <w:rPr/>
              <w:t>transfers of Shares or Related Securities as a bona fide gift; provided that (i) no filing under Section 16(a) of the Exchange Act, reporting a reduction in beneficial ownership of Shares, shall be required or shall be voluntarily made during the Lock-up Period, unless such filing indicates in the footnotes thereto that such transfer was made in connection with a bona fide gift and the Shares or Related Securities, as applicable, received pursuant to the bona fide gift are subject to a lock-up agreement with the Representatives, and (ii) each donee, distributee or transferee shall sign and deliver a lock-up letter substantially in the form of this letter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e)</w:t>
            </w:r>
          </w:p>
        </w:tc>
        <w:tc>
          <w:tcPr>
            <w:tcW w:w="10039" w:type="dxa"/>
            <w:tcBorders/>
            <w:vAlign w:val="center"/>
          </w:tcPr>
          <w:p>
            <w:pPr>
              <w:pStyle w:val="TableContents"/>
              <w:bidi w:val="0"/>
              <w:spacing w:before="0" w:after="283"/>
              <w:jc w:val="both"/>
              <w:rPr/>
            </w:pPr>
            <w:r>
              <w:rPr/>
              <w:t>distributions of Shares or Related Securities to partners, limited partners, members, managers, affiliates (within the meaning set forth in Rule 405 under the Securities Act and including the subsidiaries of the undersigned), stockholders or holders of similar equity interests of the undersigned or to any investment fund or other entity that directly or indirectly controls or manages, is under common control with, or is controlled or managed by, the undersigned or affiliates of the undersigned (including, for the avoidance of doubt, where the undersigned is a partnership, to its general partner or a successor partnership or fund, or any other funds controlled or managed by such partnership) (including upon the liquidation or dissolution of the undersigned pursuant to a plan of liquidation approved by the undersigned’s equity holders) or in the case of a trust, to a grantor or beneficiary of the trust, and such transfer does not involve a disposition for value; provided that (i) each donee, distributee or transferee shall sign and deliver a lock-up letter substantially in the form of this letter agreement, and (ii) no filing under Section 16(a) of the Exchange Act, reporting a reduction in beneficial ownership of Shares, shall be required or shall be voluntarily made during the Lock-up Period, unless such filing indicates in the footnotes thereto that such transfer is a distribution to limited partners, members, stockholders or holders of similar equity interests, that no Shares or Related Securities, as applicable, were sold to the public by the reporting person and the Shares or Related Securities, as applicable, distributed are subject to a lock-up agreement with the Representatives;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0"/>
        <w:gridCol w:w="10068"/>
      </w:tblGrid>
      <w:tr>
        <w:trPr/>
        <w:tc>
          <w:tcPr>
            <w:tcW w:w="37"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pPr>
            <w:r>
              <w:rPr/>
              <w:t>f)</w:t>
            </w:r>
          </w:p>
        </w:tc>
        <w:tc>
          <w:tcPr>
            <w:tcW w:w="10068" w:type="dxa"/>
            <w:tcBorders/>
            <w:vAlign w:val="center"/>
          </w:tcPr>
          <w:p>
            <w:pPr>
              <w:pStyle w:val="TableContents"/>
              <w:bidi w:val="0"/>
              <w:spacing w:before="0" w:after="283"/>
              <w:jc w:val="both"/>
              <w:rPr/>
            </w:pPr>
            <w:r>
              <w:rPr/>
              <w:t>transfers of Shares, (i) to any Immediate Family Member, trusts for the direct or indirect benefit of the undersigned or the Immediate Family Members of the undersigned or any of their successors upon death, or any partnership or limited liability company, the partners or members of which consist of the undersigned and/or immediate family members or other dependents of the undersigned, and in each case such transfer does not involve a disposition for value, or (ii) to a nominee or custodian of a person or entity to whom disposition or transfer would be permitted under clause (f)(i) above; provided that in the case of any transfer pursuant to this clause (f), (i) each donee, distributee or transferee shall sign and deliver a lock-up letter substantially in the form of this letter agreement, and (ii) no filing by any party (donor, donee, transferor or transferee) under the Exchange Act (other than any required filing on a Form 5 made after the expiration of the Lock-up Period or, if a Form 5 filing is required to be made prior to the expiration of the Lock-up Period, such Form 5 filing is made on the latest date permitted under the Exchange Act) or other public announcement reporting a reduction in beneficial ownership of Shares shall be required or shall be made voluntarily in connection with such transfer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g)</w:t>
            </w:r>
          </w:p>
        </w:tc>
        <w:tc>
          <w:tcPr>
            <w:tcW w:w="10017" w:type="dxa"/>
            <w:tcBorders/>
            <w:vAlign w:val="center"/>
          </w:tcPr>
          <w:p>
            <w:pPr>
              <w:pStyle w:val="TableContents"/>
              <w:bidi w:val="0"/>
              <w:spacing w:before="0" w:after="283"/>
              <w:jc w:val="both"/>
              <w:rPr/>
            </w:pPr>
            <w:r>
              <w:rPr/>
              <w:t>transfers of Shares or Related Securities by will or intestacy or pursuant to a domestic order divorce settlement, divorce decree or separation agreement; provided that in the case of any transfer pursuant to (g), unless prohibited by an order of a court, (i) each donee or distributee shall sign and deliver a lock-up letter substantially in the form of this letter, and (ii) no filing under Section 16(a) of the Exchange Act, reporting a reduction in beneficial ownership of Shares, shall be required or shall be voluntarily made during the Lock-up Period, unless such filing indicates in the footnotes thereto the nature of the transfer or disposition;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h)</w:t>
            </w:r>
          </w:p>
        </w:tc>
        <w:tc>
          <w:tcPr>
            <w:tcW w:w="10019" w:type="dxa"/>
            <w:tcBorders/>
            <w:vAlign w:val="center"/>
          </w:tcPr>
          <w:p>
            <w:pPr>
              <w:pStyle w:val="TableContents"/>
              <w:bidi w:val="0"/>
              <w:spacing w:before="0" w:after="283"/>
              <w:jc w:val="both"/>
              <w:rPr/>
            </w:pPr>
            <w:r>
              <w:rPr/>
              <w:t>transfers or dispositions of Shares or Related Securities to the Company (i) pursuant to any contractual arrangement in effect on the date of this agreement and described in the final prospectus used for the Offering that provides for the repurchase of the undersigned’s Shares or Related Securities by the Company or (ii) in connection with the termination of the undersigned’s employment with or service to the Company; provided that in each case no filing under Section 16(a) of the Exchange Act, reporting a reduction in beneficial ownership of Shares, shall be required or shall be voluntarily made during the Lock-up Period, unless such filing indicates in the footnotes thereto the nature of the transfer or disposition;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1"/>
        <w:gridCol w:w="10067"/>
      </w:tblGrid>
      <w:tr>
        <w:trPr/>
        <w:tc>
          <w:tcPr>
            <w:tcW w:w="3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i)</w:t>
            </w:r>
          </w:p>
        </w:tc>
        <w:tc>
          <w:tcPr>
            <w:tcW w:w="10067" w:type="dxa"/>
            <w:tcBorders/>
            <w:vAlign w:val="center"/>
          </w:tcPr>
          <w:p>
            <w:pPr>
              <w:pStyle w:val="TableContents"/>
              <w:bidi w:val="0"/>
              <w:spacing w:before="0" w:after="283"/>
              <w:jc w:val="both"/>
              <w:rPr/>
            </w:pPr>
            <w:r>
              <w:rPr/>
              <w:t>the establishment of a trading plan pursuant to Rule 10b5-1 under the Exchange Act (a “Rule 10b5-1 Trading Plan”) for the transfer of Shares, provided that (x) such plan does not provide for the transfer of Shares during the Lock-up Period, (y) no public announcement or filing under the Exchange Act shall be voluntarily made by or on behalf of the undersigned or the Company during the Lock-up Period regarding the establishment of such plan, and (z); to the extent a public announcement or filing under the Exchange Act, if any, is required by or on behalf of the undersigned or the Company regarding the establishment of a Rule 10b5-1 Trading Plan during the Lock-up Period, such announcement or filing shall include a statement to the effect that no transfer of Shares may be made under such Rule 10b5-1 Trading Plan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2"/>
        <w:gridCol w:w="10066"/>
      </w:tblGrid>
      <w:tr>
        <w:trPr/>
        <w:tc>
          <w:tcPr>
            <w:tcW w:w="37"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j)</w:t>
            </w:r>
          </w:p>
        </w:tc>
        <w:tc>
          <w:tcPr>
            <w:tcW w:w="10066" w:type="dxa"/>
            <w:tcBorders/>
            <w:vAlign w:val="center"/>
          </w:tcPr>
          <w:p>
            <w:pPr>
              <w:pStyle w:val="TableContents"/>
              <w:bidi w:val="0"/>
              <w:spacing w:before="0" w:after="283"/>
              <w:jc w:val="both"/>
              <w:rPr/>
            </w:pPr>
            <w:r>
              <w:rPr/>
              <w:t>(i) the transfer of Shares or Related Securities pursuant to a bona fide third party tender offer, merger, consolidation or other similar transaction made to all holders of Shares and approved by the Company’s board of directors involving a Change of Control and (ii) entry into any lock-up, voting or similar agreement pursuant to which the undersigned may agree to transfer, sell, tender or otherwise dispose of Shares or such Related Securities in connection with a transaction described in (i) above, provided, that in the event that the tender offer, merger, consolidation or other such transaction is not completed, the undersigned’s Shares or Related Securities shall remain subject to the terms of this letter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k)</w:t>
            </w:r>
          </w:p>
        </w:tc>
        <w:tc>
          <w:tcPr>
            <w:tcW w:w="10015" w:type="dxa"/>
            <w:tcBorders/>
            <w:vAlign w:val="center"/>
          </w:tcPr>
          <w:p>
            <w:pPr>
              <w:pStyle w:val="TableContents"/>
              <w:bidi w:val="0"/>
              <w:spacing w:before="0" w:after="283"/>
              <w:jc w:val="both"/>
              <w:rPr/>
            </w:pPr>
            <w:r>
              <w:rPr/>
              <w:t>transfers pursuant to an order of a court or regulatory agency; provided that in the case of any transfer pursuant to (k), (i) unless prohibited by an order of a court or regulatory agency, the undersigned must request that each transferee sign and deliver a lock-up letter substantially in the form of this letter and (ii) any filing under Section 16(a) of the Exchange Act reporting a reduction in beneficial ownership of Shares required to be made during the Lock-up Period shall state that such transfer is pursuant to an order of a court or regulatory agency;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2"/>
        <w:gridCol w:w="10066"/>
      </w:tblGrid>
      <w:tr>
        <w:trPr/>
        <w:tc>
          <w:tcPr>
            <w:tcW w:w="37"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l)</w:t>
            </w:r>
          </w:p>
        </w:tc>
        <w:tc>
          <w:tcPr>
            <w:tcW w:w="10066" w:type="dxa"/>
            <w:tcBorders/>
            <w:vAlign w:val="center"/>
          </w:tcPr>
          <w:p>
            <w:pPr>
              <w:pStyle w:val="TableContents"/>
              <w:bidi w:val="0"/>
              <w:spacing w:before="0" w:after="283"/>
              <w:jc w:val="both"/>
              <w:rPr/>
            </w:pPr>
            <w:r>
              <w:rPr/>
              <w:t>transfers to the Company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Shares, shall be required or shall be voluntarily made during the Lock-up Period, unless such filing indicates in the footnotes thereto that the shares were transferred to the Company in order to satisfy tax or other governmental withholding obligations of the reporting person and that no shares were sold to the public by the reporting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m)</w:t>
            </w:r>
          </w:p>
        </w:tc>
        <w:tc>
          <w:tcPr>
            <w:tcW w:w="9958" w:type="dxa"/>
            <w:tcBorders/>
            <w:vAlign w:val="center"/>
          </w:tcPr>
          <w:p>
            <w:pPr>
              <w:pStyle w:val="TableContents"/>
              <w:bidi w:val="0"/>
              <w:spacing w:before="0" w:after="283"/>
              <w:jc w:val="both"/>
              <w:rPr/>
            </w:pPr>
            <w:r>
              <w:rPr/>
              <w:t>sales of Shares for the purpose of satisfying any tax or other governmental withholding obligation with respect to, or in connection with, a vesting event of the Company’s securities, upon the exercise of the Company’s securities or upon expiration of the Company’s securities, in each case held by the undersigned; provided that no filing under Section 16(a) of the Exchange Act, reporting a reduction in beneficial ownership of Shares, shall be required or shall be voluntarily made during the Lock-up Period, unless such filing indicates in the footnotes thereto that the shares were sold in order to satisfy tax or other governmental withholding obligations of the reporting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n)</w:t>
            </w:r>
          </w:p>
        </w:tc>
        <w:tc>
          <w:tcPr>
            <w:tcW w:w="10020" w:type="dxa"/>
            <w:tcBorders/>
            <w:vAlign w:val="center"/>
          </w:tcPr>
          <w:p>
            <w:pPr>
              <w:pStyle w:val="TableContents"/>
              <w:bidi w:val="0"/>
              <w:spacing w:before="0" w:after="283"/>
              <w:jc w:val="both"/>
              <w:rPr/>
            </w:pPr>
            <w:r>
              <w:rPr/>
              <w:t>in connection with sales of Shares made pursuant to a Rule 10b5-1 Trading Plan that has been entered into by the undersigned prior to the date of this letter agreement; provided that (i) such Rule 10b5-1 Trading Plan was established by the undersigned prior to the execution of this letter agreement, a copy of such Rule 10b5-1 Trading Plan was provided to the Representatives prior to the execution of this letter agreement, (ii) such Rule 10b5-1 Trading Plan will not be amended or otherwise modified during the Lock-up Period, and (iii) no filing under Section 16(a) of the Exchange Act, reporting a reduction in beneficial ownership of Shares, shall be required or shall be voluntarily made during the Lock-up Period, unless such filing indicates in the footnotes thereto that the shares were sold pursuant to such Rule 10b5-1 Trading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 The undersigned understands that if (1) the Company withdraws the registration statement relating to the Offering, (2) the Underwriting Agreement (other than the provisions thereof which survive termination) shall terminate or be terminated prior to payment for and delivery of the Shares to be sold thereunder, (3) the Representatives, on behalf of the underwriters, advise the Company, or the Company advises the Representatives, in writing, prior to the execution of the Underwriting Agreement, that they have determined not to proceed with the Offering or (4) the closing of the Offering shall not have occurred on or before October 30, 2026, the undersigned shall be released from all obligations under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25" w:type="dxa"/>
        <w:jc w:val="left"/>
        <w:tblInd w:w="0" w:type="dxa"/>
        <w:tblLayout w:type="fixed"/>
        <w:tblCellMar>
          <w:top w:w="28" w:type="dxa"/>
          <w:left w:w="0" w:type="dxa"/>
          <w:bottom w:w="0" w:type="dxa"/>
          <w:right w:w="0" w:type="dxa"/>
        </w:tblCellMar>
      </w:tblPr>
      <w:tblGrid>
        <w:gridCol w:w="7850"/>
        <w:gridCol w:w="75"/>
      </w:tblGrid>
      <w:tr>
        <w:trPr/>
        <w:tc>
          <w:tcPr>
            <w:tcW w:w="7850" w:type="dxa"/>
            <w:tcBorders>
              <w:top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top w:w="0" w:type="dxa"/>
            </w:tcMar>
            <w:vAlign w:val="center"/>
          </w:tcPr>
          <w:p>
            <w:pPr>
              <w:pStyle w:val="TableContents"/>
              <w:bidi w:val="0"/>
              <w:spacing w:before="0" w:after="283"/>
              <w:jc w:val="left"/>
              <w:rPr/>
            </w:pPr>
            <w:r>
              <w:rPr/>
              <w:t> </w:t>
            </w:r>
          </w:p>
        </w:tc>
      </w:tr>
      <w:tr>
        <w:trPr/>
        <w:tc>
          <w:tcPr>
            <w:tcW w:w="785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785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7850" w:type="dx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of Person Signing</w:t>
            </w:r>
          </w:p>
        </w:tc>
        <w:tc>
          <w:tcPr>
            <w:tcW w:w="75" w:type="dxa"/>
            <w:tcBorders/>
            <w:tcMar>
              <w:top w:w="0" w:type="dxa"/>
            </w:tcMar>
            <w:vAlign w:val="center"/>
          </w:tcPr>
          <w:p>
            <w:pPr>
              <w:pStyle w:val="TableContents"/>
              <w:bidi w:val="0"/>
              <w:spacing w:before="0" w:after="283"/>
              <w:jc w:val="left"/>
              <w:rPr/>
            </w:pPr>
            <w:r>
              <w:rPr/>
              <w:t> </w:t>
            </w:r>
          </w:p>
        </w:tc>
      </w:tr>
      <w:tr>
        <w:trPr/>
        <w:tc>
          <w:tcPr>
            <w:tcW w:w="785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top w:w="0" w:type="dxa"/>
            </w:tcMar>
            <w:vAlign w:val="center"/>
          </w:tcPr>
          <w:p>
            <w:pPr>
              <w:pStyle w:val="TableContents"/>
              <w:bidi w:val="0"/>
              <w:spacing w:before="0" w:after="283"/>
              <w:jc w:val="left"/>
              <w:rPr/>
            </w:pPr>
            <w:r>
              <w:rPr/>
              <w:t> </w:t>
            </w:r>
          </w:p>
        </w:tc>
      </w:tr>
      <w:tr>
        <w:trPr/>
        <w:tc>
          <w:tcPr>
            <w:tcW w:w="7850" w:type="dxa"/>
            <w:tcBorders/>
            <w:tcMar>
              <w:top w:w="0"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 signing as custodian or trustee, or on behalf of an entity)</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br/>
      </w:r>
      <w:r>
        <w:rPr>
          <w:rFonts w:ascii="Times New Roman;Times;Serif" w:hAnsi="Times New Roman;Times;Serif"/>
          <w:b/>
          <w:i w:val="false"/>
          <w:caps w:val="false"/>
          <w:smallCaps w:val="false"/>
          <w:sz w:val="20"/>
          <w:u w:val="single"/>
        </w:rPr>
        <w:t>Used in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letter agreement to which this Annex A is attached and of which it is made a part: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both"/>
              <w:rPr/>
            </w:pPr>
            <w:r>
              <w:rPr/>
              <w:t>“</w:t>
            </w:r>
            <w:r>
              <w:rPr>
                <w:rFonts w:ascii="Times New Roman;Times;Serif" w:hAnsi="Times New Roman;Times;Serif"/>
                <w:b/>
              </w:rPr>
              <w:t>Call Equivalent Position</w:t>
            </w:r>
            <w:r>
              <w:rPr>
                <w:rFonts w:ascii="Times New Roman;Times;Serif" w:hAnsi="Times New Roman;Times;Serif"/>
              </w:rPr>
              <w:t>” shall have the meaning set forth in Rule 16a-1(b)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Change of Control</w:t>
            </w:r>
            <w:r>
              <w:rPr>
                <w:rFonts w:ascii="Times New Roman;Times;Serif" w:hAnsi="Times New Roman;Times;Serif"/>
              </w:rPr>
              <w:t>” means any bona fide third party tender offer, merger, consolidation or other similar transaction, in one transaction or a series of related transactions, the result of which is that any “person” (as defined in Section 13(d)(3) of the Exchange Act) or group of persons, other than the Company, becomes the beneficial owner (as defined Rule 13d-3 and 13d-5 of the Exchange Act) of more than 50% of total voting power of the voting stock of the Company (or the surviving entity).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both"/>
              <w:rPr/>
            </w:pPr>
            <w:r>
              <w:rPr/>
              <w:t>“</w:t>
            </w:r>
            <w:r>
              <w:rPr>
                <w:rFonts w:ascii="Times New Roman;Times;Serif" w:hAnsi="Times New Roman;Times;Serif"/>
                <w:b/>
              </w:rPr>
              <w:t>Exchange Act</w:t>
            </w:r>
            <w:r>
              <w:rPr>
                <w:rFonts w:ascii="Times New Roman;Times;Serif" w:hAnsi="Times New Roman;Times;Serif"/>
              </w:rPr>
              <w:t>” shall mean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Family Member</w:t>
            </w:r>
            <w:r>
              <w:rPr>
                <w:rFonts w:ascii="Times New Roman;Times;Serif" w:hAnsi="Times New Roman;Times;Serif"/>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Immediate Family Member</w:t>
            </w:r>
            <w:r>
              <w:rPr>
                <w:rFonts w:ascii="Times New Roman;Times;Serif" w:hAnsi="Times New Roman;Times;Serif"/>
              </w:rPr>
              <w:t>” as used above shall have the meaning set forth in Rule 16a-1(e)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rFonts w:ascii="Times New Roman;Times;Serif" w:hAnsi="Times New Roman;Times;Serif"/>
                <w:b/>
              </w:rPr>
              <w:t>Lock-up Period</w:t>
            </w:r>
            <w:r>
              <w:rPr>
                <w:rFonts w:ascii="Times New Roman;Times;Serif" w:hAnsi="Times New Roman;Times;Serif"/>
              </w:rPr>
              <w:t>” shall mean the period beginning on the date hereof and continuing through the close of trading on the date that is 60 days after the date of the Prospectus (as defined in the Underwriting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w:t>
            </w:r>
            <w:r>
              <w:rPr>
                <w:rFonts w:ascii="Times New Roman;Times;Serif" w:hAnsi="Times New Roman;Times;Serif"/>
                <w:b/>
              </w:rPr>
              <w:t>Put Equivalent Position</w:t>
            </w:r>
            <w:r>
              <w:rPr>
                <w:rFonts w:ascii="Times New Roman;Times;Serif" w:hAnsi="Times New Roman;Times;Serif"/>
              </w:rPr>
              <w:t>” shall have the meaning set forth in Rule 16a-1(h)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Related Securities</w:t>
            </w:r>
            <w:r>
              <w:rPr>
                <w:rFonts w:ascii="Times New Roman;Times;Serif" w:hAnsi="Times New Roman;Times;Serif"/>
              </w:rPr>
              <w:t>” shall mean any options or warrants or other rights to acquire Shares or any securities exchangeable or exercisable for or convertible into Shares, or to acquire other securities or rights ultimately exchangeable or exercisable for or convertible into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91"/>
        <w:gridCol w:w="9957"/>
      </w:tblGrid>
      <w:tr>
        <w:trPr/>
        <w:tc>
          <w:tcPr>
            <w:tcW w:w="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7" w:type="dxa"/>
            <w:tcBorders/>
            <w:vAlign w:val="center"/>
          </w:tcPr>
          <w:p>
            <w:pPr>
              <w:pStyle w:val="TableContents"/>
              <w:bidi w:val="0"/>
              <w:spacing w:before="0" w:after="283"/>
              <w:jc w:val="both"/>
              <w:rPr/>
            </w:pPr>
            <w:r>
              <w:rPr/>
              <w:t>“</w:t>
            </w:r>
            <w:r>
              <w:rPr>
                <w:rFonts w:ascii="Times New Roman;Times;Serif" w:hAnsi="Times New Roman;Times;Serif"/>
                <w:b/>
              </w:rPr>
              <w:t>Securities Act</w:t>
            </w:r>
            <w:r>
              <w:rPr>
                <w:rFonts w:ascii="Times New Roman;Times;Serif" w:hAnsi="Times New Roman;Times;Serif"/>
              </w:rPr>
              <w:t>” shall mean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346"/>
        <w:gridCol w:w="9755"/>
      </w:tblGrid>
      <w:tr>
        <w:trPr/>
        <w:tc>
          <w:tcPr>
            <w:tcW w:w="1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Symbol" w:hAnsi="Symbol"/>
              </w:rPr>
            </w:pPr>
            <w:r>
              <w:rPr>
                <w:rFonts w:ascii="Symbol" w:hAnsi="Symbol"/>
              </w:rPr>
              <w:t>·</w:t>
            </w:r>
          </w:p>
        </w:tc>
        <w:tc>
          <w:tcPr>
            <w:tcW w:w="9755" w:type="dxa"/>
            <w:tcBorders/>
            <w:vAlign w:val="center"/>
          </w:tcPr>
          <w:p>
            <w:pPr>
              <w:pStyle w:val="TableContents"/>
              <w:bidi w:val="0"/>
              <w:spacing w:before="0" w:after="283"/>
              <w:jc w:val="both"/>
              <w:rPr/>
            </w:pPr>
            <w:r>
              <w:rPr/>
              <w:t>“</w:t>
            </w:r>
            <w:r>
              <w:rPr>
                <w:rFonts w:ascii="Times New Roman;Times;Serif" w:hAnsi="Times New Roman;Times;Serif"/>
                <w:b/>
              </w:rPr>
              <w:t>Sell or Offer to Sell</w:t>
            </w:r>
            <w:r>
              <w:rPr>
                <w:rFonts w:ascii="Times New Roman;Times;Serif" w:hAnsi="Times New Roman;Times;Serif"/>
              </w:rPr>
              <w:t>” shall mean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59"/>
        <w:gridCol w:w="9749"/>
      </w:tblGrid>
      <w:tr>
        <w:trPr/>
        <w:tc>
          <w:tcPr>
            <w:tcW w:w="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both"/>
              <w:rPr/>
            </w:pPr>
            <w:r>
              <w:rPr/>
              <w:t>sell, offer to sell, contract to sell or lend,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effect any short sale or establish or increase a Put Equivalent Position or liquidate or decrease any Call Equivalent Position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65"/>
        <w:gridCol w:w="9869"/>
      </w:tblGrid>
      <w:tr>
        <w:trPr/>
        <w:tc>
          <w:tcPr>
            <w:tcW w:w="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both"/>
              <w:rPr/>
            </w:pPr>
            <w:r>
              <w:rPr/>
              <w:t>pledge, hypothecate or grant any security interest in,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366"/>
        <w:gridCol w:w="9740"/>
      </w:tblGrid>
      <w:tr>
        <w:trPr/>
        <w:tc>
          <w:tcPr>
            <w:tcW w:w="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in any other way transfer or dispose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effected directly or indirectly.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rFonts w:ascii="Times New Roman;Times;Serif" w:hAnsi="Times New Roman;Times;Serif"/>
                <w:b/>
              </w:rPr>
              <w:t>Swap</w:t>
            </w:r>
            <w:r>
              <w:rPr>
                <w:rFonts w:ascii="Times New Roman;Times;Serif" w:hAnsi="Times New Roman;Times;Serif"/>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hanging="0"/>
        <w:jc w:val="center"/>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Signing Lock-up Agreement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060"/>
        <w:gridCol w:w="8823"/>
      </w:tblGrid>
      <w:tr>
        <w:trPr/>
        <w:tc>
          <w:tcPr>
            <w:tcW w:w="32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rFonts w:ascii="Symbol" w:hAnsi="Symbol"/>
              </w:rPr>
            </w:pPr>
            <w:r>
              <w:rPr>
                <w:rFonts w:ascii="Symbol" w:hAnsi="Symbol"/>
              </w:rPr>
              <w:t>·</w:t>
            </w:r>
          </w:p>
        </w:tc>
        <w:tc>
          <w:tcPr>
            <w:tcW w:w="8823" w:type="dxa"/>
            <w:tcBorders/>
            <w:vAlign w:val="center"/>
          </w:tcPr>
          <w:p>
            <w:pPr>
              <w:pStyle w:val="TableContents"/>
              <w:bidi w:val="0"/>
              <w:spacing w:before="0" w:after="283"/>
              <w:jc w:val="left"/>
              <w:rPr/>
            </w:pPr>
            <w:r>
              <w:rPr/>
              <w:t>Paul Bunn</w:t>
            </w:r>
          </w:p>
        </w:tc>
      </w:tr>
    </w:tbl>
    <w:tbl>
      <w:tblPr>
        <w:tblW w:w="5000" w:type="pct"/>
        <w:jc w:val="left"/>
        <w:tblInd w:w="0" w:type="dxa"/>
        <w:tblLayout w:type="fixed"/>
        <w:tblCellMar>
          <w:top w:w="0" w:type="dxa"/>
          <w:left w:w="0" w:type="dxa"/>
          <w:bottom w:w="0" w:type="dxa"/>
          <w:right w:w="0" w:type="dxa"/>
        </w:tblCellMar>
      </w:tblPr>
      <w:tblGrid>
        <w:gridCol w:w="241"/>
        <w:gridCol w:w="793"/>
        <w:gridCol w:w="9171"/>
      </w:tblGrid>
      <w:tr>
        <w:trPr/>
        <w:tc>
          <w:tcPr>
            <w:tcW w:w="2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rFonts w:ascii="Symbol" w:hAnsi="Symbol"/>
              </w:rPr>
            </w:pPr>
            <w:r>
              <w:rPr>
                <w:rFonts w:ascii="Symbol" w:hAnsi="Symbol"/>
              </w:rPr>
              <w:t>·</w:t>
            </w:r>
          </w:p>
        </w:tc>
        <w:tc>
          <w:tcPr>
            <w:tcW w:w="9171" w:type="dxa"/>
            <w:tcBorders/>
            <w:vAlign w:val="center"/>
          </w:tcPr>
          <w:p>
            <w:pPr>
              <w:pStyle w:val="TableContents"/>
              <w:bidi w:val="0"/>
              <w:spacing w:before="0" w:after="283"/>
              <w:jc w:val="left"/>
              <w:rPr/>
            </w:pPr>
            <w:r>
              <w:rPr/>
              <w:t>Daniel Calkins</w:t>
            </w:r>
          </w:p>
        </w:tc>
      </w:tr>
    </w:tbl>
    <w:tbl>
      <w:tblPr>
        <w:tblW w:w="5000" w:type="pct"/>
        <w:jc w:val="left"/>
        <w:tblInd w:w="0" w:type="dxa"/>
        <w:tblLayout w:type="fixed"/>
        <w:tblCellMar>
          <w:top w:w="0" w:type="dxa"/>
          <w:left w:w="0" w:type="dxa"/>
          <w:bottom w:w="0" w:type="dxa"/>
          <w:right w:w="0" w:type="dxa"/>
        </w:tblCellMar>
      </w:tblPr>
      <w:tblGrid>
        <w:gridCol w:w="303"/>
        <w:gridCol w:w="998"/>
        <w:gridCol w:w="8904"/>
      </w:tblGrid>
      <w:tr>
        <w:trPr/>
        <w:tc>
          <w:tcPr>
            <w:tcW w:w="3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rFonts w:ascii="Symbol" w:hAnsi="Symbol"/>
              </w:rPr>
            </w:pPr>
            <w:r>
              <w:rPr>
                <w:rFonts w:ascii="Symbol" w:hAnsi="Symbol"/>
              </w:rPr>
              <w:t>·</w:t>
            </w:r>
          </w:p>
        </w:tc>
        <w:tc>
          <w:tcPr>
            <w:tcW w:w="8904" w:type="dxa"/>
            <w:tcBorders/>
            <w:vAlign w:val="center"/>
          </w:tcPr>
          <w:p>
            <w:pPr>
              <w:pStyle w:val="TableContents"/>
              <w:bidi w:val="0"/>
              <w:spacing w:before="0" w:after="283"/>
              <w:jc w:val="left"/>
              <w:rPr/>
            </w:pPr>
            <w:r>
              <w:rPr/>
              <w:t>Anil Kapur</w:t>
            </w:r>
          </w:p>
        </w:tc>
      </w:tr>
    </w:tbl>
    <w:tbl>
      <w:tblPr>
        <w:tblW w:w="5000" w:type="pct"/>
        <w:jc w:val="left"/>
        <w:tblInd w:w="0" w:type="dxa"/>
        <w:tblLayout w:type="fixed"/>
        <w:tblCellMar>
          <w:top w:w="0" w:type="dxa"/>
          <w:left w:w="0" w:type="dxa"/>
          <w:bottom w:w="0" w:type="dxa"/>
          <w:right w:w="0" w:type="dxa"/>
        </w:tblCellMar>
      </w:tblPr>
      <w:tblGrid>
        <w:gridCol w:w="195"/>
        <w:gridCol w:w="643"/>
        <w:gridCol w:w="9367"/>
      </w:tblGrid>
      <w:tr>
        <w:trPr/>
        <w:tc>
          <w:tcPr>
            <w:tcW w:w="19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rFonts w:ascii="Symbol" w:hAnsi="Symbol"/>
              </w:rPr>
            </w:pPr>
            <w:r>
              <w:rPr>
                <w:rFonts w:ascii="Symbol" w:hAnsi="Symbol"/>
              </w:rPr>
              <w:t>·</w:t>
            </w:r>
          </w:p>
        </w:tc>
        <w:tc>
          <w:tcPr>
            <w:tcW w:w="9367" w:type="dxa"/>
            <w:tcBorders/>
            <w:vAlign w:val="center"/>
          </w:tcPr>
          <w:p>
            <w:pPr>
              <w:pStyle w:val="TableContents"/>
              <w:bidi w:val="0"/>
              <w:spacing w:before="0" w:after="283"/>
              <w:jc w:val="left"/>
              <w:rPr/>
            </w:pPr>
            <w:r>
              <w:rPr/>
              <w:t>Michael Kauffman</w:t>
            </w:r>
          </w:p>
        </w:tc>
      </w:tr>
    </w:tbl>
    <w:tbl>
      <w:tblPr>
        <w:tblW w:w="5000" w:type="pct"/>
        <w:jc w:val="left"/>
        <w:tblInd w:w="0" w:type="dxa"/>
        <w:tblLayout w:type="fixed"/>
        <w:tblCellMar>
          <w:top w:w="0" w:type="dxa"/>
          <w:left w:w="0" w:type="dxa"/>
          <w:bottom w:w="0" w:type="dxa"/>
          <w:right w:w="0" w:type="dxa"/>
        </w:tblCellMar>
      </w:tblPr>
      <w:tblGrid>
        <w:gridCol w:w="260"/>
        <w:gridCol w:w="857"/>
        <w:gridCol w:w="9088"/>
      </w:tblGrid>
      <w:tr>
        <w:trPr/>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rFonts w:ascii="Symbol" w:hAnsi="Symbol"/>
              </w:rPr>
            </w:pPr>
            <w:r>
              <w:rPr>
                <w:rFonts w:ascii="Symbol" w:hAnsi="Symbol"/>
              </w:rPr>
              <w:t>·</w:t>
            </w:r>
          </w:p>
        </w:tc>
        <w:tc>
          <w:tcPr>
            <w:tcW w:w="9088" w:type="dxa"/>
            <w:tcBorders/>
            <w:vAlign w:val="center"/>
          </w:tcPr>
          <w:p>
            <w:pPr>
              <w:pStyle w:val="TableContents"/>
              <w:bidi w:val="0"/>
              <w:spacing w:before="0" w:after="283"/>
              <w:jc w:val="left"/>
              <w:rPr/>
            </w:pPr>
            <w:r>
              <w:rPr/>
              <w:t>John Johnson</w:t>
            </w:r>
          </w:p>
        </w:tc>
      </w:tr>
    </w:tbl>
    <w:tbl>
      <w:tblPr>
        <w:tblW w:w="5000" w:type="pct"/>
        <w:jc w:val="left"/>
        <w:tblInd w:w="0" w:type="dxa"/>
        <w:tblLayout w:type="fixed"/>
        <w:tblCellMar>
          <w:top w:w="0" w:type="dxa"/>
          <w:left w:w="0" w:type="dxa"/>
          <w:bottom w:w="0" w:type="dxa"/>
          <w:right w:w="0" w:type="dxa"/>
        </w:tblCellMar>
      </w:tblPr>
      <w:tblGrid>
        <w:gridCol w:w="228"/>
        <w:gridCol w:w="751"/>
        <w:gridCol w:w="9226"/>
      </w:tblGrid>
      <w:tr>
        <w:trPr/>
        <w:tc>
          <w:tcPr>
            <w:tcW w:w="22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rFonts w:ascii="Symbol" w:hAnsi="Symbol"/>
              </w:rPr>
            </w:pPr>
            <w:r>
              <w:rPr>
                <w:rFonts w:ascii="Symbol" w:hAnsi="Symbol"/>
              </w:rPr>
              <w:t>·</w:t>
            </w:r>
          </w:p>
        </w:tc>
        <w:tc>
          <w:tcPr>
            <w:tcW w:w="9226" w:type="dxa"/>
            <w:tcBorders/>
            <w:vAlign w:val="center"/>
          </w:tcPr>
          <w:p>
            <w:pPr>
              <w:pStyle w:val="TableContents"/>
              <w:bidi w:val="0"/>
              <w:spacing w:before="0" w:after="283"/>
              <w:jc w:val="left"/>
              <w:rPr/>
            </w:pPr>
            <w:r>
              <w:rPr/>
              <w:t>Daniel Paterson</w:t>
            </w:r>
          </w:p>
        </w:tc>
      </w:tr>
    </w:tbl>
    <w:tbl>
      <w:tblPr>
        <w:tblW w:w="5000" w:type="pct"/>
        <w:jc w:val="left"/>
        <w:tblInd w:w="0" w:type="dxa"/>
        <w:tblLayout w:type="fixed"/>
        <w:tblCellMar>
          <w:top w:w="0" w:type="dxa"/>
          <w:left w:w="0" w:type="dxa"/>
          <w:bottom w:w="0" w:type="dxa"/>
          <w:right w:w="0" w:type="dxa"/>
        </w:tblCellMar>
      </w:tblPr>
      <w:tblGrid>
        <w:gridCol w:w="188"/>
        <w:gridCol w:w="620"/>
        <w:gridCol w:w="9397"/>
      </w:tblGrid>
      <w:tr>
        <w:trPr/>
        <w:tc>
          <w:tcPr>
            <w:tcW w:w="18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Symbol" w:hAnsi="Symbol"/>
              </w:rPr>
            </w:pPr>
            <w:r>
              <w:rPr>
                <w:rFonts w:ascii="Symbol" w:hAnsi="Symbol"/>
              </w:rPr>
              <w:t>·</w:t>
            </w:r>
          </w:p>
        </w:tc>
        <w:tc>
          <w:tcPr>
            <w:tcW w:w="9397" w:type="dxa"/>
            <w:tcBorders/>
            <w:vAlign w:val="center"/>
          </w:tcPr>
          <w:p>
            <w:pPr>
              <w:pStyle w:val="TableContents"/>
              <w:bidi w:val="0"/>
              <w:spacing w:before="0" w:after="283"/>
              <w:jc w:val="left"/>
              <w:rPr/>
            </w:pPr>
            <w:r>
              <w:rPr/>
              <w:t>Michelle Robertson</w:t>
            </w:r>
          </w:p>
        </w:tc>
      </w:tr>
    </w:tbl>
    <w:tbl>
      <w:tblPr>
        <w:tblW w:w="5000" w:type="pct"/>
        <w:jc w:val="left"/>
        <w:tblInd w:w="0" w:type="dxa"/>
        <w:tblLayout w:type="fixed"/>
        <w:tblCellMar>
          <w:top w:w="0" w:type="dxa"/>
          <w:left w:w="0" w:type="dxa"/>
          <w:bottom w:w="0" w:type="dxa"/>
          <w:right w:w="0" w:type="dxa"/>
        </w:tblCellMar>
      </w:tblPr>
      <w:tblGrid>
        <w:gridCol w:w="238"/>
        <w:gridCol w:w="786"/>
        <w:gridCol w:w="9181"/>
      </w:tblGrid>
      <w:tr>
        <w:trPr/>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Symbol" w:hAnsi="Symbol"/>
              </w:rPr>
            </w:pPr>
            <w:r>
              <w:rPr>
                <w:rFonts w:ascii="Symbol" w:hAnsi="Symbol"/>
              </w:rPr>
              <w:t>·</w:t>
            </w:r>
          </w:p>
        </w:tc>
        <w:tc>
          <w:tcPr>
            <w:tcW w:w="9181" w:type="dxa"/>
            <w:tcBorders/>
            <w:vAlign w:val="center"/>
          </w:tcPr>
          <w:p>
            <w:pPr>
              <w:pStyle w:val="TableContents"/>
              <w:bidi w:val="0"/>
              <w:spacing w:before="0" w:after="283"/>
              <w:jc w:val="left"/>
              <w:rPr/>
            </w:pPr>
            <w:r>
              <w:rPr/>
              <w:t>Eric Rowinsky</w:t>
            </w:r>
          </w:p>
        </w:tc>
      </w:tr>
    </w:tbl>
    <w:tbl>
      <w:tblPr>
        <w:tblW w:w="5000" w:type="pct"/>
        <w:jc w:val="left"/>
        <w:tblInd w:w="0" w:type="dxa"/>
        <w:tblLayout w:type="fixed"/>
        <w:tblCellMar>
          <w:top w:w="0" w:type="dxa"/>
          <w:left w:w="0" w:type="dxa"/>
          <w:bottom w:w="0" w:type="dxa"/>
          <w:right w:w="0" w:type="dxa"/>
        </w:tblCellMar>
      </w:tblPr>
      <w:tblGrid>
        <w:gridCol w:w="265"/>
        <w:gridCol w:w="875"/>
        <w:gridCol w:w="9065"/>
      </w:tblGrid>
      <w:tr>
        <w:trPr/>
        <w:tc>
          <w:tcPr>
            <w:tcW w:w="2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Symbol" w:hAnsi="Symbol"/>
              </w:rPr>
            </w:pPr>
            <w:r>
              <w:rPr>
                <w:rFonts w:ascii="Symbol" w:hAnsi="Symbol"/>
              </w:rPr>
              <w:t>·</w:t>
            </w:r>
          </w:p>
        </w:tc>
        <w:tc>
          <w:tcPr>
            <w:tcW w:w="9065" w:type="dxa"/>
            <w:tcBorders/>
            <w:vAlign w:val="center"/>
          </w:tcPr>
          <w:p>
            <w:pPr>
              <w:pStyle w:val="TableContents"/>
              <w:bidi w:val="0"/>
              <w:spacing w:before="0" w:after="283"/>
              <w:jc w:val="left"/>
              <w:rPr/>
            </w:pPr>
            <w:r>
              <w:rPr/>
              <w:t>Brian Stuglik</w:t>
            </w:r>
          </w:p>
        </w:tc>
      </w:tr>
    </w:tbl>
    <w:tbl>
      <w:tblPr>
        <w:tblW w:w="5000" w:type="pct"/>
        <w:jc w:val="left"/>
        <w:tblInd w:w="0" w:type="dxa"/>
        <w:tblLayout w:type="fixed"/>
        <w:tblCellMar>
          <w:top w:w="0" w:type="dxa"/>
          <w:left w:w="0" w:type="dxa"/>
          <w:bottom w:w="0" w:type="dxa"/>
          <w:right w:w="0" w:type="dxa"/>
        </w:tblCellMar>
      </w:tblPr>
      <w:tblGrid>
        <w:gridCol w:w="228"/>
        <w:gridCol w:w="751"/>
        <w:gridCol w:w="9226"/>
      </w:tblGrid>
      <w:tr>
        <w:trPr/>
        <w:tc>
          <w:tcPr>
            <w:tcW w:w="22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rFonts w:ascii="Symbol" w:hAnsi="Symbol"/>
              </w:rPr>
            </w:pPr>
            <w:r>
              <w:rPr>
                <w:rFonts w:ascii="Symbol" w:hAnsi="Symbol"/>
              </w:rPr>
              <w:t>·</w:t>
            </w:r>
          </w:p>
        </w:tc>
        <w:tc>
          <w:tcPr>
            <w:tcW w:w="9226" w:type="dxa"/>
            <w:tcBorders/>
            <w:vAlign w:val="center"/>
          </w:tcPr>
          <w:p>
            <w:pPr>
              <w:pStyle w:val="TableContents"/>
              <w:bidi w:val="0"/>
              <w:spacing w:before="0" w:after="283"/>
              <w:jc w:val="left"/>
              <w:rPr/>
            </w:pPr>
            <w:r>
              <w:rPr/>
              <w:t>Karin Tollefson</w:t>
            </w:r>
          </w:p>
        </w:tc>
      </w:tr>
    </w:tbl>
    <w:tbl>
      <w:tblPr>
        <w:tblW w:w="5000" w:type="pct"/>
        <w:jc w:val="left"/>
        <w:tblInd w:w="0" w:type="dxa"/>
        <w:tblLayout w:type="fixed"/>
        <w:tblCellMar>
          <w:top w:w="0" w:type="dxa"/>
          <w:left w:w="0" w:type="dxa"/>
          <w:bottom w:w="0" w:type="dxa"/>
          <w:right w:w="0" w:type="dxa"/>
        </w:tblCellMar>
      </w:tblPr>
      <w:tblGrid>
        <w:gridCol w:w="204"/>
        <w:gridCol w:w="674"/>
        <w:gridCol w:w="9327"/>
      </w:tblGrid>
      <w:tr>
        <w:trPr/>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rFonts w:ascii="Symbol" w:hAnsi="Symbol"/>
              </w:rPr>
            </w:pPr>
            <w:r>
              <w:rPr>
                <w:rFonts w:ascii="Symbol" w:hAnsi="Symbol"/>
              </w:rPr>
              <w:t>·</w:t>
            </w:r>
          </w:p>
        </w:tc>
        <w:tc>
          <w:tcPr>
            <w:tcW w:w="9327" w:type="dxa"/>
            <w:tcBorders/>
            <w:vAlign w:val="center"/>
          </w:tcPr>
          <w:p>
            <w:pPr>
              <w:pStyle w:val="TableContents"/>
              <w:bidi w:val="0"/>
              <w:spacing w:before="0" w:after="283"/>
              <w:jc w:val="left"/>
              <w:rPr/>
            </w:pPr>
            <w:r>
              <w:rPr/>
              <w:t>Michael P. Bailey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 TO PURCHASE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Verastem, Inc.,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 No. </w:t>
      </w:r>
      <w:r>
        <w:rPr>
          <w:rFonts w:ascii="Times New Roman;Times;Serif" w:hAnsi="Times New Roman;Times;Serif"/>
          <w:b w:val="false"/>
          <w:i w:val="false"/>
          <w:caps w:val="false"/>
          <w:smallCaps w:val="false"/>
          <w:sz w:val="20"/>
        </w:rPr>
        <w:t>[___]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w:t>
      </w:r>
      <w:r>
        <w:rPr>
          <w:rFonts w:ascii="Times New Roman;Times;Serif" w:hAnsi="Times New Roman;Times;Serif"/>
          <w:b w:val="false"/>
          <w:i w:val="false"/>
          <w:caps w:val="false"/>
          <w:smallCaps w:val="false"/>
          <w:sz w:val="20"/>
        </w:rPr>
        <w:t xml:space="preserve"> [___], subject to adjustment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Type/Series of Stock:</w:t>
      </w:r>
      <w:r>
        <w:rPr>
          <w:rFonts w:ascii="Times New Roman;Times;Serif" w:hAnsi="Times New Roman;Times;Serif"/>
          <w:b w:val="false"/>
          <w:i w:val="false"/>
          <w:caps w:val="false"/>
          <w:smallCaps w:val="false"/>
          <w:sz w:val="20"/>
        </w:rPr>
        <w:t xml:space="preserve"> Common Stock, $0.0001 par value per share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xml:space="preserv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CERTIFIES THAT, for good and valuable consideration, [___] (together with any successor or permitted assignee or transferee of this warrant to purchase stock (this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or of any shares issued upon exercise hereof,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at any time on or after the above-referenced Issue Date, to purchase up to the above-stated number of fully paid and non-assessable shares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of the above-stated Type/Series of Stock (the “</w:t>
      </w:r>
      <w:r>
        <w:rPr>
          <w:rFonts w:ascii="Times New Roman;Times;Serif" w:hAnsi="Times New Roman;Times;Serif"/>
          <w:b/>
          <w:i w:val="false"/>
          <w:caps w:val="false"/>
          <w:smallCaps w:val="false"/>
          <w:sz w:val="20"/>
          <w:u w:val="single"/>
        </w:rPr>
        <w:t>Class</w:t>
      </w:r>
      <w:r>
        <w:rPr>
          <w:rFonts w:ascii="Times New Roman;Times;Serif" w:hAnsi="Times New Roman;Times;Serif"/>
          <w:b w:val="false"/>
          <w:i w:val="false"/>
          <w:caps w:val="false"/>
          <w:smallCaps w:val="false"/>
          <w:sz w:val="20"/>
        </w:rPr>
        <w:t>”) of the above-named company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until this Warrant is exercised in full, all as set forth above and as adjusted pursuant to Section 2 of this Warrant, subject to the provisions and upon the terms and conditions set forth in this Warrant. The aggregate exercise price of this Warrant of $[___], except for a nominal exercise price of $0.0001 per Warrant Share (as defined below), was paid to the Company on or prior to the date of issuance of this Warrant, and consequently, no additional consideration (other than the nominal exercise price of $0.0001 per Warrant Share) shall be required to be paid by Holder to effect any exercise of this Warrant. Holder shall not be entitled to return or refund of all, or any portion, of such prepaid aggregate exercise price under any circumstance or for any reason whatsoever. The remaining unpaid exercise price per share of Common Stock under this Warrant shall be $0.0001, subject to adjustment as provided herein (the “</w:t>
      </w:r>
      <w:r>
        <w:rPr>
          <w:rFonts w:ascii="Times New Roman;Times;Serif" w:hAnsi="Times New Roman;Times;Serif"/>
          <w:b/>
          <w:i w:val="false"/>
          <w:caps w:val="false"/>
          <w:smallCaps w:val="false"/>
          <w:sz w:val="20"/>
          <w:u w:val="single"/>
        </w:rPr>
        <w:t>Warrant Price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Method of Exercise; Delivery of Warrant Shares</w:t>
      </w:r>
      <w:r>
        <w:rPr>
          <w:rFonts w:ascii="Times New Roman;Times;Serif" w:hAnsi="Times New Roman;Times;Serif"/>
          <w:b w:val="false"/>
          <w:i w:val="false"/>
          <w:caps w:val="false"/>
          <w:smallCaps w:val="false"/>
          <w:sz w:val="20"/>
        </w:rPr>
        <w:t xml:space="preserve">. Holder may at any time and from time to time exercise this Warrant, in whole or in part, by delivering to the Company the original of this Warrant together with a duly executed Notice of Exercise in substantially the form attached hereto as </w:t>
      </w:r>
      <w:r>
        <w:rPr>
          <w:rFonts w:ascii="Times New Roman;Times;Serif" w:hAnsi="Times New Roman;Times;Serif"/>
          <w:b w:val="false"/>
          <w:i w:val="false"/>
          <w:caps w:val="false"/>
          <w:smallCaps w:val="false"/>
          <w:sz w:val="20"/>
          <w:u w:val="single"/>
        </w:rPr>
        <w:t>Appendix 1</w:t>
      </w:r>
      <w:r>
        <w:rPr>
          <w:rFonts w:ascii="Times New Roman;Times;Serif" w:hAnsi="Times New Roman;Times;Serif"/>
          <w:b w:val="false"/>
          <w:i w:val="false"/>
          <w:caps w:val="false"/>
          <w:smallCaps w:val="false"/>
          <w:sz w:val="20"/>
        </w:rPr>
        <w:t xml:space="preserve"> and, unless Holder is exercising this Warrant pursuant to a cashless exercise set forth in Section 1.2, wire transfer of same-day funds (to an account designated by the Company), or other form of payment acceptable to the Company for the aggregate Warrant Price for the Shares being purchased (such date of delivery, the “</w:t>
      </w:r>
      <w:r>
        <w:rPr>
          <w:rFonts w:ascii="Times New Roman;Times;Serif" w:hAnsi="Times New Roman;Times;Serif"/>
          <w:b/>
          <w:i w:val="false"/>
          <w:caps w:val="false"/>
          <w:smallCaps w:val="false"/>
          <w:sz w:val="20"/>
          <w:u w:val="single"/>
        </w:rPr>
        <w:t>Exercise Date</w:t>
      </w:r>
      <w:r>
        <w:rPr>
          <w:rFonts w:ascii="Times New Roman;Times;Serif" w:hAnsi="Times New Roman;Times;Serif"/>
          <w:b w:val="false"/>
          <w:i w:val="false"/>
          <w:caps w:val="false"/>
          <w:smallCaps w:val="false"/>
          <w:sz w:val="20"/>
        </w:rPr>
        <w:t>”).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nor shall Holder be required to surrender or deliver a paper or other physical copy of this Warrant in connection with any exercise hereof. Execution and delivery of the Exercise Notice shall have the same effect as cancellation of the original Warrant and issuance of a new warrant evidencing the right to purchase the remaining number of Warrant Shares (any such new warrant, a “</w:t>
      </w:r>
      <w:r>
        <w:rPr>
          <w:rFonts w:ascii="Times New Roman;Times;Serif" w:hAnsi="Times New Roman;Times;Serif"/>
          <w:b/>
          <w:i w:val="false"/>
          <w:caps w:val="false"/>
          <w:smallCaps w:val="false"/>
          <w:sz w:val="20"/>
          <w:u w:val="single"/>
        </w:rPr>
        <w:t>New Warrant</w:t>
      </w:r>
      <w:r>
        <w:rPr>
          <w:rFonts w:ascii="Times New Roman;Times;Serif" w:hAnsi="Times New Roman;Times;Serif"/>
          <w:b w:val="false"/>
          <w:i w:val="false"/>
          <w:caps w:val="false"/>
          <w:smallCaps w:val="false"/>
          <w:sz w:val="20"/>
        </w:rPr>
        <w:t>”), which New Warrant shall in all other respects be identical with this Warrant. The Company shall cause the shares underlying the Warrant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purchased hereunder to be transmitted by the Transfer Agent to the Holder by the date that is one (1) Trading Day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one (1) Trading Day following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N.A., the Company’s transfer agent and registrar for the Common Stock, and any successor appointed in such capacity, or if none,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Y(A-B)/A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305"/>
        <w:gridCol w:w="390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sz w:val="20"/>
              </w:rPr>
            </w:pPr>
            <w:r>
              <w:rPr>
                <w:sz w:val="20"/>
              </w:rPr>
              <w:t>X =</w:t>
            </w:r>
          </w:p>
        </w:tc>
        <w:tc>
          <w:tcPr>
            <w:tcW w:w="3905" w:type="dxa"/>
            <w:tcBorders/>
            <w:vAlign w:val="center"/>
          </w:tcPr>
          <w:p>
            <w:pPr>
              <w:pStyle w:val="TableContents"/>
              <w:bidi w:val="0"/>
              <w:spacing w:before="0" w:after="283"/>
              <w:jc w:val="both"/>
              <w:rPr>
                <w:sz w:val="20"/>
              </w:rPr>
            </w:pPr>
            <w:r>
              <w:rPr>
                <w:sz w:val="20"/>
              </w:rPr>
              <w:t>the number of Shares to be issued to the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Y =</w:t>
            </w:r>
          </w:p>
        </w:tc>
        <w:tc>
          <w:tcPr>
            <w:tcW w:w="9856" w:type="dxa"/>
            <w:tcBorders/>
            <w:vAlign w:val="center"/>
          </w:tcPr>
          <w:p>
            <w:pPr>
              <w:pStyle w:val="TableContents"/>
              <w:bidi w:val="0"/>
              <w:spacing w:before="0" w:after="283"/>
              <w:jc w:val="both"/>
              <w:rPr/>
            </w:pPr>
            <w:r>
              <w:rPr/>
              <w:t>the number of Shares with respect to which this Warrant is being exercised (inclusive of the Shares surrendered to the Company in payment of the aggregate Warrant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84"/>
        <w:gridCol w:w="9774"/>
      </w:tblGrid>
      <w:tr>
        <w:trPr/>
        <w:tc>
          <w:tcPr>
            <w:tcW w:w="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20"/>
              </w:rPr>
            </w:pPr>
            <w:r>
              <w:rPr>
                <w:sz w:val="20"/>
              </w:rPr>
              <w:t>A =</w:t>
            </w:r>
          </w:p>
        </w:tc>
        <w:tc>
          <w:tcPr>
            <w:tcW w:w="9774" w:type="dxa"/>
            <w:tcBorders/>
            <w:vAlign w:val="center"/>
          </w:tcPr>
          <w:p>
            <w:pPr>
              <w:pStyle w:val="TableContents"/>
              <w:bidi w:val="0"/>
              <w:spacing w:before="0" w:after="283"/>
              <w:jc w:val="both"/>
              <w:rPr/>
            </w:pPr>
            <w:r>
              <w:rPr>
                <w:sz w:val="20"/>
              </w:rPr>
              <w:t>the fair market value (as</w:t>
            </w:r>
            <w:r>
              <w:rPr/>
              <w:t xml:space="preserve"> determined pursuant to Section 1.3 below) of one Share; and</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305"/>
        <w:gridCol w:w="147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sz w:val="20"/>
              </w:rPr>
            </w:pPr>
            <w:r>
              <w:rPr>
                <w:sz w:val="20"/>
              </w:rPr>
              <w:t>B =</w:t>
            </w:r>
          </w:p>
        </w:tc>
        <w:tc>
          <w:tcPr>
            <w:tcW w:w="1475" w:type="dxa"/>
            <w:tcBorders/>
            <w:vAlign w:val="center"/>
          </w:tcPr>
          <w:p>
            <w:pPr>
              <w:pStyle w:val="TableContents"/>
              <w:bidi w:val="0"/>
              <w:spacing w:before="0" w:after="283"/>
              <w:jc w:val="both"/>
              <w:rPr>
                <w:sz w:val="20"/>
              </w:rPr>
            </w:pPr>
            <w:r>
              <w:rPr>
                <w:sz w:val="20"/>
              </w:rPr>
              <w:t>the Warrant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If shares of the Class are then traded or quoted on a nationally recognized securities exchange, inter-dealer quotation system or over-the-counter market (a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the fair market value of a Share shall be the closing price or last sale price of a share of the Class reported for the Business Day (as defined below)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Delivery of New Warrant</w:t>
      </w:r>
      <w:r>
        <w:rPr>
          <w:rFonts w:ascii="Times New Roman;Times;Serif" w:hAnsi="Times New Roman;Times;Serif"/>
          <w:b w:val="false"/>
          <w:i w:val="false"/>
          <w:caps w:val="false"/>
          <w:smallCaps w:val="false"/>
          <w:sz w:val="20"/>
        </w:rPr>
        <w:t>. Within a reasonable time after Holder exercises this Warrant in the manner set forth in Section 1.1 or 1.2 above, if this Warrant has not been fully exercised and has not expired, the Company shall deliver to Holder a New Warrant of like tenor representing the Shares not so acquired, which may be delivered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Replacement of Warrant</w:t>
      </w:r>
      <w:r>
        <w:rPr>
          <w:rFonts w:ascii="Times New Roman;Times;Serif" w:hAnsi="Times New Roman;Times;Serif"/>
          <w:b w:val="false"/>
          <w:i w:val="false"/>
          <w:caps w:val="false"/>
          <w:smallCaps w:val="false"/>
          <w:sz w:val="20"/>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Warrant Upon Acquisition of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For the purpose of this Warrant, “</w:t>
      </w:r>
      <w:r>
        <w:rPr>
          <w:rFonts w:ascii="Times New Roman;Times;Serif" w:hAnsi="Times New Roman;Times;Serif"/>
          <w:b/>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fifty percent (50%) of the Company’s (or the surviving or successor entity’s) outstanding voting power immediately after such merger, consolidation or reorganization (or, if such Company stockholders beneficially own greater than fifty percent (50%)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greater than fifty percent (50%) of the Company’s then-total outstanding combined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Warrant at Acquisition</w:t>
      </w:r>
      <w:r>
        <w:rPr>
          <w:rFonts w:ascii="Times New Roman;Times;Serif" w:hAnsi="Times New Roman;Times;Serif"/>
          <w:b w:val="false"/>
          <w:i w:val="false"/>
          <w:caps w:val="false"/>
          <w:smallCaps w:val="false"/>
          <w:sz w:val="20"/>
        </w:rPr>
        <w:t>. In the event of an Acquisition and if Holder has not exercised this Warrant pursuant to Section 1 above as to all Shares, then, following such Acquisition, the Holder shall receive upon exercise hereof the kind and amount of securities, cash or other property which the Holder would have been entitled to receive (the “</w:t>
      </w:r>
      <w:r>
        <w:rPr>
          <w:rFonts w:ascii="Times New Roman;Times;Serif" w:hAnsi="Times New Roman;Times;Serif"/>
          <w:b/>
          <w:i w:val="false"/>
          <w:caps w:val="false"/>
          <w:smallCaps w:val="false"/>
          <w:sz w:val="20"/>
          <w:u w:val="single"/>
        </w:rPr>
        <w:t>Alternate Consideration</w:t>
      </w:r>
      <w:r>
        <w:rPr>
          <w:rFonts w:ascii="Times New Roman;Times;Serif" w:hAnsi="Times New Roman;Times;Serif"/>
          <w:b w:val="false"/>
          <w:i w:val="false"/>
          <w:caps w:val="false"/>
          <w:smallCaps w:val="false"/>
          <w:sz w:val="20"/>
        </w:rPr>
        <w:t>”) pursuant to such Acquisition if such exercise had taken place immediately prior to such Acquisition. In any such case, appropriate adjustment (as reasonably determined in good faith by the Board of Directors of the Company) shall be made in the application of the provisions set forth herein with respect to the rights and interests thereafter of the Holder, to the end that the provisions set forth herein (including provisions with respect to changes in and other adjustments of the Exercise Price) shall thereafter be applicable, as nearly as reasonably may be, in relation to any securities, cash or other property thereafter deliverable upon the exercise of this Warrant. The Company shall not effect any Acquisition in which the Company is not the surviving entity or the Alternate Consideration includes securities of another entity unless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(b) shall similarly apply to subsequent transactions analogous to an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Limitations on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[[9.99%]//[4.99%]] (the “</w:t>
      </w:r>
      <w:r>
        <w:rPr>
          <w:rFonts w:ascii="Times New Roman;Times;Serif" w:hAnsi="Times New Roman;Times;Serif"/>
          <w:b/>
          <w:i w:val="false"/>
          <w:caps w:val="false"/>
          <w:smallCaps w:val="false"/>
          <w:sz w:val="20"/>
          <w:u w:val="single"/>
        </w:rPr>
        <w:t>Maximum Percentage</w:t>
      </w:r>
      <w:r>
        <w:rPr>
          <w:rFonts w:ascii="Times New Roman;Times;Serif" w:hAnsi="Times New Roman;Times;Serif"/>
          <w:b w:val="false"/>
          <w:i w:val="false"/>
          <w:caps w:val="false"/>
          <w:smallCaps w:val="false"/>
          <w:sz w:val="20"/>
        </w:rPr>
        <w:t>”)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date hereof, (y) a more recent public announcement by the Company or (z) any other notice by the Company or the Transfer Agent setting forth the number of shares of Common Stock outstanding. Upon the written request of the Holder, the Company shall within one (1) Trading Day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will not be effective until the sixty-first (61st) day after such notice is delivered to the Company. For purposes of this Section 1.7,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plus the remaining unexercised and non-cancelled portion of this Warrant but taking into account the limitations on exercise contained herein, but shall exclude the number of shares of Common Stock which would otherwise be issuable upon exercise of the remaining unexercised and non-cancelled portion of this Warrant but for the limitations on exercise contained herein; and (y) the exercise or conversion of the unexercised, non-converted or non-cancelled portion of any other securities of the Company beneficially owned by the Holder or any of its Affiliates and other Persons who are members of a Section 13(d) group with such Holder or its Affiliates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shall exclude any such securities subject to any further limitation on conversion or exercise analogous to the limitation contained herein. This Section 1.7 shall not restrict the number of shares of Common Stock which a Holder may receive or beneficially own in order to determine the amount of securities or other consideration that such Holder may receive in the event of an Acquisition as contemplated in Section 1.6 of this Warrant. For purposes of clarity, the shares of Common Stock issuable pursuant to the terms of this Warrant in excess of the Maximum Percentage shall not be deemed to be beneficially owned by the Holder for any purpose including for purposes of Section 13(d) of the Exchange Act and the rules promulgated thereunder or Section 16 of the Exchange Act Rule 16a-1(a)(1) promulgated thereunder.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1.7 to the extent necessary to correct this paragraph or any portion of this paragraph which may be defective or inconsistent with the intended beneficial ownership limitation contained in this Section 1.7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ADJUSTMENTS TO THE SHARES AND 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Stock Dividends, Splits, Etc</w:t>
      </w:r>
      <w:r>
        <w:rPr>
          <w:rFonts w:ascii="Times New Roman;Times;Serif" w:hAnsi="Times New Roman;Times;Serif"/>
          <w:b w:val="false"/>
          <w:i w:val="false"/>
          <w:caps w:val="false"/>
          <w:smallCaps w:val="false"/>
          <w:sz w:val="20"/>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Reclassification, Exchange, Combinations or Substitution</w:t>
      </w:r>
      <w:r>
        <w:rPr>
          <w:rFonts w:ascii="Times New Roman;Times;Serif" w:hAnsi="Times New Roman;Times;Serif"/>
          <w:b w:val="false"/>
          <w:i w:val="false"/>
          <w:caps w:val="false"/>
          <w:smallCaps w:val="false"/>
          <w:sz w:val="20"/>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Adjustment for Cash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prior to the exercise in whole or expiration of this Warrant, pays a cash distribution to all holders of its Common Stock, then the number of Warrant Shares issuable upon the exercise of this Warrant shall be adjusted in accordance with the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371600" cy="4025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025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 the adjusted number of Warrant Shares issuable upon exercise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 the number of Warrant Shares then issuable upon exercise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 the fair market value (as determined pursuant to Section 1.3) per Share on the applicable record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the amount of cash or fair market value on the record date of the evidences of its indebtedness, assets, rights, warrants or other securities to be distributed in respect of one Share as determined in good faith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adjustment pursuant to this Section 2.3 shall be made successively whenever any such distribution is made and shall become effective immediately after the record date for the determination of holders entitled to receive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No Fractional Share</w:t>
      </w:r>
      <w:r>
        <w:rPr>
          <w:rFonts w:ascii="Times New Roman;Times;Serif" w:hAnsi="Times New Roman;Times;Serif"/>
          <w:b w:val="false"/>
          <w:i w:val="false"/>
          <w:caps w:val="false"/>
          <w:smallCaps w:val="false"/>
          <w:sz w:val="20"/>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Notice/Certificate as to Adjustments</w:t>
      </w:r>
      <w:r>
        <w:rPr>
          <w:rFonts w:ascii="Times New Roman;Times;Serif" w:hAnsi="Times New Roman;Times;Serif"/>
          <w:b w:val="false"/>
          <w:i w:val="false"/>
          <w:caps w:val="false"/>
          <w:smallCaps w:val="false"/>
          <w:sz w:val="20"/>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Holder will be entitled to acquire, upon the terms applicable to such Purchase Rights, the aggregate Purchase Rights which Holder could have acquired if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Holder’s right to participate in any such Purchase Right would result in Holder, its Affiliates and any Persons who are members of a Section 13(d) group with such Holder or its Affiliates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benefit of Holder until such time or times as its right thereto would not result in Holder, its Affiliates and any Persons who are members of a Section 13(d) group with such Holder or its Affiliates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Registration Under the Securities Act</w:t>
      </w:r>
      <w:r>
        <w:rPr>
          <w:rFonts w:ascii="Times New Roman;Times;Serif" w:hAnsi="Times New Roman;Times;Serif"/>
          <w:b w:val="false"/>
          <w:i w:val="false"/>
          <w:caps w:val="false"/>
          <w:smallCaps w:val="false"/>
          <w:sz w:val="20"/>
        </w:rPr>
        <w:t>. This Warrant, as initially issued by the Company, is offered and sold pursuant to the Registration Statement (as defined below). As of the Issue Date, the Warrant Shares are issuable under the Registration Statement. Accordingly, the Warrant and, assuming issuance pursuant to the Registration Statement or an exchange meeting the requirements of Section 3(a)(9) of the Exchange Act as in effect on the Issue Date, the Warrant Shares, are not “restricted securities” under Rule 144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S-3 (File No. 333-289399), which was declared effective by the Securities and Exchange Commission on August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No Voting Rights</w:t>
      </w:r>
      <w:r>
        <w:rPr>
          <w:rFonts w:ascii="Times New Roman;Times;Serif" w:hAnsi="Times New Roman;Times;Serif"/>
          <w:b w:val="false"/>
          <w:i w:val="false"/>
          <w:caps w:val="false"/>
          <w:smallCaps w:val="false"/>
          <w:sz w:val="20"/>
        </w:rPr>
        <w:t>. Holder, as a Holder of this Warrant, will not have any voting rights until the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the 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If the Company proposes at any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any dividend or distribution upon the outstanding shares of the Class, whether in cash, property, stock, or other securities and whether or not a regular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offer for subscription or sale pro rata to the holders of the outstanding shares of the Class any additional shares of any class or series of the Company’s stock (other than pursuant to contractual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 any reclassification, exchange, combination, substitution, reorganization or recapitalization of the outstanding shares of the Class;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effect an Acquisition or to liquidate, dissolve or wind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connection with each such event, the Company shall give Holder notice thereof at the same time and in the same manner as it gives notice thereof to holders of the outstanding shares of the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provide information requested by Holder from time to time, within a reasonable time following each such request, that is reasonably necessary to enable Holder to comply with Holder’s accounting or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the provisions of Section 1.6 above, this Warrant is exercisable in whole or in part at any time and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Compliance with Securities Laws on Transfer</w:t>
      </w:r>
      <w:r>
        <w:rPr>
          <w:rFonts w:ascii="Times New Roman;Times;Serif" w:hAnsi="Times New Roman;Times;Serif"/>
          <w:b w:val="false"/>
          <w:i w:val="false"/>
          <w:caps w:val="false"/>
          <w:smallCaps w:val="false"/>
          <w:sz w:val="20"/>
        </w:rPr>
        <w:t>. Subject to compliance with all applicable securities laws, the Company shall, or will cause its Transfer Agent to, record the transfer of all or any portion of this Warrant in its or their records, upon surrender of this Warrant, and payment for all applicable transfer taxes (if any). Upon any such registration or transfer, a New Warrant to purchase Common Stock in substantially the form of this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4.2. Until due presentment for registration of transfer, the Company may treat the registered Holder hereof as the owner and holder of this Warrant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from the Company to the Holder, or vice versa, shall be deemed delivered and effective (i) when given personally, (ii)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4.3. All notices to Holder shall be addressed as follows until the Company receives notice of a change of address in connection with a transfer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[____]</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the Company shall be addressed as follows until Holder receives notice of a change in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Thomas J. Danielski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Prudential Tower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02199</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This Warrant and any term hereof may be amended or otherwise changed, waived, discharged or terminated (either generally or in a particular instance and either retroactively or prospectively) only by an instrument in writing signed by the party against which enforcement of such amendment or other change, waiver, discharge or termination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Counterparts; Facsimile/Electronic Signatures</w:t>
      </w:r>
      <w:r>
        <w:rPr>
          <w:rFonts w:ascii="Times New Roman;Times;Serif" w:hAnsi="Times New Roman;Times;Serif"/>
          <w:b w:val="false"/>
          <w:i w:val="false"/>
          <w:caps w:val="false"/>
          <w:smallCaps w:val="false"/>
          <w:sz w:val="20"/>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or the enforcement of,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Warrant are for purposes of reference only and shall not limit or otherwise affect the meaning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Business Days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is any day that is not a Saturday, Sunday or a day on which the Nasdaq Capital Market and commercial banks in the City of New York are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GOVERNING LAW, VENUE, JURY TRIAL WAIVER, AND JUDICIAL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Warrant shall be governed by and construed in accordance with the laws of the Commonwealth of Massachusetts, without giving effect to its principles regarding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Jurisdiction and Venue</w:t>
      </w:r>
      <w:r>
        <w:rPr>
          <w:rFonts w:ascii="Times New Roman;Times;Serif" w:hAnsi="Times New Roman;Times;Serif"/>
          <w:b w:val="false"/>
          <w:i w:val="false"/>
          <w:caps w:val="false"/>
          <w:smallCaps w:val="false"/>
          <w:sz w:val="20"/>
        </w:rPr>
        <w:t>. The Company and Holder each submit to the exclusive jurisdiction of the state and federal courts in the State of New York; provided, however, that nothing in this Warrant shall be deemed to operate to preclude Holder from bringing suit or taking other legal action in any other jurisdiction to enforce a judgment or other court order in favor of Holder. The Company expressly submits and consents in advance to such jurisdiction in any action or suit commenced in any such court, and the Company hereby waives any objection that it may have based upon lack of personal 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Section 4.3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Jury Trial Waiver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 THE FULLEST EXTENT PERMITTED BY APPLICABLE LAW, THE COMPANY AND HOLDER EACH WAIVE THEIR RIGHT TO A JURY TRIAL OF ANY CLAIM OR CAUSE OF ACTION ARISING OUT OF OR BASED UPON THIS WARRANT, INCLUDING CONTRACT, TORT, BREACH OF DUTY AND ALL OTHER CLAIMS. THIS WAIVER IS A MATERIAL INDUCEMENT FOR THE PARTIES’ AGREEMENT TO THIS WARRANT. EACH PARTY HAS REVIEWED THIS WAIVER WITH ITS COUNSEL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This Section 5 shall survive the termination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left blank intentionally]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Warrant to Purchase Stock to be executed by their duly authorized representatives effective as of the Issue Date written above.</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5"/>
        <w:gridCol w:w="3080"/>
        <w:gridCol w:w="75"/>
      </w:tblGrid>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Paterson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Holder hereby exercises its right to purchase ___________ shares of the Common Stock of Verastem, Inc.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in accordance with the attached Pre-Funded Warrant To Purchase Stock (the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and tenders payment of the aggregate Warrant Price for such shares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Wire transfer of immediately available funds to the Company’s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Cashless Exercise pursuant to Section 1.2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Other [Describe] 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Please deliver to the Holder Shares in accordance with the terms of the Warrant. The Warrant Shares shall be delivered to the following DWAC Account Number:________________.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1.7 of the Warrant to which this notice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have the respective meanings set forth in the Warrant.</w:t>
      </w:r>
    </w:p>
    <w:p>
      <w:pPr>
        <w:pStyle w:val="TextBody"/>
        <w:bidi w:val="0"/>
        <w:spacing w:before="0" w:after="0"/>
        <w:ind w:left="0" w:right="0" w:hanging="0"/>
        <w:jc w:val="left"/>
        <w:rPr>
          <w:caps w:val="false"/>
          <w:smallCaps w:val="false"/>
        </w:rPr>
      </w:pPr>
      <w:r>
        <w:rPr>
          <w:caps w:val="false"/>
          <w:smallCaps w:val="false"/>
        </w:rPr>
        <w:t> </w:t>
      </w:r>
    </w:p>
    <w:tbl>
      <w:tblPr>
        <w:tblW w:w="949" w:type="dxa"/>
        <w:jc w:val="left"/>
        <w:tblInd w:w="0" w:type="dxa"/>
        <w:tblLayout w:type="fixed"/>
        <w:tblCellMar>
          <w:top w:w="0" w:type="dxa"/>
          <w:left w:w="0" w:type="dxa"/>
          <w:bottom w:w="0" w:type="dxa"/>
          <w:right w:w="0" w:type="dxa"/>
        </w:tblCellMar>
      </w:tblPr>
      <w:tblGrid>
        <w:gridCol w:w="75"/>
        <w:gridCol w:w="756"/>
        <w:gridCol w:w="118"/>
      </w:tblGrid>
      <w:tr>
        <w:trPr/>
        <w:tc>
          <w:tcPr>
            <w:tcW w:w="75"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75"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7537d6_ex4-1.htm"/>
      <w:bookmarkStart w:id="26" w:name="kstm2627537d6_ex41"/>
      <w:bookmarkEnd w:id="25"/>
      <w:bookmarkEnd w:id="26"/>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 TO PURCHASE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Verastem, Inc.,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 No. </w:t>
      </w:r>
      <w:r>
        <w:rPr>
          <w:rFonts w:ascii="Times New Roman;Times;Serif" w:hAnsi="Times New Roman;Times;Serif"/>
          <w:b w:val="false"/>
          <w:i w:val="false"/>
          <w:caps w:val="false"/>
          <w:smallCaps w:val="false"/>
          <w:sz w:val="20"/>
        </w:rPr>
        <w:t>[___]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Shares:</w:t>
      </w:r>
      <w:r>
        <w:rPr>
          <w:rFonts w:ascii="Times New Roman;Times;Serif" w:hAnsi="Times New Roman;Times;Serif"/>
          <w:b w:val="false"/>
          <w:i w:val="false"/>
          <w:caps w:val="false"/>
          <w:smallCaps w:val="false"/>
          <w:sz w:val="20"/>
        </w:rPr>
        <w:t xml:space="preserve"> [___], subject to adjustment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Type/Series of Stock:</w:t>
      </w:r>
      <w:r>
        <w:rPr>
          <w:rFonts w:ascii="Times New Roman;Times;Serif" w:hAnsi="Times New Roman;Times;Serif"/>
          <w:b w:val="false"/>
          <w:i w:val="false"/>
          <w:caps w:val="false"/>
          <w:smallCaps w:val="false"/>
          <w:sz w:val="20"/>
        </w:rPr>
        <w:t xml:space="preserve"> Common Stock, $0.0001 par value per share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xml:space="preserv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CERTIFIES THAT, for good and valuable consideration, [___] (together with any successor or permitted assignee or transferee of this warrant to purchase stock (this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or of any shares issued upon exercise hereof,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at any time on or after the above-referenced Issue Date, to purchase up to the above-stated number of fully paid and non-assessable shares (the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of the above-stated Type/Series of Stock (the “</w:t>
      </w:r>
      <w:r>
        <w:rPr>
          <w:rFonts w:ascii="Times New Roman;Times;Serif" w:hAnsi="Times New Roman;Times;Serif"/>
          <w:b/>
          <w:i w:val="false"/>
          <w:caps w:val="false"/>
          <w:smallCaps w:val="false"/>
          <w:sz w:val="20"/>
          <w:u w:val="single"/>
        </w:rPr>
        <w:t>Class</w:t>
      </w:r>
      <w:r>
        <w:rPr>
          <w:rFonts w:ascii="Times New Roman;Times;Serif" w:hAnsi="Times New Roman;Times;Serif"/>
          <w:b w:val="false"/>
          <w:i w:val="false"/>
          <w:caps w:val="false"/>
          <w:smallCaps w:val="false"/>
          <w:sz w:val="20"/>
        </w:rPr>
        <w:t>”) of the above-named company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until this Warrant is exercised in full, all as set forth above and as adjusted pursuant to Section 2 of this Warrant, subject to the provisions and upon the terms and conditions set forth in this Warrant. The aggregate exercise price of this Warrant of $[___], except for a nominal exercise price of $0.0001 per Warrant Share (as defined below), was paid to the Company on or prior to the date of issuance of this Warrant, and consequently, no additional consideration (other than the nominal exercise price of $0.0001 per Warrant Share) shall be required to be paid by Holder to effect any exercise of this Warrant. Holder shall not be entitled to return or refund of all, or any portion, of such prepaid aggregate exercise price under any circumstance or for any reason whatsoever. The remaining unpaid exercise price per share of Common Stock under this Warrant shall be $0.0001, subject to adjustment as provided herein (the “</w:t>
      </w:r>
      <w:r>
        <w:rPr>
          <w:rFonts w:ascii="Times New Roman;Times;Serif" w:hAnsi="Times New Roman;Times;Serif"/>
          <w:b/>
          <w:i w:val="false"/>
          <w:caps w:val="false"/>
          <w:smallCaps w:val="false"/>
          <w:sz w:val="20"/>
          <w:u w:val="single"/>
        </w:rPr>
        <w:t>Warrant Price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Method of Exercise; Delivery of Warrant Shares</w:t>
      </w:r>
      <w:r>
        <w:rPr>
          <w:rFonts w:ascii="Times New Roman;Times;Serif" w:hAnsi="Times New Roman;Times;Serif"/>
          <w:b w:val="false"/>
          <w:i w:val="false"/>
          <w:caps w:val="false"/>
          <w:smallCaps w:val="false"/>
          <w:sz w:val="20"/>
        </w:rPr>
        <w:t xml:space="preserve">. Holder may at any time and from time to time exercise this Warrant, in whole or in part, by delivering to the Company the original of this Warrant together with a duly executed Notice of Exercise in substantially the form attached hereto as </w:t>
      </w:r>
      <w:r>
        <w:rPr>
          <w:rFonts w:ascii="Times New Roman;Times;Serif" w:hAnsi="Times New Roman;Times;Serif"/>
          <w:b w:val="false"/>
          <w:i w:val="false"/>
          <w:caps w:val="false"/>
          <w:smallCaps w:val="false"/>
          <w:sz w:val="20"/>
          <w:u w:val="single"/>
        </w:rPr>
        <w:t>Appendix 1</w:t>
      </w:r>
      <w:r>
        <w:rPr>
          <w:rFonts w:ascii="Times New Roman;Times;Serif" w:hAnsi="Times New Roman;Times;Serif"/>
          <w:b w:val="false"/>
          <w:i w:val="false"/>
          <w:caps w:val="false"/>
          <w:smallCaps w:val="false"/>
          <w:sz w:val="20"/>
        </w:rPr>
        <w:t xml:space="preserve"> and, unless Holder is exercising this Warrant pursuant to a cashless exercise set forth in Section 1.2, wire transfer of same-day funds (to an account designated by the Company), or other form of payment acceptable to the Company for the aggregate Warrant Price for the Shares being purchased (such date of delivery, the “</w:t>
      </w:r>
      <w:r>
        <w:rPr>
          <w:rFonts w:ascii="Times New Roman;Times;Serif" w:hAnsi="Times New Roman;Times;Serif"/>
          <w:b/>
          <w:i w:val="false"/>
          <w:caps w:val="false"/>
          <w:smallCaps w:val="false"/>
          <w:sz w:val="20"/>
          <w:u w:val="single"/>
        </w:rPr>
        <w:t>Exercise Date</w:t>
      </w:r>
      <w:r>
        <w:rPr>
          <w:rFonts w:ascii="Times New Roman;Times;Serif" w:hAnsi="Times New Roman;Times;Serif"/>
          <w:b w:val="false"/>
          <w:i w:val="false"/>
          <w:caps w:val="false"/>
          <w:smallCaps w:val="false"/>
          <w:sz w:val="20"/>
        </w:rPr>
        <w:t>”).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nor shall Holder be required to surrender or deliver a paper or other physical copy of this Warrant in connection with any exercise hereof. Execution and delivery of the Exercise Notice shall have the same effect as cancellation of the original Warrant and issuance of a new warrant evidencing the right to purchase the remaining number of Warrant Shares (any such new warrant, a “</w:t>
      </w:r>
      <w:r>
        <w:rPr>
          <w:rFonts w:ascii="Times New Roman;Times;Serif" w:hAnsi="Times New Roman;Times;Serif"/>
          <w:b/>
          <w:i w:val="false"/>
          <w:caps w:val="false"/>
          <w:smallCaps w:val="false"/>
          <w:sz w:val="20"/>
          <w:u w:val="single"/>
        </w:rPr>
        <w:t>New Warrant</w:t>
      </w:r>
      <w:r>
        <w:rPr>
          <w:rFonts w:ascii="Times New Roman;Times;Serif" w:hAnsi="Times New Roman;Times;Serif"/>
          <w:b w:val="false"/>
          <w:i w:val="false"/>
          <w:caps w:val="false"/>
          <w:smallCaps w:val="false"/>
          <w:sz w:val="20"/>
        </w:rPr>
        <w:t>”), which New Warrant shall in all other respects be identical with this Warrant. The Company shall cause the shares underlying the Warrant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purchased hereunder to be transmitted by the Transfer Agent to the Holder by the date that is one (1) Trading Day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one (1) Trading Day following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Computershare Trust Company, N.A., the Company’s transfer agent and registrar for the Common Stock, and any successor appointed in such capacity, or if none,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Y(A-B)/A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350"/>
        <w:gridCol w:w="45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both"/>
              <w:rPr>
                <w:sz w:val="20"/>
              </w:rPr>
            </w:pPr>
            <w:r>
              <w:rPr>
                <w:sz w:val="20"/>
              </w:rPr>
              <w:t xml:space="preserve">X = </w:t>
            </w:r>
          </w:p>
        </w:tc>
        <w:tc>
          <w:tcPr>
            <w:tcW w:w="4580" w:type="dxa"/>
            <w:tcBorders/>
            <w:vAlign w:val="center"/>
          </w:tcPr>
          <w:p>
            <w:pPr>
              <w:pStyle w:val="TableContents"/>
              <w:bidi w:val="0"/>
              <w:spacing w:before="0" w:after="283"/>
              <w:jc w:val="both"/>
              <w:rPr/>
            </w:pPr>
            <w:r>
              <w:rPr/>
              <w:t>the number of Shares to be issued to the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Y =</w:t>
            </w:r>
          </w:p>
        </w:tc>
        <w:tc>
          <w:tcPr>
            <w:tcW w:w="9856" w:type="dxa"/>
            <w:tcBorders/>
            <w:vAlign w:val="center"/>
          </w:tcPr>
          <w:p>
            <w:pPr>
              <w:pStyle w:val="TableContents"/>
              <w:bidi w:val="0"/>
              <w:spacing w:before="0" w:after="283"/>
              <w:jc w:val="both"/>
              <w:rPr/>
            </w:pPr>
            <w:r>
              <w:rPr/>
              <w:t>the number of Shares with respect to which this Warrant is being exercised (inclusive of the Shares surrendered to the Company in payment of the aggregate Warrant Price);</w:t>
            </w:r>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30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20"/>
              </w:rPr>
            </w:pPr>
            <w:r>
              <w:rPr>
                <w:sz w:val="20"/>
              </w:rPr>
              <w:t>A =</w:t>
            </w:r>
          </w:p>
        </w:tc>
        <w:tc>
          <w:tcPr>
            <w:tcW w:w="7760" w:type="dxa"/>
            <w:tcBorders/>
            <w:vAlign w:val="center"/>
          </w:tcPr>
          <w:p>
            <w:pPr>
              <w:pStyle w:val="TableContents"/>
              <w:bidi w:val="0"/>
              <w:spacing w:before="0" w:after="283"/>
              <w:jc w:val="both"/>
              <w:rPr/>
            </w:pPr>
            <w:r>
              <w:rPr>
                <w:sz w:val="20"/>
              </w:rPr>
              <w:t>the fair market value (as</w:t>
            </w:r>
            <w:r>
              <w:rPr/>
              <w:t xml:space="preserve"> determined pursuant to Section 1.3 below) of one Share; and</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305"/>
        <w:gridCol w:w="174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sz w:val="20"/>
              </w:rPr>
            </w:pPr>
            <w:r>
              <w:rPr>
                <w:sz w:val="20"/>
              </w:rPr>
              <w:t>B =</w:t>
            </w:r>
          </w:p>
        </w:tc>
        <w:tc>
          <w:tcPr>
            <w:tcW w:w="1745" w:type="dxa"/>
            <w:tcBorders/>
            <w:vAlign w:val="center"/>
          </w:tcPr>
          <w:p>
            <w:pPr>
              <w:pStyle w:val="TableContents"/>
              <w:bidi w:val="0"/>
              <w:spacing w:before="0" w:after="283"/>
              <w:jc w:val="both"/>
              <w:rPr/>
            </w:pPr>
            <w:r>
              <w:rPr/>
              <w:t>the Warrant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If shares of the Class are then traded or quoted on a nationally recognized securities exchange, inter-dealer quotation system or over-the-counter market (a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the fair market value of a Share shall be the closing price or last sale price of a share of the Class reported for the Business Day (as defined below)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Delivery of New Warrant</w:t>
      </w:r>
      <w:r>
        <w:rPr>
          <w:rFonts w:ascii="Times New Roman;Times;Serif" w:hAnsi="Times New Roman;Times;Serif"/>
          <w:b w:val="false"/>
          <w:i w:val="false"/>
          <w:caps w:val="false"/>
          <w:smallCaps w:val="false"/>
          <w:sz w:val="20"/>
        </w:rPr>
        <w:t>. Within a reasonable time after Holder exercises this Warrant in the manner set forth in Section 1.1 or 1.2 above, if this Warrant has not been fully exercised and has not expired, the Company shall deliver to Holder a New Warrant of like tenor representing the Shares not so acquired, which may be delivered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Replacement of Warrant</w:t>
      </w:r>
      <w:r>
        <w:rPr>
          <w:rFonts w:ascii="Times New Roman;Times;Serif" w:hAnsi="Times New Roman;Times;Serif"/>
          <w:b w:val="false"/>
          <w:i w:val="false"/>
          <w:caps w:val="false"/>
          <w:smallCaps w:val="false"/>
          <w:sz w:val="20"/>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Warrant Upon Acquisition of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For the purpose of this Warrant, “</w:t>
      </w:r>
      <w:r>
        <w:rPr>
          <w:rFonts w:ascii="Times New Roman;Times;Serif" w:hAnsi="Times New Roman;Times;Serif"/>
          <w:b/>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fifty percent (50%) of the Company’s (or the surviving or successor entity’s) outstanding voting power immediately after such merger, consolidation or reorganization (or, if such Company stockholders beneficially own greater than fifty percent (50%)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greater than fifty percent (50%) of the Company’s then-total outstanding combined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Warrant at Acquisition</w:t>
      </w:r>
      <w:r>
        <w:rPr>
          <w:rFonts w:ascii="Times New Roman;Times;Serif" w:hAnsi="Times New Roman;Times;Serif"/>
          <w:b w:val="false"/>
          <w:i w:val="false"/>
          <w:caps w:val="false"/>
          <w:smallCaps w:val="false"/>
          <w:sz w:val="20"/>
        </w:rPr>
        <w:t>. In the event of an Acquisition and if Holder has not exercised this Warrant pursuant to Section 1 above as to all Shares, then, following such Acquisition, the Holder shall receive upon exercise hereof the kind and amount of securities, cash or other property which the Holder would have been entitled to receive (the “</w:t>
      </w:r>
      <w:r>
        <w:rPr>
          <w:rFonts w:ascii="Times New Roman;Times;Serif" w:hAnsi="Times New Roman;Times;Serif"/>
          <w:b/>
          <w:i w:val="false"/>
          <w:caps w:val="false"/>
          <w:smallCaps w:val="false"/>
          <w:sz w:val="20"/>
          <w:u w:val="single"/>
        </w:rPr>
        <w:t>Alternate Consideration</w:t>
      </w:r>
      <w:r>
        <w:rPr>
          <w:rFonts w:ascii="Times New Roman;Times;Serif" w:hAnsi="Times New Roman;Times;Serif"/>
          <w:b w:val="false"/>
          <w:i w:val="false"/>
          <w:caps w:val="false"/>
          <w:smallCaps w:val="false"/>
          <w:sz w:val="20"/>
        </w:rPr>
        <w:t>”) pursuant to such Acquisition if such exercise had taken place immediately prior to such Acquisition. In any such case, appropriate adjustment (as reasonably determined in good faith by the Board of Directors of the Company) shall be made in the application of the provisions set forth herein with respect to the rights and interests thereafter of the Holder, to the end that the provisions set forth herein (including provisions with respect to changes in and other adjustments of the Exercise Price) shall thereafter be applicable, as nearly as reasonably may be, in relation to any securities, cash or other property thereafter deliverable upon the exercise of this Warrant. The Company shall not effect any Acquisition in which the Company is not the surviving entity or the Alternate Consideration includes securities of another entity unless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(b) shall similarly apply to subsequent transactions analogous to an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Limitations on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[[9.99%]//[4.99%]] (the “</w:t>
      </w:r>
      <w:r>
        <w:rPr>
          <w:rFonts w:ascii="Times New Roman;Times;Serif" w:hAnsi="Times New Roman;Times;Serif"/>
          <w:b/>
          <w:i w:val="false"/>
          <w:caps w:val="false"/>
          <w:smallCaps w:val="false"/>
          <w:sz w:val="20"/>
          <w:u w:val="single"/>
        </w:rPr>
        <w:t>Maximum Percentage</w:t>
      </w:r>
      <w:r>
        <w:rPr>
          <w:rFonts w:ascii="Times New Roman;Times;Serif" w:hAnsi="Times New Roman;Times;Serif"/>
          <w:b w:val="false"/>
          <w:i w:val="false"/>
          <w:caps w:val="false"/>
          <w:smallCaps w:val="false"/>
          <w:sz w:val="20"/>
        </w:rPr>
        <w:t>”)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filed with the Commission prior to the date hereof, (y) a more recent public announcement by the Company or (z) any other notice by the Company or the Transfer Agent setting forth the number of shares of Common Stock outstanding. Upon the written request of the Holder, the Company shall within one (1) Trading Day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will not be effective until the sixty-first (61st) day after such notice is delivered to the Company. For purposes of this Section 1.7, the aggregate number of shares of Common Stock or voting securities beneficially owned by the Holder and its Affiliates and any other Persons who are members of a Section 13(d) group with such Holder or its Affiliates shall include the shares of Common Stock issuable upon: (x) the exercise of this Warrant with respect to which such determination is being made plus the remaining unexercised and non-cancelled portion of this Warrant but taking into account the limitations on exercise contained herein, but shall exclude the number of shares of Common Stock which would otherwise be issuable upon exercise of the remaining unexercised and non-cancelled portion of this Warrant but for the limitations on exercise contained herein; and (y) the exercise or conversion of the unexercised, non-converted or non-cancelled portion of any other securities of the Company beneficially owned by the Holder or any of its Affiliates and other Persons who are members of a Section 13(d) group with such Holder or its Affiliates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shall exclude any such securities subject to any further limitation on conversion or exercise analogous to the limitation contained herein. This Section 1.7 shall not restrict the number of shares of Common Stock which a Holder may receive or beneficially own in order to determine the amount of securities or other consideration that such Holder may receive in the event of an Acquisition as contemplated in Section 1.6 of this Warrant. For purposes of clarity, the shares of Common Stock issuable pursuant to the terms of this Warrant in excess of the Maximum Percentage shall not be deemed to be beneficially owned by the Holder for any purpose including for purposes of Section 13(d) of the Exchange Act and the rules promulgated thereunder or Section 16 of the Exchange Act Rule 16a-1(a)(1) promulgated thereunder.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1.7 to the extent necessary to correct this paragraph or any portion of this paragraph which may be defective or inconsistent with the intended beneficial ownership limitation contained in this Section 1.7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ADJUSTMENTS TO THE SHARES AND 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Stock Dividends, Splits, Etc</w:t>
      </w:r>
      <w:r>
        <w:rPr>
          <w:rFonts w:ascii="Times New Roman;Times;Serif" w:hAnsi="Times New Roman;Times;Serif"/>
          <w:b w:val="false"/>
          <w:i w:val="false"/>
          <w:caps w:val="false"/>
          <w:smallCaps w:val="false"/>
          <w:sz w:val="20"/>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Reclassification, Exchange, Combinations or Substitution</w:t>
      </w:r>
      <w:r>
        <w:rPr>
          <w:rFonts w:ascii="Times New Roman;Times;Serif" w:hAnsi="Times New Roman;Times;Serif"/>
          <w:b w:val="false"/>
          <w:i w:val="false"/>
          <w:caps w:val="false"/>
          <w:smallCaps w:val="false"/>
          <w:sz w:val="20"/>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Adjustment for Cash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the Company, prior to the exercise in whole or expiration of this Warrant, pays a cash distribution to all holders of its Common Stock, then the number of Warrant Shares issuable upon the exercise of this Warrant shall be adjusted in accordance with the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371600" cy="4114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41148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 the adjusted number of Warrant Shares issuable upon exercise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 the number of Warrant Shares then issuable upon exercise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 the fair market value (as determined pursuant to Section 1.3) per Share on the applicable record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the amount of cash or fair market value on the record date of the evidences of its indebtedness, assets, rights, warrants or other securities to be distributed in respect of one Share as determined in good faith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adjustment pursuant to this Section 2.3 shall be made successively whenever any such distribution is made and shall become effective immediately after the record date for the determination of holders entitled to receive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No Fractional Share</w:t>
      </w:r>
      <w:r>
        <w:rPr>
          <w:rFonts w:ascii="Times New Roman;Times;Serif" w:hAnsi="Times New Roman;Times;Serif"/>
          <w:b w:val="false"/>
          <w:i w:val="false"/>
          <w:caps w:val="false"/>
          <w:smallCaps w:val="false"/>
          <w:sz w:val="20"/>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Notice/Certificate as to Adjustments</w:t>
      </w:r>
      <w:r>
        <w:rPr>
          <w:rFonts w:ascii="Times New Roman;Times;Serif" w:hAnsi="Times New Roman;Times;Serif"/>
          <w:b w:val="false"/>
          <w:i w:val="false"/>
          <w:caps w:val="false"/>
          <w:smallCaps w:val="false"/>
          <w:sz w:val="20"/>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Holder will be entitled to acquire, upon the terms applicable to such Purchase Rights, the aggregate Purchase Rights which Holder could have acquired if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Holder’s right to participate in any such Purchase Right would result in Holder, its Affiliates and any Persons who are members of a Section 13(d) group with such Holder or its Affiliates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benefit of Holder until such time or times as its right thereto would not result in Holder, its Affiliates and any Persons who are members of a Section 13(d) group with such Holder or its Affiliates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Registration Under the Securities Act</w:t>
      </w:r>
      <w:r>
        <w:rPr>
          <w:rFonts w:ascii="Times New Roman;Times;Serif" w:hAnsi="Times New Roman;Times;Serif"/>
          <w:b w:val="false"/>
          <w:i w:val="false"/>
          <w:caps w:val="false"/>
          <w:smallCaps w:val="false"/>
          <w:sz w:val="20"/>
        </w:rPr>
        <w:t>. This Warrant, as initially issued by the Company, is offered and sold pursuant to the Registration Statement (as defined below). As of the Issue Date, the Warrant Shares are issuable under the Registration Statement. Accordingly, the Warrant and, assuming issuance pursuant to the Registration Statement or an exchange meeting the requirements of Section 3(a)(9) of the Exchange Act as in effect on the Issue Date, the Warrant Shares, are not “restricted securities” under Rule 144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registration statement on Form S-3 (File No. 333-289399), which was declared effective by the Securities and Exchange Commission on August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No Voting Rights</w:t>
      </w:r>
      <w:r>
        <w:rPr>
          <w:rFonts w:ascii="Times New Roman;Times;Serif" w:hAnsi="Times New Roman;Times;Serif"/>
          <w:b w:val="false"/>
          <w:i w:val="false"/>
          <w:caps w:val="false"/>
          <w:smallCaps w:val="false"/>
          <w:sz w:val="20"/>
        </w:rPr>
        <w:t>. Holder, as a Holder of this Warrant, will not have any voting rights until the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the 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If the Company proposes at any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any dividend or distribution upon the outstanding shares of the Class, whether in cash, property, stock, or other securities and whether or not a regular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offer for subscription or sale pro rata to the holders of the outstanding shares of the Class any additional shares of any class or series of the Company’s stock (other than pursuant to contractual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 any reclassification, exchange, combination, substitution, reorganization or recapitalization of the outstanding shares of the Class;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effect an Acquisition or to liquidate, dissolve or wind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connection with each such event, the Company shall give Holder notice thereof at the same time and in the same manner as it gives notice thereof to holders of the outstanding shares of the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also provide information requested by Holder from time to time, within a reasonable time following each such request, that is reasonably necessary to enable Holder to comply with Holder’s accounting or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the provisions of Section 1.6 above, this Warrant is exercisable in whole or in part at any time and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Compliance with Securities Laws on Transfer</w:t>
      </w:r>
      <w:r>
        <w:rPr>
          <w:rFonts w:ascii="Times New Roman;Times;Serif" w:hAnsi="Times New Roman;Times;Serif"/>
          <w:b w:val="false"/>
          <w:i w:val="false"/>
          <w:caps w:val="false"/>
          <w:smallCaps w:val="false"/>
          <w:sz w:val="20"/>
        </w:rPr>
        <w:t>. Subject to compliance with all applicable securities laws, the Company shall, or will cause its Transfer Agent to, record the transfer of all or any portion of this Warrant in its or their records, upon surrender of this Warrant, and payment for all applicable transfer taxes (if any). Upon any such registration or transfer, a New Warrant to purchase Common Stock in substantially the form of this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4.2. Until due presentment for registration of transfer, the Company may treat the registered Holder hereof as the owner and holder of this Warrant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from the Company to the Holder, or vice versa, shall be deemed delivered and effective (i) when given personally, (ii)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4.3. All notices to Holder shall be addressed as follows until the Company receives notice of a change of address in connection with a transfer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[____]</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the Company shall be addressed as follows until Holder receives notice of a change in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Financial Officer</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 02494</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Thomas J. Danielski</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Prudential Tower</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02199</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This Warrant and any term hereof may be amended or otherwise changed, waived, discharged or terminated (either generally or in a particular instance and either retroactively or prospectively) only by an instrument in writing signed by the party against which enforcement of such amendment or other change, waiver, discharge or termination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Counterparts; Facsimile/Electronic Signatures</w:t>
      </w:r>
      <w:r>
        <w:rPr>
          <w:rFonts w:ascii="Times New Roman;Times;Serif" w:hAnsi="Times New Roman;Times;Serif"/>
          <w:b w:val="false"/>
          <w:i w:val="false"/>
          <w:caps w:val="false"/>
          <w:smallCaps w:val="false"/>
          <w:sz w:val="20"/>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or the enforcement of,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Warrant are for purposes of reference only and shall not limit or otherwise affect the meaning of any provision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Business Days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is any day that is not a Saturday, Sunday or a day on which the Nasdaq Capital Market and commercial banks in the City of New York are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GOVERNING LAW, VENUE, JURY TRIAL WAIVER, AND JUDICIAL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Warrant shall be governed by and construed in accordance with the laws of the Commonwealth of Massachusetts, without giving effect to its principles regarding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Jurisdiction and Venue</w:t>
      </w:r>
      <w:r>
        <w:rPr>
          <w:rFonts w:ascii="Times New Roman;Times;Serif" w:hAnsi="Times New Roman;Times;Serif"/>
          <w:b w:val="false"/>
          <w:i w:val="false"/>
          <w:caps w:val="false"/>
          <w:smallCaps w:val="false"/>
          <w:sz w:val="20"/>
        </w:rPr>
        <w:t>. The Company and Holder each submit to the exclusive jurisdiction of the state and federal courts in the State of New York; provided, however, that nothing in this Warrant shall be deemed to operate to preclude Holder from bringing suit or taking other legal action in any other jurisdiction to enforce a judgment or other court order in favor of Holder. The Company expressly submits and consents in advance to such jurisdiction in any action or suit commenced in any such court, and the Company hereby waives any objection that it may have based upon lack of personal 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Section 4.3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Jury Trial Waiver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 THE FULLEST EXTENT PERMITTED BY APPLICABLE LAW, THE COMPANY AND HOLDER EACH WAIVE THEIR RIGHT TO A JURY TRIAL OF ANY CLAIM OR CAUSE OF ACTION ARISING OUT OF OR BASED UPON THIS WARRANT, INCLUDING CONTRACT, TORT, BREACH OF DUTY AND ALL OTHER CLAIMS. THIS WAIVER IS A MATERIAL INDUCEMENT FOR THE PARTIES’ AGREEMENT TO THIS WARRANT. EACH PARTY HAS REVIEWED THIS WAIVER WITH ITS COUNSEL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This Section 5 shall survive the termination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left blank intentionally]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Warrant to Purchase Stock to be executed by their duly authorized representatives effective as of the Issue Date written above.</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5"/>
        <w:gridCol w:w="3080"/>
        <w:gridCol w:w="75"/>
      </w:tblGrid>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Paterson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Holder hereby exercises its right to purchase ___________ shares of the Common Stock of Verastem, Inc.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in accordance with the attached Pre-Funded Warrant To Purchase Stock (the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and tenders payment of the aggregate Warrant Price for such shares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Wire transfer of immediately available funds to the Company’s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Cashless Exercise pursuant to Section 1.2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Other [Describe] 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Please deliver to the Holder Shares in accordance with the terms of the Warrant. The Warrant Shares shall be delivered to the following DWAC Account Number:________________.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1.7 of the Warrant to which this notice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have the respective meanings set forth in the Warrant.</w:t>
      </w:r>
    </w:p>
    <w:p>
      <w:pPr>
        <w:pStyle w:val="TextBody"/>
        <w:bidi w:val="0"/>
        <w:spacing w:before="0" w:after="0"/>
        <w:ind w:left="0" w:right="0" w:hanging="0"/>
        <w:jc w:val="left"/>
        <w:rPr>
          <w:caps w:val="false"/>
          <w:smallCaps w:val="false"/>
        </w:rPr>
      </w:pPr>
      <w:r>
        <w:rPr>
          <w:caps w:val="false"/>
          <w:smallCaps w:val="false"/>
        </w:rPr>
        <w:t> </w:t>
      </w:r>
    </w:p>
    <w:tbl>
      <w:tblPr>
        <w:tblW w:w="949" w:type="dxa"/>
        <w:jc w:val="left"/>
        <w:tblInd w:w="0" w:type="dxa"/>
        <w:tblLayout w:type="fixed"/>
        <w:tblCellMar>
          <w:top w:w="0" w:type="dxa"/>
          <w:left w:w="0" w:type="dxa"/>
          <w:bottom w:w="0" w:type="dxa"/>
          <w:right w:w="0" w:type="dxa"/>
        </w:tblCellMar>
      </w:tblPr>
      <w:tblGrid>
        <w:gridCol w:w="75"/>
        <w:gridCol w:w="756"/>
        <w:gridCol w:w="118"/>
      </w:tblGrid>
      <w:tr>
        <w:trPr/>
        <w:tc>
          <w:tcPr>
            <w:tcW w:w="75"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r>
      <w:tr>
        <w:trPr/>
        <w:tc>
          <w:tcPr>
            <w:tcW w:w="75"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tm2627537d6_ex5-1.htm"/>
      <w:bookmarkStart w:id="28" w:name="kstm2627537d6_ex51"/>
      <w:bookmarkEnd w:id="27"/>
      <w:bookmarkEnd w:id="28"/>
      <w:r>
        <w:rPr>
          <w:b/>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81175"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81175" cy="800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Verastem,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Kendrick Street, Suite 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Needham, Massachusetts 02494</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365"/>
        <w:gridCol w:w="6860"/>
      </w:tblGrid>
      <w:tr>
        <w:trPr/>
        <w:tc>
          <w:tcPr>
            <w:tcW w:w="365" w:type="dxa"/>
            <w:tcBorders/>
            <w:vAlign w:val="center"/>
          </w:tcPr>
          <w:p>
            <w:pPr>
              <w:pStyle w:val="TableContents"/>
              <w:bidi w:val="0"/>
              <w:spacing w:before="0" w:after="283"/>
              <w:jc w:val="left"/>
              <w:rPr/>
            </w:pPr>
            <w:r>
              <w:rPr/>
              <w:t>Re:</w:t>
            </w:r>
          </w:p>
        </w:tc>
        <w:tc>
          <w:tcPr>
            <w:tcW w:w="6860" w:type="dxa"/>
            <w:tcBorders/>
            <w:vAlign w:val="center"/>
          </w:tcPr>
          <w:p>
            <w:pPr>
              <w:pStyle w:val="TableContents"/>
              <w:bidi w:val="0"/>
              <w:spacing w:before="0" w:after="283"/>
              <w:jc w:val="left"/>
              <w:rPr/>
            </w:pPr>
            <w:r>
              <w:rPr/>
              <w:t>Registration Statement on Form S-3 (File No. 333-289399),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Verastem, Inc., a Delaware corporation (the “Company”), in connection with the issuance and sale of (i) 30,937,500 shares of the Company’s common stock (“Common Stock”), $0.0001 par value per share (the “Shares”), and (ii) pre-funded warrants (the “Pre-Funded Warrants”) to purchase up to an aggregate of 312,503 shares of Common Stock (the “Pre-Funded Warrant Shares”); pursuant to the above-referenced registration statement (as amended through the date hereof, the “Registration Statement”), filed by the Company with the Securities and Exchange Commission (the “Commission”) under the Securities Act of 1933, as amended (the “Securities Act”). The Shares, and the Pre-Funded Warrants are being sold pursuant to an underwriting agreement, dated October 14, 2026 (the “Underwriting Agreement”), between the Company and the underwriters named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Delaware General Corporation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(i) the Shares have been duly authorized and, when issued and delivered pursuant to the Underwriting Agreement against payment of the consideration set forth therein, will be validly issued, fully paid and non-assessable, (ii) provided that the Pre-Funded Warrants have been duly executed and delivered by the Company and duly delivered to the purchaser thereof against payment therefor, then the Pre-Funded Warrants, when issued and sold as described in the prospectus supplement dated October 14, 2026 (the “Prospectus”), assuming a sufficient number of Pre-Funded Warrant Shares are at the time available for issuance, will be valid and legally binding obligations of the Company, enforceable against the Company in accordance with their respective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 and implied covenants of good faith and fair dealing, provided that we express no opinion as to the validity, legally binding effect or enforceability of any provision in the Pre-Funded Warrants that requires or relates to adjustments to the exercise price at a price or in an amount that a court would determine in the circumstances under applicable law to be commercially unreasonable or a penalty or forfeiture, and (iii) the Pre-Funded Warrant Shares, when issued upon exercise of the Pre-Funded Warrants in accordance with their respective terms, will have been duly authorized and validly issued and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90650"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90650" cy="171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1415"/>
        <w:gridCol w:w="410"/>
        <w:gridCol w:w="1700"/>
      </w:tblGrid>
      <w:tr>
        <w:trPr/>
        <w:tc>
          <w:tcPr>
            <w:tcW w:w="1415" w:type="dxa"/>
            <w:tcBorders/>
            <w:vAlign w:val="center"/>
          </w:tcPr>
          <w:p>
            <w:pPr>
              <w:pStyle w:val="TableContents"/>
              <w:bidi w:val="0"/>
              <w:spacing w:before="0" w:after="283"/>
              <w:jc w:val="left"/>
              <w:rPr/>
            </w:pPr>
            <w:r>
              <w:rPr/>
              <w:t>Verastem, Inc.</w:t>
            </w:r>
          </w:p>
        </w:tc>
        <w:tc>
          <w:tcPr>
            <w:tcW w:w="410" w:type="dxa"/>
            <w:tcBorders/>
            <w:vAlign w:val="center"/>
          </w:tcPr>
          <w:p>
            <w:pPr>
              <w:pStyle w:val="TableContents"/>
              <w:bidi w:val="0"/>
              <w:spacing w:before="0" w:after="283"/>
              <w:jc w:val="center"/>
              <w:rPr/>
            </w:pPr>
            <w:r>
              <w:rPr/>
              <w:t>- 2 -</w:t>
            </w:r>
          </w:p>
        </w:tc>
        <w:tc>
          <w:tcPr>
            <w:tcW w:w="1700" w:type="dxa"/>
            <w:tcBorders/>
            <w:vAlign w:val="center"/>
          </w:tcPr>
          <w:p>
            <w:pPr>
              <w:pStyle w:val="TableContents"/>
              <w:bidi w:val="0"/>
              <w:spacing w:before="0" w:after="283"/>
              <w:jc w:val="right"/>
              <w:rPr/>
            </w:pPr>
            <w:r>
              <w:rPr/>
              <w:t>October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your filing this opinion as an exhibit to a Current Report on Form 8-K to be incorporated by reference into the Registration Statement and to the use of our name therein and in the Prospectus under the caption “Legal Matters.”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firstLine="72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/s/ Ropes &amp; Gray LLP</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Ropes &amp; Gray LLP</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40763</Words>
  <Characters>215708</Characters>
  <CharactersWithSpaces>258831</CharactersWithSpaces>
  <Paragraphs>1633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