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963-1_4seq1.xml.htm"/>
      <w:bookmarkStart w:id="1" w:name="kstm262696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Calkins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VERASTEM,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 KENDRICK ST.,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Verastem, Inc.</w:t>
              </w:r>
            </w:hyperlink>
            <w:r>
              <w:rPr/>
              <w:t xml:space="preserve"> [ </w:t>
            </w:r>
            <w:r>
              <w:rPr>
                <w:rFonts w:ascii="Times;serif" w:hAnsi="Times;serif"/>
                <w:color w:val="0000FF"/>
                <w:sz w:val="24"/>
                <w:shd w:fill="FFFFFF" w:val="clear"/>
              </w:rPr>
              <w:t>VSTM</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8,333</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126,347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2,566</w:t>
            </w:r>
            <w:r>
              <w:rPr>
                <w:rFonts w:ascii="Times;serif" w:hAnsi="Times;serif"/>
                <w:color w:val="008000"/>
                <w:position w:val="7"/>
                <w:sz w:val="16"/>
                <w:sz w:val="20"/>
                <w:shd w:fill="FFFFFF" w:val="clear"/>
              </w:rPr>
              <w:t>(2)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123,781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were subject to a performance restricted stock units ("RSU") award that was granted on January 21, 2026. 106,893 RSUs vested on September 30, 2026, upon the Issuer's Compensation Committee of the board of directors determining the performance criteria related to certain clinical development goals had been achieved.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satisfy statutory withholding requirements in connection with the vesting of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Calkins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1861" TargetMode="External"/><Relationship Id="rId5" Type="http://schemas.openxmlformats.org/officeDocument/2006/relationships/hyperlink" Target="http://www.sec.gov/cgi-bin/browse-edgar?action=getcompany&amp;CIK=0001526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3548</Characters>
  <CharactersWithSpaces>4122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