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7537-5_424b5.htm"/>
        <w:bookmarkStart w:id="1" w:name="kstm26275375_424b5"/>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717" w:after="437"/>
        <w:ind w:left="1433" w:right="40" w:hanging="0"/>
        <w:jc w:val="right"/>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Filed Pursuant to Rule 424(b)(5)</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 xml:space="preserve"> Registration No. 333-289399 </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30,937,500 Shares of 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Pre-Funded Warrants to Purchase up to 312,503 Shares of 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280" w:after="283"/>
        <w:jc w:val="center"/>
        <w:rPr>
          <w:caps w:val="false"/>
          <w:smallCaps w:val="false"/>
          <w:color w:val="000000"/>
          <w:shd w:fill="FFFFFF" w:val="clear"/>
        </w:rPr>
      </w:pPr>
      <w:r>
        <w:rPr>
          <w:caps w:val="false"/>
          <w:smallCaps w:val="false"/>
          <w:color w:val="000000"/>
          <w:shd w:fill="FFFFFF" w:val="clear"/>
        </w:rPr>
        <w:drawing>
          <wp:inline distT="0" distB="0" distL="0" distR="0">
            <wp:extent cx="2790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90825" cy="628650"/>
                    </a:xfrm>
                    <a:prstGeom prst="rect">
                      <a:avLst/>
                    </a:prstGeom>
                  </pic:spPr>
                </pic:pic>
              </a:graphicData>
            </a:graphic>
          </wp:inline>
        </w:drawing>
      </w:r>
      <w:r>
        <w:rPr>
          <w:caps w:val="false"/>
          <w:smallCaps w:val="false"/>
          <w:color w:val="00000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offering 30,937,500 shares of our common stock, par value $0.0001 per share. The offering price of each share of common stock is $8.00. We are also offering, in lieu of common stock to certain investors, pre-funded warrants to purchase up to 312,503 shares of our common stock. The purchase price of each pre-funded warrant equals the price per share at which the shares of our common stock are being sold in this offering, minus $0.0001, which is the exercise price of each pre-funded warrant per share. Each pre-funded warrant will be exercisable from the date of issuance until fully exercised, subject to an ownership limitation.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 the symbol “VSTM.” On October 13, 2026, the last reported sale price of our common stock on The Nasdaq Capital Market was $7.45 per share. We do not intend to list the pre-funded warrants on The Nasdaq Capital Market or any other securities exchange or nationally recognized trading system. </w:t>
      </w:r>
    </w:p>
    <w:p>
      <w:pPr>
        <w:pStyle w:val="TextBody"/>
        <w:bidi w:val="0"/>
        <w:spacing w:lineRule="atLeast" w:line="240" w:before="160" w:after="283"/>
        <w:ind w:left="1433" w:right="40" w:firstLine="400"/>
        <w:jc w:val="left"/>
        <w:rPr/>
      </w:pPr>
      <w:r>
        <w:rPr>
          <w:rFonts w:ascii="Times New Roman;Times;serif" w:hAnsi="Times New Roman;Times;serif"/>
          <w:b/>
          <w:i w:val="false"/>
          <w:caps w:val="false"/>
          <w:smallCaps w:val="false"/>
          <w:color w:val="000000"/>
          <w:spacing w:val="-4"/>
          <w:sz w:val="20"/>
          <w:shd w:fill="FFFFFF" w:val="clear"/>
        </w:rPr>
        <w:t>Investing in our securities involves a high degree of risk. Before making an investment decision, you should carefully consider the information under the heading “</w:t>
      </w:r>
      <w:r>
        <w:rPr>
          <w:rFonts w:ascii="Times New Roman;Times;serif" w:hAnsi="Times New Roman;Times;serif"/>
          <w:b/>
          <w:i/>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beginning on page </w:t>
      </w:r>
      <w:hyperlink w:anchor="bRIFA">
        <w:r>
          <w:rPr>
            <w:rStyle w:val="InternetLink"/>
          </w:rPr>
          <w:t>S-9</w:t>
        </w:r>
      </w:hyperlink>
      <w:r>
        <w:rPr>
          <w:rFonts w:ascii="Times New Roman;Times;serif" w:hAnsi="Times New Roman;Times;serif"/>
          <w:b/>
          <w:i w:val="false"/>
          <w:caps w:val="false"/>
          <w:smallCaps w:val="false"/>
          <w:color w:val="000000"/>
          <w:spacing w:val="-4"/>
          <w:sz w:val="20"/>
          <w:shd w:fill="FFFFFF" w:val="clear"/>
        </w:rPr>
        <w:t xml:space="preserve"> of this prospectus supplement and under similar headings in the documents incorporated by reference into this prospectus supplement and the accompanying prospectus.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3547"/>
        <w:gridCol w:w="109"/>
        <w:gridCol w:w="109"/>
        <w:gridCol w:w="111"/>
        <w:gridCol w:w="230"/>
        <w:gridCol w:w="580"/>
        <w:gridCol w:w="111"/>
        <w:gridCol w:w="109"/>
        <w:gridCol w:w="109"/>
        <w:gridCol w:w="109"/>
        <w:gridCol w:w="226"/>
        <w:gridCol w:w="807"/>
        <w:gridCol w:w="109"/>
        <w:gridCol w:w="109"/>
        <w:gridCol w:w="109"/>
        <w:gridCol w:w="109"/>
        <w:gridCol w:w="226"/>
        <w:gridCol w:w="1647"/>
        <w:gridCol w:w="109"/>
        <w:gridCol w:w="157"/>
      </w:tblGrid>
      <w:tr>
        <w:trPr/>
        <w:tc>
          <w:tcPr>
            <w:tcW w:w="35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 Pre-</w:t>
            </w:r>
            <w:r>
              <w:rPr/>
              <w:t xml:space="preserve"> </w:t>
              <w:br/>
            </w:r>
            <w:r>
              <w:rPr>
                <w:spacing w:val="-3"/>
              </w:rPr>
              <w:t>Funded</w:t>
            </w:r>
            <w:r>
              <w:rPr/>
              <w:t xml:space="preserve"> </w:t>
              <w:br/>
            </w:r>
            <w:r>
              <w:rPr>
                <w:spacing w:val="-3"/>
              </w:rPr>
              <w:t xml:space="preserve">Warrant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9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547" w:type="dxa"/>
            <w:tcBorders/>
            <w:shd w:fill="CCEEFF" w:val="clear"/>
            <w:tcMar>
              <w:bottom w:w="0" w:type="dxa"/>
            </w:tcMar>
            <w:vAlign w:val="center"/>
          </w:tcPr>
          <w:p>
            <w:pPr>
              <w:pStyle w:val="TableContents"/>
              <w:bidi w:val="0"/>
              <w:spacing w:before="0" w:after="0"/>
              <w:jc w:val="left"/>
              <w:rPr>
                <w:spacing w:val="4"/>
              </w:rPr>
            </w:pPr>
            <w:r>
              <w:rPr>
                <w:spacing w:val="4"/>
              </w:rPr>
              <w:t xml:space="preserve">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 xml:space="preserve">8.00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 xml:space="preserve">7.9999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47" w:type="dxa"/>
            <w:tcBorders/>
            <w:shd w:fill="CCEEFF" w:val="clear"/>
            <w:tcMar>
              <w:bottom w:w="0" w:type="dxa"/>
            </w:tcMar>
            <w:vAlign w:val="center"/>
          </w:tcPr>
          <w:p>
            <w:pPr>
              <w:pStyle w:val="TableContents"/>
              <w:bidi w:val="0"/>
              <w:spacing w:before="0" w:after="283"/>
              <w:jc w:val="right"/>
              <w:rPr/>
            </w:pPr>
            <w:r>
              <w:rPr/>
              <w:t xml:space="preserve">249,999,992.75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547"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 xml:space="preserve">0.48 </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 xml:space="preserve">0.48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647" w:type="dxa"/>
            <w:tcBorders/>
            <w:tcMar>
              <w:bottom w:w="0" w:type="dxa"/>
            </w:tcMar>
            <w:vAlign w:val="center"/>
          </w:tcPr>
          <w:p>
            <w:pPr>
              <w:pStyle w:val="TableContents"/>
              <w:bidi w:val="0"/>
              <w:spacing w:before="0" w:after="283"/>
              <w:jc w:val="right"/>
              <w:rPr/>
            </w:pPr>
            <w:r>
              <w:rPr/>
              <w:t xml:space="preserve">15,000,001.44 </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54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Verastem, Inc.,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 xml:space="preserve">7.52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 xml:space="preserve">7.5199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47" w:type="dxa"/>
            <w:tcBorders/>
            <w:shd w:fill="CCEEFF" w:val="clear"/>
            <w:tcMar>
              <w:bottom w:w="0" w:type="dxa"/>
            </w:tcMar>
            <w:vAlign w:val="center"/>
          </w:tcPr>
          <w:p>
            <w:pPr>
              <w:pStyle w:val="TableContents"/>
              <w:bidi w:val="0"/>
              <w:spacing w:before="0" w:after="283"/>
              <w:jc w:val="right"/>
              <w:rPr/>
            </w:pPr>
            <w:r>
              <w:rPr/>
              <w:t>234,999,991.31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pPr>
      <w:r>
        <w:rPr>
          <w:rFonts w:ascii="Times New Roman;Times;serif" w:hAnsi="Times New Roman;Times;serif"/>
          <w:b w:val="false"/>
          <w:i w:val="false"/>
          <w:caps w:val="false"/>
          <w:smallCaps w:val="false"/>
          <w:color w:val="000000"/>
          <w:spacing w:val="4"/>
          <w:sz w:val="20"/>
          <w:shd w:fill="FFFFFF" w:val="clear"/>
        </w:rPr>
        <w:t>See “</w:t>
      </w:r>
      <w:r>
        <w:rPr>
          <w:rFonts w:ascii="Times New Roman;Times;serif" w:hAnsi="Times New Roman;Times;serif"/>
          <w:b w:val="false"/>
          <w:i/>
          <w:caps w:val="false"/>
          <w:smallCaps w:val="false"/>
          <w:color w:val="000000"/>
          <w:spacing w:val="4"/>
          <w:sz w:val="20"/>
          <w:shd w:fill="FFFFFF" w:val="clear"/>
        </w:rPr>
        <w:t>Underwriting</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bUND">
        <w:r>
          <w:rPr>
            <w:rStyle w:val="InternetLink"/>
          </w:rPr>
          <w:t>S-19</w:t>
        </w:r>
      </w:hyperlink>
      <w:r>
        <w:rPr>
          <w:rFonts w:ascii="Times New Roman;Times;serif" w:hAnsi="Times New Roman;Times;serif"/>
          <w:b w:val="false"/>
          <w:i w:val="false"/>
          <w:caps w:val="false"/>
          <w:smallCaps w:val="false"/>
          <w:color w:val="000000"/>
          <w:spacing w:val="4"/>
          <w:sz w:val="20"/>
          <w:shd w:fill="FFFFFF" w:val="clear"/>
        </w:rPr>
        <w:t xml:space="preserve"> of this prospectus supplement for additional information regarding total underwriter compensation.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Delivery of the securities offered hereby is expected to be made on or about October 15, 2026.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Joint Book-Running Managers </w:t>
      </w:r>
    </w:p>
    <w:p>
      <w:pPr>
        <w:pStyle w:val="TextBody"/>
        <w:bidi w:val="0"/>
        <w:spacing w:lineRule="atLeast" w:line="400" w:before="240" w:after="283"/>
        <w:ind w:left="3120" w:right="40" w:hanging="0"/>
        <w:jc w:val="left"/>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JefferiesGuggenheim SecuritiesCantor</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240" w:before="120"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Lead Manager </w:t>
      </w:r>
    </w:p>
    <w:p>
      <w:pPr>
        <w:pStyle w:val="TextBody"/>
        <w:bidi w:val="0"/>
        <w:spacing w:lineRule="atLeast" w:line="360" w:before="160"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B. Riley Securities</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lineRule="atLeast" w:line="240" w:before="88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Supplement dated October 14,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w:t>
      </w:r>
      <w:bookmarkStart w:id="3" w:name="TOC2"/>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1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SUPPLEMENT</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460"/>
        <w:gridCol w:w="109"/>
        <w:gridCol w:w="109"/>
        <w:gridCol w:w="109"/>
        <w:gridCol w:w="109"/>
        <w:gridCol w:w="572"/>
        <w:gridCol w:w="109"/>
        <w:gridCol w:w="155"/>
      </w:tblGrid>
      <w:tr>
        <w:trPr/>
        <w:tc>
          <w:tcPr>
            <w:tcW w:w="74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ATPS">
              <w:r>
                <w:rPr>
                  <w:rStyle w:val="InternetLink"/>
                  <w:spacing w:val="4"/>
                </w:rPr>
                <w:t>S-1</w:t>
              </w:r>
            </w:hyperlink>
            <w:hyperlink w:anchor="b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PSS">
              <w:r>
                <w:rPr>
                  <w:rStyle w:val="InternetLink"/>
                  <w:spacing w:val="4"/>
                </w:rPr>
                <w:t>S-2</w:t>
              </w:r>
            </w:hyperlink>
            <w:hyperlink w:anchor="b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THOF">
              <w:r>
                <w:rPr>
                  <w:rStyle w:val="InternetLink"/>
                  <w:spacing w:val="4"/>
                </w:rPr>
                <w:t>S-7</w:t>
              </w:r>
            </w:hyperlink>
            <w:hyperlink w:anchor="b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RIFA">
              <w:r>
                <w:rPr>
                  <w:rStyle w:val="InternetLink"/>
                  <w:spacing w:val="4"/>
                </w:rPr>
                <w:t>S-9</w:t>
              </w:r>
            </w:hyperlink>
            <w:hyperlink w:anchor="b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SNRF">
              <w:r>
                <w:rPr>
                  <w:rStyle w:val="InternetLink"/>
                  <w:spacing w:val="4"/>
                </w:rPr>
                <w:t>S-12</w:t>
              </w:r>
            </w:hyperlink>
            <w:hyperlink w:anchor="bS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UOP">
              <w:r>
                <w:rPr>
                  <w:rStyle w:val="InternetLink"/>
                  <w:spacing w:val="4"/>
                </w:rPr>
                <w:t>S-14</w:t>
              </w:r>
            </w:hyperlink>
            <w:hyperlink w:anchor="b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DOPW">
              <w:r>
                <w:rPr>
                  <w:rStyle w:val="InternetLink"/>
                  <w:spacing w:val="4"/>
                </w:rPr>
                <w:t xml:space="preserve">DESCRIPTION OF PRE-FUNDED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DOPW">
              <w:r>
                <w:rPr>
                  <w:rStyle w:val="InternetLink"/>
                  <w:spacing w:val="4"/>
                </w:rPr>
                <w:t>S-15</w:t>
              </w:r>
            </w:hyperlink>
            <w:hyperlink w:anchor="bDOP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DIL">
              <w:r>
                <w:rPr>
                  <w:rStyle w:val="InternetLink"/>
                  <w:spacing w:val="4"/>
                </w:rPr>
                <w:t xml:space="preserve">DILUTION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DIL">
              <w:r>
                <w:rPr>
                  <w:rStyle w:val="InternetLink"/>
                  <w:spacing w:val="4"/>
                </w:rPr>
                <w:t>S-17</w:t>
              </w:r>
            </w:hyperlink>
            <w:hyperlink w:anchor="bDI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UND">
              <w:r>
                <w:rPr>
                  <w:rStyle w:val="InternetLink"/>
                  <w:spacing w:val="4"/>
                </w:rPr>
                <w:t>S-19</w:t>
              </w:r>
            </w:hyperlink>
            <w:hyperlink w:anchor="b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MUSF">
              <w:r>
                <w:rPr>
                  <w:rStyle w:val="InternetLink"/>
                  <w:spacing w:val="4"/>
                </w:rPr>
                <w:t xml:space="preserve">MATERIAL UNITED STATES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MUSF">
              <w:r>
                <w:rPr>
                  <w:rStyle w:val="InternetLink"/>
                  <w:spacing w:val="4"/>
                </w:rPr>
                <w:t>S-30</w:t>
              </w:r>
            </w:hyperlink>
            <w:hyperlink w:anchor="bMUS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LEMA">
              <w:r>
                <w:rPr>
                  <w:rStyle w:val="InternetLink"/>
                  <w:spacing w:val="4"/>
                </w:rPr>
                <w:t>S-36</w:t>
              </w:r>
            </w:hyperlink>
            <w:hyperlink w:anchor="b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EXP">
              <w:r>
                <w:rPr>
                  <w:rStyle w:val="InternetLink"/>
                  <w:spacing w:val="4"/>
                </w:rPr>
                <w:t>S-36</w:t>
              </w:r>
            </w:hyperlink>
            <w:hyperlink w:anchor="b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WYCF">
              <w:r>
                <w:rPr>
                  <w:rStyle w:val="InternetLink"/>
                  <w:spacing w:val="4"/>
                </w:rPr>
                <w:t>S-36</w:t>
              </w:r>
            </w:hyperlink>
            <w:hyperlink w:anchor="b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IOCD">
              <w:r>
                <w:rPr>
                  <w:rStyle w:val="InternetLink"/>
                  <w:spacing w:val="4"/>
                </w:rPr>
                <w:t>S-36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tbl>
      <w:tblPr>
        <w:tblW w:w="8409" w:type="dxa"/>
        <w:jc w:val="left"/>
        <w:tblInd w:w="1433" w:type="dxa"/>
        <w:tblLayout w:type="fixed"/>
        <w:tblCellMar>
          <w:top w:w="0" w:type="dxa"/>
          <w:left w:w="0" w:type="dxa"/>
          <w:bottom w:w="28" w:type="dxa"/>
          <w:right w:w="0" w:type="dxa"/>
        </w:tblCellMar>
      </w:tblPr>
      <w:tblGrid>
        <w:gridCol w:w="7300"/>
        <w:gridCol w:w="109"/>
        <w:gridCol w:w="109"/>
        <w:gridCol w:w="109"/>
        <w:gridCol w:w="109"/>
        <w:gridCol w:w="410"/>
        <w:gridCol w:w="109"/>
        <w:gridCol w:w="154"/>
      </w:tblGrid>
      <w:tr>
        <w:trPr/>
        <w:tc>
          <w:tcPr>
            <w:tcW w:w="73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ATC">
              <w:r>
                <w:rPr>
                  <w:rStyle w:val="InternetLink"/>
                  <w:spacing w:val="4"/>
                </w:rPr>
                <w:t xml:space="preserve">ABOUT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ATC">
              <w:r>
                <w:rPr>
                  <w:rStyle w:val="InternetLink"/>
                  <w:spacing w:val="4"/>
                </w:rPr>
                <w:t>3</w:t>
              </w:r>
            </w:hyperlink>
            <w:hyperlink w:anchor="sA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4</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FOST">
              <w:r>
                <w:rPr>
                  <w:rStyle w:val="InternetLink"/>
                  <w:spacing w:val="4"/>
                </w:rPr>
                <w:t>5</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7</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POD">
              <w:r>
                <w:rPr>
                  <w:rStyle w:val="InternetLink"/>
                  <w:spacing w:val="4"/>
                </w:rPr>
                <w:t>8</w:t>
              </w:r>
            </w:hyperlink>
            <w:hyperlink w:anchor="s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DOCS">
              <w:r>
                <w:rPr>
                  <w:rStyle w:val="InternetLink"/>
                  <w:spacing w:val="4"/>
                </w:rPr>
                <w:t xml:space="preserve">DESCRIPTION OF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DOCS">
              <w:r>
                <w:rPr>
                  <w:rStyle w:val="InternetLink"/>
                  <w:spacing w:val="4"/>
                </w:rPr>
                <w:t>10</w:t>
              </w:r>
            </w:hyperlink>
            <w:hyperlink w:anchor="s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DOPS">
              <w:r>
                <w:rPr>
                  <w:rStyle w:val="InternetLink"/>
                  <w:spacing w:val="4"/>
                </w:rPr>
                <w:t xml:space="preserve">DESCRIPTION OF PREFERRED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DOPS">
              <w:r>
                <w:rPr>
                  <w:rStyle w:val="InternetLink"/>
                  <w:spacing w:val="4"/>
                </w:rPr>
                <w:t>11</w:t>
              </w:r>
            </w:hyperlink>
            <w:hyperlink w:anchor="sDO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DOW">
              <w:r>
                <w:rPr>
                  <w:rStyle w:val="InternetLink"/>
                  <w:spacing w:val="4"/>
                </w:rPr>
                <w:t>12</w:t>
              </w:r>
            </w:hyperlink>
            <w:hyperlink w:anchor="s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DODS">
              <w:r>
                <w:rPr>
                  <w:rStyle w:val="InternetLink"/>
                  <w:spacing w:val="4"/>
                </w:rPr>
                <w:t>13</w:t>
              </w:r>
            </w:hyperlink>
            <w:hyperlink w:anchor="s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21</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IOCD">
              <w:r>
                <w:rPr>
                  <w:rStyle w:val="InternetLink"/>
                  <w:spacing w:val="4"/>
                </w:rPr>
                <w:t>22</w:t>
              </w:r>
            </w:hyperlink>
            <w:hyperlink w:anchor="sI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23</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EXP">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bATPS"/>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 SUPPLEMENT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document is in two parts. The first part is this prospectus supplement, which describes the specific terms of this offering and certain other matters relating to us and our business. The second part, the accompanying prospectus, contains and incorporates by reference important business and financial information about us, a description of our common stock, pre-funded warrants and certain other information about us and this offering. This prospectus supplement and the accompanying prospectus are part of a registration statement that we filed with the Securities and Exchange Commission (the “SEC”), using a “shelf” registration process. Both this prospectus supplement and the accompanying prospectus include or incorporate by reference important information about us, our common stock and other information you should know before investing. You should read both this prospectus supplement and the accompanying prospectus, including all documents incorporated by reference herein and therein by reference, together with the additional information described under the heading “</w:t>
      </w:r>
      <w:r>
        <w:rPr>
          <w:rFonts w:ascii="Times New Roman;Times;serif" w:hAnsi="Times New Roman;Times;serif"/>
          <w:b w:val="false"/>
          <w:i/>
          <w:caps w:val="false"/>
          <w:smallCaps w:val="false"/>
          <w:color w:val="000000"/>
          <w:spacing w:val="4"/>
          <w:sz w:val="20"/>
          <w:shd w:fill="FFFFFF" w:val="clear"/>
        </w:rPr>
        <w:t>Where You Can Find More Information</w:t>
      </w:r>
      <w:r>
        <w:rPr>
          <w:rFonts w:ascii="Times New Roman;Times;serif" w:hAnsi="Times New Roman;Times;serif"/>
          <w:b w:val="false"/>
          <w:i w:val="false"/>
          <w:caps w:val="false"/>
          <w:smallCaps w:val="false"/>
          <w:color w:val="000000"/>
          <w:spacing w:val="4"/>
          <w:sz w:val="20"/>
          <w:shd w:fill="FFFFFF" w:val="clear"/>
        </w:rPr>
        <w:t xml:space="preserve">” herein and therein before making an investment decision.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rely only on the information contained or incorporated by reference in this prospectus supplement, the accompanying prospectus and in any free writing prospectuses we may provide to you in connection with this offering. We have not, and the underwriters have not, authorized any other person to provide you with any information that is different. If anyone provides you with different or inconsistent information, you should not rely on it. We are offering to sell, and seeking offers to buy, shares of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may add to, update or change the information in the accompanying prospectus or the documents incorporated by reference herein. If information in this prospectus supplement is inconsistent with information in the accompanying prospectus or the documents incorporated by reference herein, this prospectus supplement will apply and will supersede that information in the accompanying prospectus or the documents incorporated by reference herein.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in this prospectus supplement to “Verastem,” the “Company,” “we,” “us,” “our” and similar terms refer to Verastem, Inc. and our subsidiaries on a consolidated basis, as appropriate, unless we state otherwise or the context otherwise requires. Unless otherwise indicated, references to “U.S. dollars,” “dollars,” “USD” and “$” in this prospectus supplement are to the lawful currency of the United States of America.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industry and market data and other statistical information contained in this prospectus supplement, the accompanying prospectus and the documents we incorporate by reference herein and therein are based on management’s own estimates, independent publications, government publications, reports by market research firms or other published independent sources, and, in each case, are believed by management to be reasonable estimates and sources, as applicable and as of the date hereof. Although we believe any such third-party sources are reliable as of the date hereof, we have not independently verified the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the accompanying prospectus and the documents we incorporate by reference herein and therein contain references to our trademarks and to trademarks belonging to other entities. Solely for convenience, trademarks and trade names referred to in this prospectus supplement, the accompanying prospectus and the documents we incorporate by reference herein and therein, including logos, artwork and other visual displays, may appear without the </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3"/>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bPSS"/>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PROSPECTUS SUPPLEMENT SUMMARY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This summary highlights selected information included or incorporated by reference in this prospectus supplement and the accompanying prospectus and does not contain all of the information that may be important to you. You should carefully review this entire prospectus supplement, the accompanying prospectus and any free writing prospectus that we have authorized for use in connection with this offering, including the risk factors and financial statements included and incorporated by reference in this prospectus supplement and the accompanying prospectus. </w:t>
      </w:r>
    </w:p>
    <w:p>
      <w:pPr>
        <w:pStyle w:val="TextBody"/>
        <w:bidi w:val="0"/>
        <w:spacing w:lineRule="atLeast" w:line="240" w:before="234" w:after="283"/>
        <w:ind w:left="1833" w:right="40" w:hanging="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Company Overview</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are a biopharmaceutical company committed to the development and commercialization of new medicines to improve the lives of patients diagnosed with ras sarcoma (“RAS”)/ mitogen-activated protein kinase (“MAPK”) pathway-driven cancers. On May 8, 2025, the U.S. Food and Drug Administration (the “FDA”) approved AVMAPKI FAKZYNJA CO-PACK (avutometinib capsules; defactinib tablets) for the treatment of adult patients with Kirsten rat sarcoma viral oncogene homolog (“KRAS”) mutant (“KRAS mt”) recurrent low grade serous ovarian cancer (“LGSOC”) who received prior systemic therapy. We market AVMAPKI FAKZYNJA CO-PACK in the United States. Our pipeline is focused on novel small molecule drugs that inhibit critical signaling pathways in cancer that promote cancer cell survival and tumor growth, including RAF/MEK inhibition, FAK inhibition and KRAS G12D inhibition.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AVMAPKI (avutometinib) inhibits MEK kinase activity while also blocking the compensatory reactivation of MEK by upstream RAF. RAF and MEK proteins are regulators of the RAS/RAF/MEK/</w:t>
      </w:r>
      <w:r>
        <w:rPr>
          <w:rFonts w:ascii="Times New Roman;Times;serif" w:hAnsi="Times New Roman;Times;serif"/>
          <w:b w:val="false"/>
          <w:i w:val="false"/>
          <w:caps w:val="false"/>
          <w:smallCaps w:val="false"/>
          <w:color w:val="000000"/>
          <w:sz w:val="20"/>
          <w:bdr w:val="single" w:sz="8" w:space="1" w:color="000000"/>
          <w:shd w:fill="FFFFFF" w:val="clear"/>
        </w:rPr>
        <w: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our clinical-stage pipeline programs, we are evaluating VS-7375, a potential best-in-class oral KRAS G12D (ON/OFF) inhibitor, for the treatment of patients with KRAS G12D mutated cancers, including pancreatic ductal adenocarcinoma (“PDAC”), non-small cell lung cancer (“NSCLC”), colorectal cancer (“CRC”) and other KRAS G12D mutated cancers. Based on preclinical data, VS-7375 offers dual, potent inhibition of both ON and OFF states of KRAS G12D. We believe this correlates with better in vivo efficacy and durability versus ON-only RAS inhibitors. VS-7375 has demonstrated a high affinity for KRAS G12D with long residence time (18-24 hours) in preclinical models. We believe this correlates with a more rapid and durable suppression of pERK signaling (which controls growth and cell survival) when compared to other ON-only KRAS G12D inhibitors in tumor cell lines. The selective inhibition of VS-7375 to KRAS G12D has shown, in preclinical models, to spare T cell proliferation to maintain a normal healthy immune response, versus a RAS-multi-inhibitor, which impairs T cell proliferation at increasing concentrations of drug. The once daily (“QD”) oral dosing of VS-7375 achieves exposures corresponding to maximal tumor regressions across preclinical models for pancreatic, lung and colorectal cancers. Verastem announced in April 2025 that the U.S. Investigational New Drug (“IND”) application for (VS-7375-101) was cleared and initiated a Phase 1/2 clinical trial in June 2025 in patients with advanced KRAS G12D-mutated solid tumors, including PDAC, NSCLC and CRC. </w:t>
      </w:r>
    </w:p>
    <w:p>
      <w:pPr>
        <w:pStyle w:val="TextBody"/>
        <w:bidi w:val="0"/>
        <w:spacing w:lineRule="atLeast" w:line="240" w:before="232" w:after="283"/>
        <w:ind w:left="1833" w:right="40" w:hanging="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Corporate Information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were incorporated under the laws of the State of Delaware in August 2010. Our principal executive offices are located at 117 Kendrick Street, Suite 500, Needham, MA 02494, and our telephone number is (781) 292-4200. Our website address is: www.verastem.com. We have included our website address as a factual reference and do not intend it to be an active link to our website. The information that can be accessed through our website is not part of this prospectus, and investors should not rely on any such information in deciding whether to purchase our securities. </w:t>
      </w:r>
    </w:p>
    <w:p>
      <w:pPr>
        <w:pStyle w:val="TextBody"/>
        <w:bidi w:val="0"/>
        <w:spacing w:lineRule="atLeast" w:line="240" w:before="230" w:after="283"/>
        <w:ind w:left="1833" w:right="40" w:hanging="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Recent Developments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results of our initial efficacy and updated safety and tolerability data in first multi-clinical cancer data update from the ongoing TARGET-D 101 Phase 1/2 clinical trial evaluating VS-7375, an oral KRAS G12D (ON/OFF) inhibitor, in patients with advanced KRAS G12D-mutated solid tumors are summarized below.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in Metastatic PDAC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Efficacy was assessed in the modified intent-to-treat (mITT) population, defined as any patient that received at least one dose of VS-7375 and started therapy on or before July 22, 2026. A total of 22 patients that met the mITT criteria were included in the efficacy analysis and were treated with VS-7375 900 mg QD monotherapy with a median follow-up of 6.4 (0.8-10.9) months. Patients received a median of two prior lines of therapy (range 1 – 3), including standard-of-care (SoC) chemotherapy. Two patients were non-evaluable but included in the mITT: one died from coronary artery disease and stroke, while the other withdrew consent before the first assessment and died two months later; both deaths were unrelated to treatment.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the data cutoff date of October 7, 2026, patients receiving 900 mg VS-7375 daily had a confirmed objective response rate (ORR) of 50% (4/8) in second line (2L) PDAC, a 41% confirmed ORR (9/22) in the 2L+ setting, including two complete responses, one confirmed and one unconfirmed (treatment ongoing), and a 36% confirmed ORR (5/14) in the 3L/4L setting. The disease control rate (DCR) was 86% (n=22) in 2L+, the six month landmark progression free survival (PFS) rate was 67%, and the landmark six-month overall survival (OS) rate was 80% with the majority of patients (16/22) remaining on treatment.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Compared with 600 mg QD monotherapy (n=27 mITT), the 900 mg dose produced deeper tumor reductions and a higher response rate. At 600 mg, eight patients achieved objective responses, including four confirmed responses, and 11 of 27 patients remain on treatment.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Pharmacokinetics &amp; Biomarker Data in mPDAC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updated pharmacokinetic (PK) data, the 900 mg QD monotherapy dose (n=23) evaluated across KRAS G12D-driven tumors continues to achieve target plasma levels of VS-7375 and provides clear separation from the 600 mg QD monotherapy dose (n=59).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updated CA19-9 data, 15 of 17 patients with mPDAC treated with VS-7375 900 mg QD that had elevated baseline CA19-9 achieved greater than 50% reduction in the tumor marker. All these patients remain on treatment.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Among 12 evaluable patients with KRAS G12D-mutant mPDAC treated with VS-7375 900 mg monotherapy in the second or later line setting who had detectable KRAS G12D circulating tumor DNA (ctDNA) at baseline, all patients (12/12) achieved a ≥ 50% reduction in KRAS G12D variant allele frequency (VAF) by cycle 3 day 1 of treatment. Ninety-two percent of patients (11/12) achieved even deeper reductions (≥ 90%) and 58% (7/12) achieved a 100% clearance of KRAS G12D ctDNA during this same time period.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First-line mPDAC Phase 3 Trial</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Verastem has reached alignment with the U.S. Food and Drug Administration (FDA) on the Phase 3 study design to evaluate VS-7375 in the first-line mPDAC setting. The three-arm study will evaluate a chemotherapy-free regimen of VS-7375 900 mg QD in combination with anti-EGFR, VS-7375 at 900 mg QD in combination with conventional three weeks on and one week off gemcitabine/nab-paclitaxel (GnP), and investigator choice of standard-of-care chemotherapy (GnP or modified FOLFIRINOX). PFS and ORR will serve as dual-primary endpoints, with OS as the secondary endpoint. The Company plans to open the trial by year-end 2026.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in mCRC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Efficacy was assessed in the mITT population, defined as any patient that received at least one dose of VS-7375 and started therapy on or before July 22, 2026. A total of six patients met the mITT criteria, with one patient not evaluable for efficacy due to withdrawing consent prior to first disease assessment. Patients had received a median of two prior lines of standard-of-care therapy (range 2 – 3).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the data cutoff date of October 7, 2026, with a median follow up of 6.1 (0.4 – 7.0) months, patients receiving 900 mg QD in combination with anti-EGFR achieved a 33% ORR (2/6 with one confirmed and one unconfirmed response) in the 3L+ setting with five patients remaining on treatment.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At 600 mg in combination with anti-EGFR (n=24 mITT), four patients achieved objective responses, including three confirmed responses and one unconfirmed response with 14 patients remaining on treatment.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Compared with the combination of 600 mg VS-7375 with anti-EGFR, the 900 mg combination produced deeper tumor reductions. Patients are being enrolled at the 900 mg QD dose level in the TARGET-D 203 Phase 2 registration-directed 2L mCRC trial.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in Advanced NSCLC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Efficacy was assessed in the mITT population, defined as any patient that received at least one dose of VS-7375 and started therapy on or before July 22, 2026. A total of 23 patients met the mITT criteria and were included in the efficacy analysis. Patients received a median of one prior line of therapy (range 1 – 3) with standard of care chemotherapy and immunotherapy.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the data cutoff date of October 7, 2026, with a median follow up of 4.4 months (2.4 – 12.4), in patients treated with VS-7375 600 mg QD monotherapy, the confirmed ORR was 43% (10/23) in 2L+ NSCLC. Responses were observed as early as the first post-baseline scan at six weeks. The six-month landmark PFS rate was 72%, with the majority of patients (17/23) in the 600 mg NSCLC cohort remaining on treatment. The 900 mg QD dose level is currently being evaluated in the TARGET-D 202 Phase 2 registration-directed advanced NSCLC trial.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Company also shared preliminary data for VS-7375 600 mg with 1L triplet SOC (chemotherapy and immunotherapy). A total of eight patients met the mITT criteria, which was defined as any patient who received at least one dose of VS-7375 and started therapy on or before July 22, 2026, and were included in the efficacy analysis. One patient withdrew consent before the first post-baseline disease assessment, which was likely triggered by an infusion-related reaction to pembrolizumab.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the data cutoff of October 7, 2026, with a median follow-up of 4.4 (0.9-5.8) months, patients treated with VS-7375 600 mg QD in combination with carboplatin, pemetrexed plus pembrolizumab or with pembrolizumab achieved a 75% ORR (6/8) in 1L KRAS G12D adenocarcinoma of the lung. Six patients remain on therapy. Evaluation of VS-7375 900 mg plus SoC is ongoing.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Biomarker Data in NSCLC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Among five evaluable patients with KRAS G12D-mutant advanced NSCLC who received VS-7375 600 mg monotherapy in the second-line or later setting and had detectable KRAS G12D ctDNA at baseline, all patients (5/5) achieved complete clearance of detectable KRAS G12D ctDNA.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Updated Safety &amp; Tolerability of VS-7375 Monotherapy and in Combination</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Across monotherapy and combination cohorts in TARGET-D 101, VS-7375 continued to demonstrate a safety profile at both the 600 mg and 900 mg dose levels consistent with prior observations and supported by increasing patient exposure and longer follow-up. As of the September 29, 2026 data cutoff, VS-7375 monotherapy demonstrated the following safety profile at 900 mg QD across different KRAS G12D driven tumor types (n=48):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discontinuation rate due to adverse events (AEs) was 2%. </w:t>
      </w:r>
      <w:r>
        <mc:AlternateContent>
          <mc:Choice Requires="wps">
            <w:drawing>
              <wp:anchor behindDoc="0" distT="7493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VS-7375 at 900 mg had a relative dose intensity level of 97% (median IQR 87-100%). </w:t>
      </w:r>
      <w:r>
        <mc:AlternateContent>
          <mc:Choice Requires="wps">
            <w:drawing>
              <wp:anchor behindDoc="0" distT="7493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Treatment-related adverse events (TRAEs) at 900 mg were primarily low-grade nausea, vomiting and diarrhea. </w:t>
      </w:r>
      <w:r>
        <mc:AlternateContent>
          <mc:Choice Requires="wps">
            <w:drawing>
              <wp:anchor behindDoc="0" distT="7493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Twenty-five percent of patients had no gastrointestinal (GI) AEs at the start of the first cycle and by month six approximately 40% of patients had no GI AEs. The vast majority of the GI side effects were effectively managed with standard supportive care measures, with only one reported Grade 3 case of nausea at the 900 mg QD dose that resolved in four days following optimization of anti-emetic agents. </w:t>
      </w:r>
      <w:r>
        <mc:AlternateContent>
          <mc:Choice Requires="wps">
            <w:drawing>
              <wp:anchor behindDoc="0" distT="7493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Grade 3 TRAEs occurred in 10% of patients and only 2% of patients experienced any Grade 3 GI TRAE.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limited dose-response relationship observed for GI AEs is consistent with a localized irritant effect rather than systemic toxicity.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There were only two cases of rash, no greater than Grade 2, at the 900 mg QD dose. There were no cases of mucositis or stomatitis. </w:t>
      </w:r>
      <w:r>
        <mc:AlternateContent>
          <mc:Choice Requires="wps">
            <w:drawing>
              <wp:anchor behindDoc="0" distT="0" distB="0" distL="254000" distR="0" simplePos="0" locked="0" layoutInCell="1" allowOverlap="1" relativeHeight="12">
                <wp:simplePos x="0" y="0"/>
                <wp:positionH relativeFrom="column">
                  <wp:align>left</wp:align>
                </wp:positionH>
                <wp:positionV relativeFrom="line">
                  <wp:posOffset>635</wp:posOffset>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Importantly, no clinically meaningful cytopenias or liver function abnormalities were reported. </w:t>
      </w:r>
      <w:r>
        <mc:AlternateContent>
          <mc:Choice Requires="wps">
            <w:drawing>
              <wp:anchor behindDoc="0" distT="787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 clinically significant cumulative toxicities have been observed to date and since the June 23, 2026 update. </w:t>
      </w:r>
      <w:r>
        <mc:AlternateContent>
          <mc:Choice Requires="wps">
            <w:drawing>
              <wp:anchor behindDoc="0" distT="787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Safety with SoC Across Tumor Types</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combinations of cetuximab with VS-7375 at 600 mg (n=41) and 900 mg (n=11), no overlapping AEs with anti-EGFR therapy were observed, and rash was consistent with the known cetuximab safety profile. In combinations of GnP with VS-7375 at 600 mg (n=13) and 900 mg (n=8), hematologic AEs and neuropathy were considered most likely attributable to GnP. With appropriate antiemetic prophylaxis, GI AE rates in the GnP and carboplatin pemetrexed and pembrolizumab combinations at 600 mg (n=9) were comparable to VS-7375 monotherapy. To date, in a limited number of patients, the frequency and severity of liver function test elevations and diarrhea in the carboplatin pemetrexed and pembrolizumab combinations have not differed meaningfully.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New Drug Application</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On October 7, 2026, the FDA accepted for review our Blister Pack New Drug Application (the “NDA”) for the first quarter of 2027 and notified us that the NDA has been granted priority review.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Preliminary Unaudited Third Quarter 2026 Financial Results</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Set forth below are certain preliminary unaudited financial results for the three months ended September 30, 2026 and as of September 30, 2026: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Net product revenue for the three months ended September 30, 2026 is estimated to be within the range of $23.9 million to $24.1 million, compared to $11.2 million for the three months ended September 30, 2025. </w:t>
      </w:r>
      <w:r>
        <mc:AlternateContent>
          <mc:Choice Requires="wps">
            <w:drawing>
              <wp:anchor behindDoc="0" distT="774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Cash, cash equivalents and investments as of September 30, 2026 is estimated to be $172.8 million, compared to $137.7 million as of September 30, 2025.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preliminary unaudited third quarter 2026 financial results (the “Preliminary Financial Information”) are preliminary and were prepared by our management, based upon our estimates, a number of assumptions and currently available information, and are subject to revision based upon, among other things, quarter-end closing procedures and/or adjustments, the completion of our interim financial statements and other operational procedures.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This Preliminary Financial Information is the responsibility of our management and has been prepared in good faith on a consistent basis with prior periods. However, we have not completed our financial closing procedures for the three months ended September 30, 2026, and our actual results could be materially different from the Preliminary Financial Information provided above. Our independent registered public accounting firm, Ernst &amp; Young LLP (“EY”), has not audited, reviewed, examined, compiled nor applied agreed-upon procedures with respect to the accompanying Preliminary Financial Information and, accordingly, EY does not express an opinion or any other form of assurance with respect thereto. The EY report incorporated by reference into this prospectus supplement and the accompanying prospectus relates to our previously issued financial statements. It does not extend to the Preliminary Financial Information and should not be read to do so.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During the course of the preparation of our financial statements and related notes as of and for the three and nine months ended September 30, 2026, we may identify items that would require us to make material adjustments to this Preliminary Financial Information. As a result, prospective investors should exercise caution in relying on this information and should not draw any inferences from this information. This Preliminary Financial Information should not be viewed as a substitute for full financial statements prepared in accordance with United States generally accepted accounting principles and reviewed by EY.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Chief Executive Officer Transition</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On October 12, 2026, Daniel W. Paterson notified our Board of Directors (the “Board”) of his decision to retire as President and Chief Executive Officer of the Company, effective January 1, 2027 (the “Effective Date”). Mr. Paterson intends to continue to serve on the Board as a Class III director. His term will expire at the Company’s 2027 annual meeting of the stockholders. In connection with the retirement of Mr. Paterson, Michael Bailey will be appointed to the position of President and Chief Executive Officer as of the Effective Date. In connection with his appointment, Mr. Bailey will continue to serve as a Class II director. His term will expire at the Company’s 2029 annual meeting of the stockholders.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Termination of ATM Prospectus</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connection with this proposed offering, we suspended and terminated the prospectus (the “ATM Prospectus”), filed with the registration statement of which this prospectus supplement forms a part and related to the sale of common stock that may be issued and sold under our sales agreement with Cantor Fitzgerald &amp; Co., dated August 8, 2025 (the “Sales Agreement”). As a result, we will not make any sales of our common stock pursuant to the Sales Agreement unless and until a new prospectus, prospectus supplement or registration statement is filed. Other than the termination of the ATM Prospectus, the Sales Agreement remains in full force and effect. As of the date of this prospectus supplement no shares of common stock have been sold under the ATM Prospectus.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bTHOF"/>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THE OFFERING</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The following summary contains basic information about this offering. The summary is not intended to be complete. You should read the full text and more specific details contained elsewhere in this prospectus supplement and in the documents incorporated by reference herein.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Common stock offered by us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30,937,500 shares.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Pre-funded warrants offered by us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are also offering, in lieu of common stock to certain investors, pre-funded warrants to purchase up to 312,503 shares of our common stock. The purchase price of each pre-funded warrant equals the price per share at which the shares of our common stock are being sold in this offering, minus $0.0001, which is the exercise price of each pre-funded warrant per share. Each pre-funded warrant will be exercisable from the date of issuance until fully exercised, subject to an ownership limitation. See “Description of Pre-Funded Warrants”.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Offering price per share of common </w:t>
      </w:r>
      <w:r>
        <w:rPr>
          <w:rFonts w:ascii="Times New Roman;Times;serif" w:hAnsi="Times New Roman;Times;serif"/>
          <w:b/>
          <w:i w:val="false"/>
          <w:caps w:val="false"/>
          <w:smallCaps w:val="false"/>
          <w:color w:val="000000"/>
          <w:sz w:val="20"/>
          <w:bdr w:val="single" w:sz="8" w:space="1" w:color="000000"/>
          <w:shd w:fill="FFFFFF" w:val="clear"/>
        </w:rPr>
        <w:br/>
      </w:r>
      <w:r>
        <w:rPr>
          <w:rFonts w:ascii="Times New Roman;Times;serif" w:hAnsi="Times New Roman;Times;serif"/>
          <w:b/>
          <w:i w:val="false"/>
          <w:caps w:val="false"/>
          <w:smallCaps w:val="false"/>
          <w:color w:val="000000"/>
          <w:spacing w:val="-4"/>
          <w:sz w:val="20"/>
          <w:bdr w:val="single" w:sz="8" w:space="1" w:color="000000"/>
          <w:shd w:fill="FFFFFF" w:val="clear"/>
        </w:rPr>
        <w:t>stock</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$8.00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Offering price per pre-funded warrant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$7.9999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Common stock to be outstanding immediately after this offering</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121,419,115 shares, assuming no pre-funded warrants are exercised.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Use of proceeds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We intend to use the net proceeds from this offering to fund the continued clinical development of VS-7375, and for working capital and other general corporate purposes. See “</w:t>
      </w:r>
      <w:r>
        <w:rPr>
          <w:rFonts w:ascii="Times New Roman;Times;serif" w:hAnsi="Times New Roman;Times;serif"/>
          <w:b w:val="false"/>
          <w:i/>
          <w:caps w:val="false"/>
          <w:smallCaps w:val="false"/>
          <w:color w:val="000000"/>
          <w:spacing w:val="4"/>
          <w:sz w:val="20"/>
          <w:bdr w:val="single" w:sz="8" w:space="1" w:color="000000"/>
          <w:shd w:fill="FFFFFF" w:val="clear"/>
        </w:rPr>
        <w:t>Use of Proceeds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 factors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Investing in our securities involves significant risks. See “Risk Factors” and under similar headings in the documents incorporated by reference into this prospectus supplement for a discussion of factors you should read and consider before investing in our securities.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Nasdaq Capital Market symbol</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common stock is listed on the Nasdaq Capital Market under the symbol “VSTM”. We do not intend to apply for listing of the pre-funded warrants on the Nasdaq Capital Market or any securities exchange or nationally recognized trading system.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number of shares of our common stock to be outstanding upon completion of this offering is based on 90,481,615 shares of our common stock outstanding as of June 30, 2026, and excludes the following, each as of June 30, 2026: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3,343,705 shares of our common stock issuable upon the exercise of stock options outstanding under our Amended and Restated 2012 Incentive Plan, our Amended and Restated 2021 Equity Incentive Plan, and our inducement award program (collectively, our “Equity Incentive Plans”), at a weighted average exercise price of $10.05 per share;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3,701,673 shares of our common stock issuable upon the vesting of restricted stock units under our Equity Incentive Plans;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10,727,692 shares of our common stock reserved and available for future issuance under our Amended and Restated 2021 Equity Incentive Plan, of which 154,580 shares are issuable upon the vesting of restricted stock units granted and 27,500 shares at a weighted-average exercise price of $4.10 per share are issuable upon the exercise of stock options granted subsequent to June 30, 2026 under the Amended and Restated 2021 Equity Incentive Plan;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817,547 shares of our common stock reserved and available for future issuance under our inducement award program, of which 780,250 shares are issuable upon the vesting of restricted stock units and 141,000 shares are issuable upon the exercise of stock options at a weighted-average exercise price of $5.45 per share granted subsequent to June 30, 2026 under the inducement award program; </w:t>
      </w:r>
      <w:r>
        <mc:AlternateContent>
          <mc:Choice Requires="wps">
            <w:drawing>
              <wp:anchor behindDoc="0" distT="0" distB="0" distL="254000" distR="0" simplePos="0" locked="0" layoutInCell="1" allowOverlap="1" relativeHeight="20">
                <wp:simplePos x="0" y="0"/>
                <wp:positionH relativeFrom="column">
                  <wp:align>left</wp:align>
                </wp:positionH>
                <wp:positionV relativeFrom="line">
                  <wp:posOffset>635</wp:posOffset>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5,032,893 shares of our common stock reserved for future issuance under our Amended and Restated 2018 Employee Stock Purchase Plan;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9,727,142 shares of our common stock issuable upon the exercise of our currently outstanding pre-funded warrants at an exercise price equal to $0.0001 per share (the “April 2025 Pre-Funded Warrants”) and pre-funded warrants at an exercise price equal to $0.0001 per share (the “November 2025 Pre-Funded Warrants”).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Unless otherwise indicated, all information in this prospectus supplement reflects or assumes: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 issuance or exercise of stock options or warrants after June 30, 2026; and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 exercise of pre-funded warrants to be offered and sold in this offering.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In connection with this proposed offering, we suspended and terminated the ATM Prospectus, filed with the registration statement of which this prospectus supplement forms a part and related to the sale of common stock pursuant to the Sales Agreement. As a result, we will not make any sales of our common stock pursuant to the Sales Agreement unless and until a new prospectus, prospectus supplement or registration statement is filed.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bRIFA"/>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pPr>
      <w:r>
        <w:rPr>
          <w:rFonts w:ascii="Times New Roman;Times;serif" w:hAnsi="Times New Roman;Times;serif"/>
          <w:b w:val="false"/>
          <w:i/>
          <w:caps w:val="false"/>
          <w:smallCaps w:val="false"/>
          <w:color w:val="000000"/>
          <w:spacing w:val="4"/>
          <w:sz w:val="20"/>
          <w:shd w:fill="FFFFFF" w:val="clear"/>
        </w:rPr>
        <w:t xml:space="preserve">You should consider carefully the risks described below and discussed under the section captioned “Risk Factors” contained in our </w:t>
      </w:r>
      <w:hyperlink r:id="rId3">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shd w:fill="FFFFFF" w:val="clear"/>
        </w:rPr>
        <w:t xml:space="preserve"> and in any subsequent quarterly reports on Form 10-Q, as updated by our subsequent filings under the Securities Exchange Act of 1934, as amended (the “Exchange Act”), each of which is incorporated by reference in this prospectus supplement,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or our pre-funded warrants. If any of the following events actually occur, our business, operating results, prospects or financial condition could be materially and adversely affected. </w:t>
      </w:r>
    </w:p>
    <w:p>
      <w:pPr>
        <w:pStyle w:val="TextBody"/>
        <w:bidi w:val="0"/>
        <w:spacing w:lineRule="atLeast" w:line="25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this Offering and Our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may allocate the net proceeds from this offering in ways that you and other stockholders may not approve.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intend to use the net proceeds from this offering to fund the continued clinical development of VS-7375, and for working capital and other general corporate purposes. Our expected use of the net proceeds from this offering represents our intentions based upon our current plans and business conditions. The amounts and timing of our actual expenditures may vary significantly depending on numerous factors, including the progress of our commercialization and development efforts, the status of and results from clinical trials, as well as any collaborations that we may enter into with third parties for our product candidates, and any unforeseen cash needs. Because the number and variability of factors that will determine our use of the proceeds from this offering, their ultimate use may vary substantially from their currently intended use. As a result, our management will retain broad discretion over the allocation of the net proceeds from this offering and could spend the proceeds in ways that do not necessarily improve our operating results or enhance the value of our common stock. See “</w:t>
      </w:r>
      <w:r>
        <w:rPr>
          <w:rFonts w:ascii="Times New Roman;Times;serif" w:hAnsi="Times New Roman;Times;serif"/>
          <w:b w:val="false"/>
          <w:i/>
          <w:caps w:val="false"/>
          <w:smallCaps w:val="false"/>
          <w:color w:val="000000"/>
          <w:spacing w:val="4"/>
          <w:sz w:val="20"/>
          <w:shd w:fill="FFFFFF" w:val="clear"/>
        </w:rPr>
        <w:t>Use of Proceeds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shd w:fill="FFFFFF" w:val="clear"/>
        </w:rPr>
      </w:pPr>
      <w:r>
        <w:rPr>
          <w:rFonts w:ascii="Times New Roman;Times;serif" w:hAnsi="Times New Roman;Times;serif"/>
          <w:b/>
          <w:i/>
          <w:caps w:val="false"/>
          <w:smallCaps w:val="false"/>
          <w:color w:val="000000"/>
          <w:spacing w:val="-4"/>
          <w:sz w:val="20"/>
          <w:shd w:fill="FFFFFF" w:val="clear"/>
        </w:rPr>
        <w:t xml:space="preserve">If you purchase securities in this offering, you will suffer immediate and substantial dilution of your investment.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Because the price per share of our common stock being offered is substantially higher than the net tangible book value per share of our common stock as of June 30, 2026, you will suffer substantial dilution in the net tangible book value of the common stock you purchase in this offering. If you purchase shares of common stock or pre-funded warrants in this offering, you will suffer immediate and substantial dilution of $5.79 per share with respect to the net tangible book value of the common stock or pre-funded warrants based on the offering price of $8.00 per share of common stock and $7.9999 per pre-funded warrant. To the extent securities are issued under outstanding options and restricted stock units, the exercise of our outstanding pre-funded warrants and/or warrants, or the exercise of pre-funded warrants to be sold in this offering or further sales are made pursuant to the Sales Agreement, you will incur further dilution. See “</w:t>
      </w:r>
      <w:r>
        <w:rPr>
          <w:rFonts w:ascii="Times New Roman;Times;serif" w:hAnsi="Times New Roman;Times;serif"/>
          <w:b w:val="false"/>
          <w:i/>
          <w:caps w:val="false"/>
          <w:smallCaps w:val="false"/>
          <w:color w:val="000000"/>
          <w:spacing w:val="4"/>
          <w:sz w:val="20"/>
          <w:shd w:fill="FFFFFF" w:val="clear"/>
        </w:rPr>
        <w:t>Dilution</w:t>
      </w:r>
      <w:r>
        <w:rPr>
          <w:rFonts w:ascii="Times New Roman;Times;serif" w:hAnsi="Times New Roman;Times;serif"/>
          <w:b w:val="false"/>
          <w:i w:val="false"/>
          <w:caps w:val="false"/>
          <w:smallCaps w:val="false"/>
          <w:color w:val="000000"/>
          <w:spacing w:val="4"/>
          <w:sz w:val="20"/>
          <w:shd w:fill="FFFFFF" w:val="clear"/>
        </w:rPr>
        <w:t xml:space="preserve">” for a more detailed discussion of the dilution you will incur if you purchase shares of our common stock or pre-funded warrants in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Investors in this offering may experience future dilution.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related securities in any other offering at a price per share that is equal to or greater than the price per share paid by investors in this offering. If the price per share at which we sell additional shares of our common stock or related securities in future transactions is less than the price per share in this offering, investors who purchase our common stock in this offering will suffer a dilution in their investment.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Sales of a substantial number of shares of our common stock in the public market, or the perception that such sales may occur, could cause our stock price to decline.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Sales of a substantial number of shares of our common stock or other equity-related securities in the public market could cause the market price of our common stock to decline and impair our ability to raise capital through the sale of additional equity securities. Such sales, or the perception in the market that the holders of a large number of such shares intend to sell, could reduce the market price of our common stock significantly. In connection with this offering, we and our executive officers and directors have entered into lock-up agreements with Jefferies LLC and Guggenheim Securities, LLC, as representatives of the underwriters, that prohibit us and our executive officers and directors, subject to certain specified exceptions or receipt of the prior written consent of Jefferies LLC and Guggenheim Securities, LLC from offering, selling, contracting to sell, pledging or otherwise disposing of, our common stock or securities convertible into or exchangeable for shares of our common stock for a period of 60 days after the date of this prospectus supplement. However, all of the securities sold in this offering and the remaining shares of our common stock outstanding immediately prior to this offering will not be subject to lock-up agreements with Jefferies LLC and Guggenheim Securities, LLC and will be freely tradable without restriction. See “</w:t>
      </w:r>
      <w:r>
        <w:rPr>
          <w:rFonts w:ascii="Times New Roman;Times;serif" w:hAnsi="Times New Roman;Times;serif"/>
          <w:b w:val="false"/>
          <w:i/>
          <w:caps w:val="false"/>
          <w:smallCaps w:val="false"/>
          <w:color w:val="000000"/>
          <w:spacing w:val="4"/>
          <w:sz w:val="20"/>
          <w:shd w:fill="FFFFFF" w:val="clear"/>
        </w:rPr>
        <w:t>Underwriting</w:t>
      </w:r>
      <w:r>
        <w:rPr>
          <w:rFonts w:ascii="Times New Roman;Times;serif" w:hAnsi="Times New Roman;Times;serif"/>
          <w:b w:val="false"/>
          <w:i w:val="false"/>
          <w:caps w:val="false"/>
          <w:smallCaps w:val="false"/>
          <w:color w:val="000000"/>
          <w:spacing w:val="4"/>
          <w:sz w:val="20"/>
          <w:shd w:fill="FFFFFF" w:val="clear"/>
        </w:rPr>
        <w:t xml:space="preserve">.” If our executive officers or directors sell, or indicate an intention to sell, substantial amounts of our common stock in the public market, the market price of our common stock could decline.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Our Preliminary Financial Information represents management’s current reconciliation and are subject to change.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Preliminary Financial Information contained in “Prospectus Supplement Summary — Recent Developments — Preliminary Unaudited Third Quarter 2026 Financial Results” represents only preliminary financial results and is based on information available to management as of the date of this prospectus supplement. Our actual financial results as of, and for the three months ended, September 30, 2026 are subject to the completion of our financial statements as of such date and for such period. Such actual financial results will not be available until after this offering is completed. This Preliminary Financial Information is the responsibility of our management and has been prepared in good faith on a consistent basis with prior periods. However, we have not completed our financial closing procedures for the three months ended September 30, 2026, and our actual results could be materially different from the Preliminary Financial Information provided above. Our independent registered public accounting firm, EY, has not audited, reviewed, examined, compiled nor applied agreed-upon procedures with respect to the accompanying Preliminary Financial Information and, accordingly, EY does not express an opinion or any other form of assurance with respect thereto. Complete results as of, and for the three months ended, September 30, 2026 will be included in our Quarterly Report on Form 10-Q for the quarter ended September 30, 2026. See the other risks described in this section and “Special Note Regarding Forward-Looking Statements” for additional information regarding factors that could result in differences between these preliminary and the actual financial results we will report for the three months ended September 30, 2026.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There is no public market for the pre-funded warrants being offered in this offering.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 and you may be unable to sell the pre-funded warrants at the prices desired or at all. The liquidity of the trading market in the pre-funded warrants and the sale price, if any, for the pre-funded warrants, may be adversely affected by, among other things: (i) changes in the overall market for the pre-funded warrants; (ii) changes in our financial performance or prospects; (iii) changes or perceived changes in our creditworthiness; (iv) the prospects for companies in the industry generally; (v) the number of holders of the pre-funded warrants; and (vi) the interest of securities dealers in making a market for the pre-funded warrants.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will not receive any meaningful amount of additional funds upon the exercise of the pre-funded warrants.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pre-funded warrant will be exercisable until it is fully exercised and by means of payment of the nominal cash purchase price upon exercise or by means of a “cashless exercise,” meaning that the holder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12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not pay a cash purchase price upon exercise, but instead would receive upon such exercise the net number of shares of our common stock determined according to a formula set forth in the pre-funded warrant. Accordingly, we will not receive any meaningful additional funds upon the exercise of the pre-funded warrants.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Except for the right to participate in certain dividends and distributions and as otherwise provided in the pre- funded warrants, holders of the pre-funded warrants will have no rights as common stockholders until such holders exercise their pre-funded warrants and acquire shares of our common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Until holders of the pre-funded warrants exercise their pre-funded warrants and acquire shares of our common stock, such holders will have no rights with respect to the shares of our common stock underlying such pre-funded warrants, except for the right to participate in certain dividends and distributions and as otherwise provided in the pre-funded warrants. Upon exercise of the pre-funded warrants, the holders will be entitled to exercise the rights of a common stockholder only as to matters for which the record date occurs after the exercise date.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Significant holders or beneficial holders of shares of our common stock may not be permitted to exercise the pre-funded warrants that they hold.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Significant holders or beneficial holders of our common stock may not be permitted to exercise pre-funded warrants that they hold. Holders of the pre-funded warrants will not be entitled to exercise any portion of any such pre-funded warrant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such securities. See “</w:t>
      </w:r>
      <w:r>
        <w:rPr>
          <w:rFonts w:ascii="Times New Roman;Times;serif" w:hAnsi="Times New Roman;Times;serif"/>
          <w:b w:val="false"/>
          <w:i/>
          <w:caps w:val="false"/>
          <w:smallCaps w:val="false"/>
          <w:color w:val="000000"/>
          <w:spacing w:val="4"/>
          <w:sz w:val="20"/>
          <w:shd w:fill="FFFFFF" w:val="clear"/>
        </w:rPr>
        <w:t>Description of Pre-Funded Warrants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bSNRF"/>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NOTE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prospectus supplement, the accompanying prospectus and the other documents we have filed with the SEC that are incorporated herein and therein by reference, contain forward-looking statements. 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 this prospectus supplement are forward-looking statements, including statements regarding our strategy, the timing of our CEO transition, future operations, future financial position, including our ability to continue as a going concern through one year from the date of the financial statements for the quarter ended June 30, 2026, future revenues, projected costs, prospects, plans and objectives of management. Such statements relate to, among other things, the commercial success of our marketed product AVMAPKI</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FAKZYNJA</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CO-PACK (avutometinib capsules; defactinib tablets), the development and activity of our programs and product candidates, avutometinib (rapidly accelerated fibrosarcoma (“RAF”)/ mitogen-activated protein kinase kinase (“MEK”) program), defactinib (focal adhesion kinase (“FAK”) program), and VS-7375 (a selective oral KRAS G12D dual ON/OFF inhibitor), the structure and potential clinical value of our completed, planned and pending clinical trials, including the RAMP 201, RAMP 201J, RAMP 205, RAMP 301 TARGET-D 101, TARGET-D 201, TARGET-D 202, and TARGET-D 203;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our lead compound and the potential market opportunities thereof; the expected outcome and benefits of our collaboration with GenFleet Therapeutics (Shanghai), Inc. (“GenFleet”) and the estimated addressable markets for, and anticipated market opportunities of our drug candidates.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 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representative of more mature data or predictive of the results or success of ongoing or later clinical trials; that the timing, scope and rate of reimbursement for our product candidates is uncertain; actions or advice of regulatory agencies to maintain regulatory approval of AVMAPKI FAKZYNJA CO-PACK; that the market opportunities of AVMAPKI FAKZYNJA CO-PACK are based on internal and third-party estimates which may prove to be incorrect; that third-party payors (including government agencies) may not reimburse; our pro forma cash position; uncertainties related to the regulatory and policy actions proposed and enacted by the current U.S. presidential administration that may adversely affect our business; that there may be competitive developments affecting our product candidates; that data may not be available when expected; that enrollment of clinical trials may take longer than expected; that our marketed products and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confirm the results from the RAMP 201 study or expand the approved indication for AVMAPKI FAKZYNJA CO-PACK; that our product candidates may experience manufacturing or supply interruptions or failures; that any of our third-party contract research organizations, contract manufacturing organizations, clinical sites, or contractors, among others, who we rely on may fail to fully perform; that we face substantial competition, which may result in others developing or commercializing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0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products before or more successfully than we do which could result in reduced market share or market potential for 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 quality personnel; that we or Pfizer, Inc. (“Pfizer”) may fail to fully perform under the license agreement covering certain Pfizer FAK inhibitors, including defactinib; that we or Chugai Pharmaceutical, Co. Ltd.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and may continue to make pursuant to the collaboration and option agreement with GenFleet or that GenFleet may fail to fully perform under the agreement;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satisfy the closing conditions to receive $50.0 million from our non-dilutive royalty financing arrangement with Oberland Capital;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our Annual Report on Form 10-K for the year ended December 31, 2025, as filed with the SEC on March 4, 2026, and our Quarterly Reports on Form 10-Q for the fiscal quarters ended March 31, 2026 and June 30, 2026, as filed with the SEC on May 7, 2026 and August 6, 2026, respectively, and in any subsequent filings with the SEC.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prospectus supplement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bUOP"/>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estimate that the net proceeds received by us from this offering, after deducting underwriting discounts and commissions and estimated offering expenses payable by us, will be approximately $234.7 million.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currently estimate that we will use the net proceeds from this offering to fund the continued clinical development of VS-7375, and for working capital and other general corporate purposes.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believe that the net proceeds from this offering, together with our existing cash and cash equivalents and investments and projected revenues from U.S. sales of the AVMAPKI FAKZYNJA CO-PACK, will be sufficient to fund our projected operating expenses and capital expenditures for at least the next 12 months. Our expected use of the net proceeds from this offering represents our intentions based upon our current plans and business conditions. The amounts and timing of our actual expenditures may vary significantly depending on numerous factors, including the progress of our development efforts,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Pending our use of the net proceeds from this offering described above, we intend to invest the net proceeds in a variety of capital preservation investments, including short-term, investment-grade, interest-bearing instruments and U.S. government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bDOPW"/>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PRE-FUNDED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is a brief summary of certain terms and conditions of the pre-funded warrants being offered in this offering. The following description is subject in all respects to the provisions contained in the pre-funded warrants.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Form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pre-funded warrants will be issued as individual pre-funded warrant agreements to the purchasers. The form of pre-funded warrant will be provided to investors in this offering and will be filed with the SEC as an exhibit to a Current Report on Form 8-K in connection with this offering.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Term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pre-funded warrants will not expire until they are fully exercised.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Exercisability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pre-funded warrants will be immediately exercisable at any time until they are fully exercised.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 holder of the pre-funded warrants may also satisfy its obligation to pay the exercise price through a “cashless exercise,” in which the holder receives the net value of the pre-funded warrant in shares of common stock determined according to the formula set forth in the pre-funded warrant.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Exercise Limitations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and other attribution parties) to exceed 4.99% or 9.99%, at the election of the holder (or such higher percentage up to 19.99%, at the election of the holder) of the number of shares of our common stock outstanding immediately after giving effect to the exercise; or (ii) the combined voting power of our securities beneficially owned by such holder (together with its affiliates and other attribution parties) to exceed 4.99% or 9.99%, at the election of the holder (or such higher percentage up to 19.99%, at the election of the holder)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provided that any such increase or decrease will not be effective until the sixty-first (61st) day after such notice is delivered to us subject to the terms of the pre-funded warrant.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Exercise Price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price of shares of our common stock purchasable upon the exercise of the pre-funded warrants is $0.0001 per underlying share of common stock. The exercise price of the pre-funded warrants and the number of shares of common stock issuable upon exercise of the pre-funded warrants is subject to appropriate adjustment in the event of certain stock dividends and distributions, stock splits, stock combinations, reclassifications or similar events affecting our shares of common stock, as well as upon any distribution of assets, including cash, stock or other property, to our stockholders. The exercise price of the pre-funded warrants will not be adjusted below the par value of our shares of common stock.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Fractional Shares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fractional shares shall be issued upon the exercise of the pre-funded warrants, and the number of shares of common stock to be issued upon the exercise of such pre-funded warrants shall be rounded down to the nearest whole share. If a fractional share interest arises upon any exercise of a pre-funded warrant,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shall eliminate such fractional share interest by paying the holder in cash the amount computed by multiplying the fractional interest by (i) the fair market value (as determined in accordance with the terms of the pre-funded warrants) of a full share, less (ii) the then-effective exercise price.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Transferability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applicable laws, the pre-funded warrants may be offered for sale, sold, transferred or assigned without our consent.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 Listing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no established public trading market for the pre-funded warrants, and we do not expect a market to develop. We do not intend to list the pre-funded warrants on The Nasdaq Capital Market, any other national securities exchange or any other nationally recognized trading system. Without an active market, the liquidity of the pre-funded warrants will be limited.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Acquisitions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consummation of an acquisition (as described in the pre-funded warrants, and generally including any reorganization, recapitalization or reclassification of our shares of common stock, the sale, lease, exclusive license or other disposition of all or substantially all of our assets, our merger or consolidation with or into another person, or any other corporate reorganization in which our stockholders immediately following such transaction own less than fifty percent of the voting power of our (or the surviving entity’s) outstanding shares of common stock, or if we are not the surviving entity, or if our stockholders sell or transfer shares representing greater than fifty percent of our then-total outstanding combined voting power), the holders of the pre-funded warrants will be entitled to receive, upon exercise of the pre-funded warrants, the kind and amount of securities, cash or other property that such holders would have received had they exercised the pre-funded warrants immediately prior to such acquisition, without regard to any limitations on exercise contained in the pre-funded warrants.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 Rights as a Stockholder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for the right to participate in certain dividends and distributions and as otherwise provided in the pre-funded warrant or by virtue of such holder’s ownership of shares of our common stock, a holder of a pre-funded warrant does not have the rights or privileges of a holder of shares of our common stock, including any voting rights, until such holder exercises the pre-funded warrant.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Waivers and Amendments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pre-funded warrants and any term thereof may only be amended or otherwise changed, waived, discharged or terminated in writing, signed by the party against which enforcement of such amendment or other change, waiver, discharge or termination is sought.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bDIL"/>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DILUTION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invest in our common stock in this offering, your ownership interest will be diluted immediately to the extent of the difference between the offering price per share of our common stock and the as adjusted net tangible book value per share of our common stock after giving effect to this offering.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historical net tangible book value as of June 30, 2026 was $34.1 million, or $0.38 per share of our common stock. Historical net tangible book value per share represents the amount of our total tangible assets less total liabilities, divided by 90,481,615 shares of our common stock outstanding as of June 30, 2026.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giving effect to the sale of 30,937,500 shares of our common stock in this offering at the offering price of $8.00 per share and the pre-funded warrants to purchase up to 312,503 shares of our common stock in this offering at an offering price of $7.9999 per pre-funded warrant (which equals the offering price per share of the common stock less the $0.0001 per share exercise price of each such pre-funded warrant) (and excluding shares of common stock issuable upon the exercise of pre-funded warrants), and after deducting the underwriting discounts and commissions and the estimated offering expenses payable by us, our as adjusted net tangible book value as of June 30, 2026 would have been approximately $268.8 million, or approximately $2.21 per share of common stock. This represents an immediate increase in net tangible book value per share of $1.83 to existing stockholders and immediate dilution of $5.79 in net tangible book value per share to new investors participating in this offering.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Dilution per share to new investors is determined by subtracting as adjusted net tangible book value per share after this offering from the offering price per share paid by new investors. The following table illustrates this calculation on a per share basis. </w:t>
      </w:r>
    </w:p>
    <w:tbl>
      <w:tblPr>
        <w:tblW w:w="8732" w:type="dxa"/>
        <w:jc w:val="left"/>
        <w:tblInd w:w="1433" w:type="dxa"/>
        <w:tblLayout w:type="fixed"/>
        <w:tblCellMar>
          <w:top w:w="0" w:type="dxa"/>
          <w:left w:w="0" w:type="dxa"/>
          <w:bottom w:w="0" w:type="dxa"/>
          <w:right w:w="0" w:type="dxa"/>
        </w:tblCellMar>
      </w:tblPr>
      <w:tblGrid>
        <w:gridCol w:w="124"/>
        <w:gridCol w:w="6035"/>
        <w:gridCol w:w="109"/>
        <w:gridCol w:w="109"/>
        <w:gridCol w:w="109"/>
        <w:gridCol w:w="226"/>
        <w:gridCol w:w="526"/>
        <w:gridCol w:w="109"/>
        <w:gridCol w:w="109"/>
        <w:gridCol w:w="109"/>
        <w:gridCol w:w="109"/>
        <w:gridCol w:w="226"/>
        <w:gridCol w:w="56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035" w:type="dxa"/>
            <w:tcBorders/>
            <w:shd w:fill="CCEEFF" w:val="clear"/>
            <w:vAlign w:val="center"/>
          </w:tcPr>
          <w:p>
            <w:pPr>
              <w:pStyle w:val="TableContents"/>
              <w:bidi w:val="0"/>
              <w:spacing w:before="0" w:after="0"/>
              <w:jc w:val="left"/>
              <w:rPr>
                <w:spacing w:val="4"/>
              </w:rPr>
            </w:pPr>
            <w:r>
              <w:rPr>
                <w:spacing w:val="4"/>
              </w:rPr>
              <w:t xml:space="preserve">Offering price per share of common stock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68" w:type="dxa"/>
            <w:tcBorders/>
            <w:shd w:fill="CCEEFF" w:val="clear"/>
            <w:vAlign w:val="center"/>
          </w:tcPr>
          <w:p>
            <w:pPr>
              <w:pStyle w:val="TableContents"/>
              <w:bidi w:val="0"/>
              <w:spacing w:before="0" w:after="283"/>
              <w:jc w:val="right"/>
              <w:rPr/>
            </w:pPr>
            <w:r>
              <w:rPr/>
              <w:t xml:space="preserve">8.00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ind w:left="200" w:right="0" w:hanging="0"/>
              <w:jc w:val="left"/>
              <w:rPr>
                <w:spacing w:val="4"/>
              </w:rPr>
            </w:pPr>
            <w:r>
              <w:rPr>
                <w:spacing w:val="4"/>
              </w:rPr>
              <w:t xml:space="preserve">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0.38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68"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3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Increase in net tangible book value per share attributable to new investors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single" w:sz="2" w:space="0" w:color="000000"/>
            </w:tcBorders>
            <w:shd w:fill="CCEEFF" w:val="clear"/>
            <w:tcMar>
              <w:bottom w:w="50" w:type="dxa"/>
            </w:tcMar>
            <w:vAlign w:val="center"/>
          </w:tcPr>
          <w:p>
            <w:pPr>
              <w:pStyle w:val="TableContents"/>
              <w:bidi w:val="0"/>
              <w:spacing w:before="0" w:after="283"/>
              <w:jc w:val="right"/>
              <w:rPr/>
            </w:pPr>
            <w:r>
              <w:rPr/>
              <w:t>1.83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68"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03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As adjusted net tangible book value per share after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50" w:type="dxa"/>
            </w:tcMar>
            <w:vAlign w:val="center"/>
          </w:tcPr>
          <w:p>
            <w:pPr>
              <w:pStyle w:val="TableContents"/>
              <w:bidi w:val="0"/>
              <w:spacing w:before="0" w:after="283"/>
              <w:jc w:val="right"/>
              <w:rPr/>
            </w:pPr>
            <w:r>
              <w:rPr/>
              <w:t>​</w:t>
            </w:r>
          </w:p>
        </w:tc>
        <w:tc>
          <w:tcPr>
            <w:tcW w:w="526" w:type="dxa"/>
            <w:tcBorders>
              <w:bottom w:val="single" w:sz="2" w:space="0" w:color="FFFFFF"/>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68" w:type="dxa"/>
            <w:tcBorders>
              <w:bottom w:val="single" w:sz="2" w:space="0" w:color="000000"/>
            </w:tcBorders>
            <w:tcMar>
              <w:bottom w:w="50" w:type="dxa"/>
            </w:tcMar>
            <w:vAlign w:val="center"/>
          </w:tcPr>
          <w:p>
            <w:pPr>
              <w:pStyle w:val="TableContents"/>
              <w:bidi w:val="0"/>
              <w:spacing w:before="0" w:after="283"/>
              <w:jc w:val="right"/>
              <w:rPr/>
            </w:pPr>
            <w:r>
              <w:rPr/>
              <w:t>2.21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035" w:type="dxa"/>
            <w:tcBorders/>
            <w:shd w:fill="CCEEFF" w:val="clear"/>
            <w:vAlign w:val="center"/>
          </w:tcPr>
          <w:p>
            <w:pPr>
              <w:pStyle w:val="TableContents"/>
              <w:bidi w:val="0"/>
              <w:spacing w:before="0" w:after="0"/>
              <w:jc w:val="left"/>
              <w:rPr/>
            </w:pPr>
            <w:r>
              <w:rPr>
                <w:spacing w:val="4"/>
              </w:rPr>
              <w:t>Dilution per share of common stock to new investors participating in the offering</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68" w:type="dxa"/>
            <w:tcBorders>
              <w:bottom w:val="double" w:sz="8" w:space="0" w:color="000000"/>
            </w:tcBorders>
            <w:shd w:fill="CCEEFF" w:val="clear"/>
            <w:tcMar>
              <w:bottom w:w="50" w:type="dxa"/>
            </w:tcMar>
            <w:vAlign w:val="center"/>
          </w:tcPr>
          <w:p>
            <w:pPr>
              <w:pStyle w:val="TableContents"/>
              <w:bidi w:val="0"/>
              <w:spacing w:before="0" w:after="283"/>
              <w:jc w:val="right"/>
              <w:rPr/>
            </w:pPr>
            <w:r>
              <w:rPr/>
              <w:t>5.79</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30" w:before="256"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the above discussion and table are based on 90,481,615 shares outstanding as of June 30, 2026, and excludes the following, each as of June 30, 2026: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3,343,705 shares of our common stock issuable upon the exercise of stock options outstanding under our Equity Incentive Plans, at a weighted average exercise price of $10.05 per share;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3,701,673 shares of our common stock issuable upon the vesting of restricted stock units under our Equity Incentive Plans;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10,727,692 shares of our common stock reserved and available for future issuance under our Amended and Restated 2021 Equity Incentive Plan, of which 154,580 shares are issuable upon the vesting of restricted stock units and 27,500 shares at a weighted-average exercise price of $4.10 per share are issuable upon the exercise of stock options granted subsequent to June 30, 2026 under the Amended and Restated 2021 Equity Incentive Plan;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817,547 shares of our common stock reserved and available for future issuance under our inducement award program, of which 780,250 shares are issuable upon the vesting of restricted stock units and 141,000 shares are issuable upon the exercise of stock options at a weighted-average exercise price of $5.45 per share granted subsequent to June 30, 2026 under the inducement award program;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5,032,893 shares of our common stock reserved for future issuance under our Amended and Restated 2018 Employee Stock Purchase Plan;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9,727,142 shares of our common stock issuable upon the exercise of our April 2025 Pre-Funded Warrants at an exercise price equal to $0.0001 per share and November 2025 Pre-Funded Warrants at an exercise price equal to $0.0001 per share.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of dilution, and the table quantifying it, assumes except as noted above, (i) no issuance, vesting of restricted stock units or exercise of stock options, pre-funded warrants or warrants after June 30,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72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2026; and (ii) no exercise of pre-funded warrants to be offered and sold in this offering. The exercise of outstanding options to purchase shares of our common stock having an exercise price less than the offering price would increase the dilutive effect to new investors.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holders of pre-funded warrants exercise the pre-funded warrants in full, the as adjusted net tangible book value per share of our common stock after giving effect to this offering would be $2.21 per share, representing an increase in net tangible book value of approximately $1.83 per share attributable to new investors and immediate dilution in net tangible book value of approximately $5.79 per share to investors purchasing common stock in this offering at the offering price.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bUND"/>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96"/>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UNDERWRITING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and conditions set forth in the underwriting agreement, dated October 14, 2026, between us and Jefferies LLC and Guggenheim Securities, LLC as the representatives of the underwriters named below and, together with Cantor Fitzgerald &amp; Co., the joint book-running managers of this offering, we have agreed to sell to the underwriters, and each of the underwriters has agreed, severally and not jointly, to purchase from us, the respective number of shares of common stock and shares underlying pre-funded warrants shown opposite its name below: </w:t>
      </w:r>
    </w:p>
    <w:tbl>
      <w:tblPr>
        <w:tblW w:w="7140" w:type="dxa"/>
        <w:jc w:val="left"/>
        <w:tblInd w:w="1433" w:type="dxa"/>
        <w:tblLayout w:type="fixed"/>
        <w:tblCellMar>
          <w:top w:w="0" w:type="dxa"/>
          <w:left w:w="0" w:type="dxa"/>
          <w:bottom w:w="43" w:type="dxa"/>
          <w:right w:w="0" w:type="dxa"/>
        </w:tblCellMar>
      </w:tblPr>
      <w:tblGrid>
        <w:gridCol w:w="3055"/>
        <w:gridCol w:w="109"/>
        <w:gridCol w:w="109"/>
        <w:gridCol w:w="116"/>
        <w:gridCol w:w="116"/>
        <w:gridCol w:w="1273"/>
        <w:gridCol w:w="116"/>
        <w:gridCol w:w="109"/>
        <w:gridCol w:w="109"/>
        <w:gridCol w:w="168"/>
        <w:gridCol w:w="168"/>
        <w:gridCol w:w="1370"/>
        <w:gridCol w:w="168"/>
        <w:gridCol w:w="154"/>
      </w:tblGrid>
      <w:tr>
        <w:trPr/>
        <w:tc>
          <w:tcPr>
            <w:tcW w:w="3055"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1"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 of</w:t>
            </w:r>
            <w:r>
              <w:rPr/>
              <w:t xml:space="preserve"> </w:t>
              <w:br/>
            </w: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4"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of Common Stock</w:t>
            </w:r>
            <w:r>
              <w:rPr/>
              <w:t xml:space="preserve"> </w:t>
              <w:br/>
            </w:r>
            <w:r>
              <w:rPr>
                <w:spacing w:val="-3"/>
              </w:rPr>
              <w:t>underlying</w:t>
            </w:r>
            <w:r>
              <w:rPr/>
              <w:t xml:space="preserve"> </w:t>
              <w:br/>
            </w:r>
            <w:r>
              <w:rPr>
                <w:spacing w:val="-3"/>
              </w:rPr>
              <w:t>Pre-Funded</w:t>
            </w:r>
            <w:r>
              <w:rPr/>
              <w:t xml:space="preserve"> </w:t>
              <w:br/>
            </w:r>
            <w:r>
              <w:rPr>
                <w:spacing w:val="-3"/>
              </w:rPr>
              <w:t xml:space="preserve">Warrants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Jefferies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273" w:type="dxa"/>
            <w:tcBorders/>
            <w:shd w:fill="CCEEFF" w:val="clear"/>
            <w:tcMar>
              <w:bottom w:w="0" w:type="dxa"/>
            </w:tcMar>
            <w:vAlign w:val="center"/>
          </w:tcPr>
          <w:p>
            <w:pPr>
              <w:pStyle w:val="TableContents"/>
              <w:bidi w:val="0"/>
              <w:spacing w:before="0" w:after="283"/>
              <w:jc w:val="right"/>
              <w:rPr/>
            </w:pPr>
            <w:r>
              <w:rPr/>
              <w:t>12,375,000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125,002</w:t>
            </w:r>
          </w:p>
        </w:tc>
        <w:tc>
          <w:tcPr>
            <w:tcW w:w="16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Guggenheim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73" w:type="dxa"/>
            <w:tcBorders/>
            <w:tcMar>
              <w:bottom w:w="0" w:type="dxa"/>
            </w:tcMar>
            <w:vAlign w:val="center"/>
          </w:tcPr>
          <w:p>
            <w:pPr>
              <w:pStyle w:val="TableContents"/>
              <w:bidi w:val="0"/>
              <w:spacing w:before="0" w:after="283"/>
              <w:jc w:val="right"/>
              <w:rPr/>
            </w:pPr>
            <w:r>
              <w:rPr/>
              <w:t>9,281,250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93,751</w:t>
            </w:r>
          </w:p>
        </w:tc>
        <w:tc>
          <w:tcPr>
            <w:tcW w:w="16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Cantor Fitzgerald &amp; Co.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273" w:type="dxa"/>
            <w:tcBorders/>
            <w:shd w:fill="CCEEFF" w:val="clear"/>
            <w:tcMar>
              <w:bottom w:w="0" w:type="dxa"/>
            </w:tcMar>
            <w:vAlign w:val="center"/>
          </w:tcPr>
          <w:p>
            <w:pPr>
              <w:pStyle w:val="TableContents"/>
              <w:bidi w:val="0"/>
              <w:spacing w:before="0" w:after="283"/>
              <w:jc w:val="right"/>
              <w:rPr/>
            </w:pPr>
            <w:r>
              <w:rPr/>
              <w:t>8,043,750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 xml:space="preserve">81,250 </w:t>
            </w:r>
          </w:p>
        </w:tc>
        <w:tc>
          <w:tcPr>
            <w:tcW w:w="16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B. Riley Securities,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1273" w:type="dxa"/>
            <w:tcBorders>
              <w:bottom w:val="single" w:sz="2" w:space="0" w:color="000000"/>
            </w:tcBorders>
            <w:tcMar>
              <w:bottom w:w="50" w:type="dxa"/>
            </w:tcMar>
            <w:vAlign w:val="center"/>
          </w:tcPr>
          <w:p>
            <w:pPr>
              <w:pStyle w:val="TableContents"/>
              <w:bidi w:val="0"/>
              <w:spacing w:before="0" w:after="283"/>
              <w:jc w:val="right"/>
              <w:rPr/>
            </w:pPr>
            <w:r>
              <w:rPr/>
              <w:t>1,237,500</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1370" w:type="dxa"/>
            <w:tcBorders>
              <w:bottom w:val="single" w:sz="2" w:space="0" w:color="000000"/>
            </w:tcBorders>
            <w:tcMar>
              <w:bottom w:w="50" w:type="dxa"/>
            </w:tcMar>
            <w:vAlign w:val="center"/>
          </w:tcPr>
          <w:p>
            <w:pPr>
              <w:pStyle w:val="TableContents"/>
              <w:bidi w:val="0"/>
              <w:spacing w:before="0" w:after="283"/>
              <w:jc w:val="right"/>
              <w:rPr/>
            </w:pPr>
            <w:r>
              <w:rPr/>
              <w:t xml:space="preserve">12,500 </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73" w:type="dxa"/>
            <w:tcBorders>
              <w:bottom w:val="double" w:sz="8" w:space="0" w:color="000000"/>
            </w:tcBorders>
            <w:shd w:fill="CCEEFF" w:val="clear"/>
            <w:tcMar>
              <w:bottom w:w="50" w:type="dxa"/>
            </w:tcMar>
            <w:vAlign w:val="center"/>
          </w:tcPr>
          <w:p>
            <w:pPr>
              <w:pStyle w:val="TableContents"/>
              <w:bidi w:val="0"/>
              <w:spacing w:before="0" w:after="283"/>
              <w:jc w:val="right"/>
              <w:rPr/>
            </w:pPr>
            <w:r>
              <w:rPr/>
              <w:t>30,937,500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70" w:type="dxa"/>
            <w:tcBorders>
              <w:bottom w:val="double" w:sz="8" w:space="0" w:color="000000"/>
            </w:tcBorders>
            <w:shd w:fill="CCEEFF" w:val="clear"/>
            <w:tcMar>
              <w:bottom w:w="50" w:type="dxa"/>
            </w:tcMar>
            <w:vAlign w:val="center"/>
          </w:tcPr>
          <w:p>
            <w:pPr>
              <w:pStyle w:val="TableContents"/>
              <w:bidi w:val="0"/>
              <w:spacing w:before="0" w:after="283"/>
              <w:jc w:val="right"/>
              <w:rPr/>
            </w:pPr>
            <w:r>
              <w:rPr/>
              <w:t>312,503</w:t>
            </w:r>
          </w:p>
        </w:tc>
        <w:tc>
          <w:tcPr>
            <w:tcW w:w="16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following the completion of this offering, they currently intend to make a market in the common stock (or pre-funded warrants)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(or pre-funded warrants) held by you at a particular time or that the prices that you receive when you sell will be favorable.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are offering the shares of common stock (or pre-funded warrants) subject to their acceptance of the shares of common stock (or pre-funded warrants) from us and subject to prior sale.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Commission and Expenses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they propose to offer the shares of common stock (or pre-funded warrants) at the offering price set forth on the cover page of this prospectus supplement and to certain dealers, which may include the underwriters, at that price less a concession not in excess of $0.288 per share of common stock (or pre-funded warrant). After the offering, the offering price, concession and reallowance to dealers may be reduced by the representatives. No such reduction will change the amount of proceeds to be received by us as set forth on the cover page of this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shows the offering price, the underwriting discounts and commissions that we are to pay the underwriters and the proceeds, before expenses, to us in connection with this offering. </w:t>
      </w:r>
    </w:p>
    <w:tbl>
      <w:tblPr>
        <w:tblW w:w="8732" w:type="dxa"/>
        <w:jc w:val="left"/>
        <w:tblInd w:w="1433" w:type="dxa"/>
        <w:tblLayout w:type="fixed"/>
        <w:tblCellMar>
          <w:top w:w="0" w:type="dxa"/>
          <w:left w:w="0" w:type="dxa"/>
          <w:bottom w:w="28" w:type="dxa"/>
          <w:right w:w="0" w:type="dxa"/>
        </w:tblCellMar>
      </w:tblPr>
      <w:tblGrid>
        <w:gridCol w:w="3576"/>
        <w:gridCol w:w="109"/>
        <w:gridCol w:w="109"/>
        <w:gridCol w:w="110"/>
        <w:gridCol w:w="229"/>
        <w:gridCol w:w="569"/>
        <w:gridCol w:w="110"/>
        <w:gridCol w:w="109"/>
        <w:gridCol w:w="109"/>
        <w:gridCol w:w="109"/>
        <w:gridCol w:w="226"/>
        <w:gridCol w:w="799"/>
        <w:gridCol w:w="109"/>
        <w:gridCol w:w="109"/>
        <w:gridCol w:w="109"/>
        <w:gridCol w:w="109"/>
        <w:gridCol w:w="226"/>
        <w:gridCol w:w="1639"/>
        <w:gridCol w:w="109"/>
        <w:gridCol w:w="158"/>
      </w:tblGrid>
      <w:tr>
        <w:trPr/>
        <w:tc>
          <w:tcPr>
            <w:tcW w:w="35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w:t>
            </w:r>
            <w:r>
              <w:rPr/>
              <w:t xml:space="preserve"> </w:t>
              <w:br/>
            </w:r>
            <w:r>
              <w:rPr>
                <w:spacing w:val="-3"/>
              </w:rPr>
              <w:t>Pre-Funded</w:t>
            </w:r>
            <w:r>
              <w:rPr/>
              <w:t xml:space="preserve"> </w:t>
              <w:br/>
            </w:r>
            <w:r>
              <w:rPr>
                <w:spacing w:val="-3"/>
              </w:rPr>
              <w:t xml:space="preserve">Warrant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8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576" w:type="dxa"/>
            <w:tcBorders/>
            <w:shd w:fill="CCEEFF" w:val="clear"/>
            <w:tcMar>
              <w:bottom w:w="0" w:type="dxa"/>
            </w:tcMar>
            <w:vAlign w:val="center"/>
          </w:tcPr>
          <w:p>
            <w:pPr>
              <w:pStyle w:val="TableContents"/>
              <w:bidi w:val="0"/>
              <w:spacing w:before="0" w:after="0"/>
              <w:jc w:val="left"/>
              <w:rPr>
                <w:spacing w:val="4"/>
              </w:rPr>
            </w:pPr>
            <w:r>
              <w:rPr>
                <w:spacing w:val="4"/>
              </w:rPr>
              <w:t xml:space="preserve">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r>
              <w:rPr/>
              <w:t xml:space="preserve">8.00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 xml:space="preserve">7.9999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39" w:type="dxa"/>
            <w:tcBorders/>
            <w:shd w:fill="CCEEFF" w:val="clear"/>
            <w:tcMar>
              <w:bottom w:w="0" w:type="dxa"/>
            </w:tcMar>
            <w:vAlign w:val="center"/>
          </w:tcPr>
          <w:p>
            <w:pPr>
              <w:pStyle w:val="TableContents"/>
              <w:bidi w:val="0"/>
              <w:spacing w:before="0" w:after="283"/>
              <w:jc w:val="right"/>
              <w:rPr/>
            </w:pPr>
            <w:r>
              <w:rPr/>
              <w:t xml:space="preserve">249,999,992.75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576"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paid by 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r>
              <w:rPr/>
              <w:t xml:space="preserve">0.48 </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 xml:space="preserve">0.48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639" w:type="dxa"/>
            <w:tcBorders/>
            <w:tcMar>
              <w:bottom w:w="0" w:type="dxa"/>
            </w:tcMar>
            <w:vAlign w:val="center"/>
          </w:tcPr>
          <w:p>
            <w:pPr>
              <w:pStyle w:val="TableContents"/>
              <w:bidi w:val="0"/>
              <w:spacing w:before="0" w:after="283"/>
              <w:jc w:val="right"/>
              <w:rPr/>
            </w:pPr>
            <w:r>
              <w:rPr/>
              <w:t xml:space="preserve">15,000,001.44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576"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r>
              <w:rPr/>
              <w:t xml:space="preserve">7.52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 xml:space="preserve">7.5199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39" w:type="dxa"/>
            <w:tcBorders/>
            <w:shd w:fill="CCEEFF" w:val="clear"/>
            <w:tcMar>
              <w:bottom w:w="0" w:type="dxa"/>
            </w:tcMar>
            <w:vAlign w:val="center"/>
          </w:tcPr>
          <w:p>
            <w:pPr>
              <w:pStyle w:val="TableContents"/>
              <w:bidi w:val="0"/>
              <w:spacing w:before="0" w:after="283"/>
              <w:jc w:val="right"/>
              <w:rPr/>
            </w:pPr>
            <w:r>
              <w:rPr/>
              <w:t>234,999,991.31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estimate expenses payable by us in connection with this offering, other than the underwriting discounts and commissions referred to above, will be approximately $300,000.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 the trading symbol “VSTM”.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Stamp Taxes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purchase securities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Sales of Similar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our executive officers, and our directors have agreed, subject to specified exceptions, not to directly or indirectly: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sell, offer, contract or grant any option to sell (including any short sale), pledge, transfer, establish an open “put equivalent position” within the meaning of Rule 16a-l(h) under the Exchange Act, or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otherwise dispose of any shares of common stock, options or warrants to acquire shares of common stock, or securities exchangeable or exercisable for or convertible into shares of common stock currently or hereafter owned either of record or beneficially, or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publicly announce an intention to do any of the foregoing for a period of 60 days after the date of this prospectus supplement (the “Lock-up Period”) without the prior written consent of Jefferies LLC and Guggenheim Securities, LLC.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restriction terminates after the close of trading of the common stock on and including the 60th day after the date of this prospectus supplement.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restrictions described in the immediately preceding paragraphs do not apply to: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transfer of the common stock or options or warrants or other rights to acquire common stock or any securities exchangeable or exercisable for or convertible into common stock, or to acquire other securities or rights ultimately exchangeable or exercisable for or convertible into common stock (the “Related Securities”) acquired in this offering or in open market transactions after the completion of this offering; provided that no filing under Section 16(a) of the Exchange Act shall be required or shall be voluntarily made in connection with subsequent sales of the common stock or Related Securities acquired in such transactions (other than as otherwise permitted pursuant to the other provisions of the lock-up agreement with the underwriters of this offering); </w:t>
      </w:r>
      <w:r>
        <mc:AlternateContent>
          <mc:Choice Requires="wps">
            <w:drawing>
              <wp:anchor behindDoc="0" distT="10033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transfer of common stock or Related Securities to the Company pursuant to a “net” or “cashless” exercise by the undersigned of outstanding equity awards pursuant to an employee benefit plan of the Company as in effect and disclosed in the final prospectus used for this offering, including to satisfy the exercise price or withholding tax or remittance obligations; provided that (i) any shares received upon such exercise shall be subject to all of the restrictions set forth in this letter agreement and (ii) no filing under Section 16(a) of the Exchange Act, reporting a reduction in beneficial ownership of common stock, shall be required or shall be voluntarily made during the </w:t>
      </w:r>
      <w:r>
        <mc:AlternateContent>
          <mc:Choice Requires="wps">
            <w:drawing>
              <wp:anchor behindDoc="0" distT="10033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Lock-up Period, unless such filing indicates in the footnotes thereto that the filing relates to the exercise of equity awards, that no shares were sold to the public by the reporting person and the shares received upon exercise of such securities are subject to a lock-up agreement with the representatives of the underwriters;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of Related Securities, pursuant to an employee benefit plan disclosed in the final prospectus used for this offering; provided that (i) any common stock received upon such exercise shall be subject to all of the restrictions set forth in this letter agreement and (ii) no filing under Section 16(a) of the Exchange Act, reporting a reduction in beneficial ownership of shares, shall be required or shall be voluntarily made during the Lock-up Period, unless such filing shall indicate in the footnotes thereto that such filing relates to the exercise of options, stock appreciation rights or warrants to purchase shares and the shares received upon exercise of such securities are subject to a lock-up agreement with the representatives of the underwriters; </w:t>
      </w:r>
      <w:r>
        <mc:AlternateContent>
          <mc:Choice Requires="wps">
            <w:drawing>
              <wp:anchor behindDoc="0" distT="10033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of common stock or Related Securities as a bona fide gift; provided that (i) no filing under Section 16(a) of the Exchange Act, reporting a reduction in beneficial ownership of our common stock, shall be required or shall be voluntarily made during the Lock-up Period, unless such filing indicates in the footnotes thereto that such transfer was made in connection with a bona fide gift and the common stock or Related Securities, as applicable, received pursuant to the bona fide gift are subject to a lock-up agreement with the representatives of the underwriters, and (ii) each donee, distributee or transferee shall sign and deliver a lock-up letter substantially in the form of this letter agreement; </w:t>
      </w:r>
      <w:r>
        <mc:AlternateContent>
          <mc:Choice Requires="wps">
            <w:drawing>
              <wp:anchor behindDoc="0" distT="10033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distributions of common stock or Related Securities to partners, limited partners, members, managers, affiliates (within the meaning set forth in Rule 405 under the Securities Act and including the subsidiaries of the undersigned), stockholders or holders of similar equity interests of the undersigned or to any investment fund or other entity that directly or indirectly controls or manages, is under common control with, or is controlled or managed by, the undersigned or affiliates of the undersigned (including, for the avoidance of doubt, where the undersigned is a partnership, to its general partner or a successor partnership or fund, or any other funds controlled or managed by such partnership) (including upon the liquidation or dissolution of the undersigned pursuant to a plan of liquidation approved by the undersigned’s equity holders) or in the case of a trust, to a grantor or beneficiary of the trust, and such transfer does not involve a disposition for value; provided that (i) each donee, distributee or transferee shall sign and deliver a lock-up letter substantially in the form of this letter agreement, and (ii) no filing under Section 16(a) of the Exchange Act, reporting a reduction in beneficial ownership of shares, shall be required or shall be voluntarily made during the Lock-up Period, unless such filing indicates in the footnotes thereto that such transfer is a distribution to limited partners, members, stockholders or holders of similar equity interests, that no common stock or Related Securities, as applicable, were sold to the public by the reporting person and the common stock or Related Securities, as applicable, distributed are subject to a lock-up agreement with the representatives of the underwriters; </w:t>
      </w:r>
      <w:r>
        <mc:AlternateContent>
          <mc:Choice Requires="wps">
            <w:drawing>
              <wp:anchor behindDoc="0" distT="10033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of common stock, (i) to any Immediate Family Member (as such term is set forth in Rule 16a-1(e) under the Exchange Act), trusts for the direct or indirect benefit of the undersigned or the Immediate Family Members of the undersigned or any of their successors upon death, or any partnership or limited liability company, the partners or members of which consist of the undersigned and/or Immediate Family Members or other dependents of the undersigned, and in each case such transfer does not involve a disposition for value, or (ii) to a nominee or custodian of a person or entity to whom disposition or transfer would be permitted under clause (f)(i) above; provided that in the case of any transfer pursuant to this clause (f), (i) each donee, distributee or transferee shall sign and deliver a lock-up letter substantially in the form of this letter agreement, and (ii) no filing by any party (donor, donee, transferor or transferee) under the Exchange Act (other than any required filing on a Form 5 made after the expiration of the Lock-up Period or, if a Form 5 filing is required to be made prior to the expiration of the Lock-up Period, such Form 5 filing is made on the latest date permitted under the Exchange Act) or other public announcement reporting a reduction in beneficial ownership of shares shall be required or shall be made voluntarily in connection with such transfer or distribution; </w:t>
      </w:r>
      <w:r>
        <mc:AlternateContent>
          <mc:Choice Requires="wps">
            <w:drawing>
              <wp:anchor behindDoc="0" distT="10160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of common stock or Related Securities by will or intestacy or pursuant to a domestic order, divorce settlement, divorce decree or separation agreement; provided that in the case of any transfer pursuant to (g), unless prohibited by an order of a court, (i) each donee or distributee shall sign and deliver a lock-up letter substantially in the form of this letter, and (ii) no filing under Section 16(a) of the Exchange Act, reporting a reduction in beneficial ownership of common stock, shall be required or shall be voluntarily made during the Lock-up Period, unless such filing indicates in the footnotes thereto the nature of the transfer or disposition; </w:t>
      </w:r>
      <w:r>
        <mc:AlternateContent>
          <mc:Choice Requires="wps">
            <w:drawing>
              <wp:anchor behindDoc="0" distT="0" distB="0" distL="254000" distR="0" simplePos="0" locked="0" layoutInCell="1" allowOverlap="1" relativeHeight="40">
                <wp:simplePos x="0" y="0"/>
                <wp:positionH relativeFrom="column">
                  <wp:align>left</wp:align>
                </wp:positionH>
                <wp:positionV relativeFrom="line">
                  <wp:posOffset>635</wp:posOffset>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or dispositions of common stock or Related Securities to the Company (i) pursuant to any contractual arrangement in effect on the date of this agreement and described in the final prospectus used for this offering that provides for the repurchase of the undersigned’s common stock or Related Securities by the Company or (ii) in connection with the termination of the undersigned’s employment with or service to the Company; provided that in each case no filing under Section 16(a) of the Exchange Act, reporting a reduction in beneficial ownership of common stock, shall be required or shall be voluntarily made during the Lock-up Period, unless such filing indicates in the footnotes thereto the nature of the transfer or disposition; </w:t>
      </w:r>
      <w:r>
        <mc:AlternateContent>
          <mc:Choice Requires="wps">
            <w:drawing>
              <wp:anchor behindDoc="0" distT="9906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establishment of a trading plan pursuant to Rule 10b5-1 under the Exchange Act (a “Rule 10b5-1 Trading Plan”) for the transfer of common stock, provided that (x) such plan does not provide for the transfer of common stock during the Lock-up Period, (y) no public announcement or filing under the Exchange Act shall be voluntarily made by or on behalf of the undersigned or the Company during the Lock-up Period regarding the establishment of such plan, and (z); to the extent a public announcement or filing under the Exchange Act, if any, is required by or on behalf of the undersigned or the Company regarding the establishment of a Rule 10b5-1 Trading Plan during the Lock-up Period, such announcement or filing shall include a statement to the effect that no transfer of common stock may be made under such Rule 10b5-1 Trading Plan during the Lock-up Period; </w:t>
      </w:r>
      <w:r>
        <mc:AlternateContent>
          <mc:Choice Requires="wps">
            <w:drawing>
              <wp:anchor behindDoc="0" distT="9906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transfer of common stock or Related Securities pursuant to a bona fide third party tender offer, merger, consolidation or other similar transaction made to all holders of common stock and approved by the Company’s board of directors involving any bona fide third party tender offer, merger, consolidation or other similar transaction, in one transaction or a series of related transactions, the result of which is that any “person” ​(as defined in Section 13(d)(3) of the Exchange Act) or group of persons, other than the Company, becomes the beneficial owner (as defined in Rules 13d-3 and 13d-5 of the Exchange Act) of more than 50% of total voting power of the voting stock of the Company (or the surviving entity) (a “Change of Control”) and (ii) entry into any lock-up, voting or similar agreement pursuant to which the undersigned may agree to transfer, sell, tender or otherwise dispose of common stock or such Related Securities in connection with a transaction described in (i) above, provided, that in the event that the tender offer, merger, consolidation or other such transaction is not completed, the undersigned’s common stock or Related Securities shall remain subject to the terms of this letter agreement; </w:t>
      </w:r>
      <w:r>
        <mc:AlternateContent>
          <mc:Choice Requires="wps">
            <w:drawing>
              <wp:anchor behindDoc="0" distT="9906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pursuant to an order of a court or regulatory agency; provided that in the case of any transfer pursuant to (k), (i) unless prohibited by an order of a court or regulatory agency, the undersigned must request that each transferee sign and deliver a lock-up letter substantially in the form of this letter and (ii) any filing under Section 16(a) of the Exchange Act reporting a reduction in beneficial ownership of common stock required to be made during the Lock-up Period shall state that such transfer is pursuant to an order of a court or regulatory agency; </w:t>
      </w:r>
      <w:r>
        <mc:AlternateContent>
          <mc:Choice Requires="wps">
            <w:drawing>
              <wp:anchor behindDoc="0" distT="9779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to the Company for the purpose of satisfying any tax or other governmental withholding obligation with respect to, or in connection with, a vesting event of the Company’s securities, upon the exercise of the Company’s securities or upon expiration of the Company’s securities, in each case held by the undersigned; provided that no filing under Section 16(a) of the Exchange Act, reporting a reduction in beneficial ownership of common stock, shall be required or shall be voluntarily made during the Lock-up Period, unless such filing indicates in the footnotes thereto that the shares were transferred to the Company in order to satisfy tax or other governmental withholding obligations of the reporting person and that no shares were sold to the public by the reporting person; </w:t>
      </w:r>
      <w:r>
        <mc:AlternateContent>
          <mc:Choice Requires="wps">
            <w:drawing>
              <wp:anchor behindDoc="0" distT="9779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sales of common stock for the purpose of satisfying any tax or other governmental withholding obligation with respect to, or in connection with, a vesting event of the Company’s securities, upon the exercise of the Company’s securities or upon expiration of the Company’s securities, in each case held by the undersigned; provided that no filing under Section 16(a) of the Exchange Act, reporting a reduction in beneficial ownership of common stock, shall be required or shall be voluntarily made during the Lock-up Period, unless such filing indicates in the footnotes thereto that the shares were sold in order to satisfy tax or other governmental withholding obligations of the reporting person;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m)</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m)</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sales of common stock made pursuant to a Rule 10b5-1 Trading Plan that has been entered into by the undersigned prior to the date of this letter agreement; provided that (i) such Rule 10b5-1 Trading Plan was established by the undersigned prior to the execution of this letter agreement, a copy of such Rule 10b5-1 Trading Plan was provided to the representatives prior to the execution of this letter agreement, (ii) such Rule 10b5-1 Trading Plan will not be amended or otherwise modified during the Lock-up Period, and (iii) no filing under Section 16(a) of the Exchange Act, reporting a reduction in beneficial ownership of common stock, shall be required or shall be voluntarily made during the Lock-up Period, unless such filing indicates in the footnotes thereto that the shares were sold pursuant to such Rule 10b5-1 Trading Plan; or </w:t>
      </w:r>
      <w:r>
        <mc:AlternateContent>
          <mc:Choice Requires="wps">
            <w:drawing>
              <wp:anchor behindDoc="0" distT="10033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n)</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 a new registration statement on Form S-3 and/or prospectus or prospectus supplement for an “at-the-market” offering; provided that none of the Company’s securities are issued or sold pursuant to such registration statement and/or prospectus or prospectus supplement during the Lock-up Period. </w:t>
      </w:r>
      <w:r>
        <mc:AlternateContent>
          <mc:Choice Requires="wps">
            <w:drawing>
              <wp:anchor behindDoc="0" distT="10033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o)</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o)</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Jefferies LLC and Guggenheim Securities, LLC may, in their sole discretion and at any time or from time to time before the termination of the Lock-up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Stabilization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they, and certain persons participating in the offering may, pursuant to Regulation M under the Exchange Act,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Covered” short sales are sales by the underwriters of a greater number of shares of common stock than they are required to purchase in this offering. The underwriters may close out any covered short position by purchasing shares of our common stock in the open market. Because we have not granted the underwriters an option to purchase additional shares, the underwriters must close out any short position by purchasing shares in the open market.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Naked” short sales are sales by the underwriters of a greater number of shares of common stock than they are required to purchase in this offering.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open market. A penalty bid is an arrangement permitting the underwriters to reclaim the selling concession otherwise accruing to a syndicate member in connection with the offering if the common stock originally sold by such syndicate member is purchased in a syndicate covering transaction and therefore has not been effectively placed by such syndicate member.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Electronic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supplement and the accompanying prospectus, has not been approved and/or endorsed by us or the underwriters and should not be relied upon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Activities and Relationships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Disclaimers About Non-U.S. Jurisdictions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the European Economic Area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relation to each Member State of the European Economic Area (each, a “Relevant State”), no shares have been offered or will be offered pursuant to the offering to the public in that Relevant State prior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publication of a prospectus in relation to the shares which have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 </w:t>
      </w:r>
    </w:p>
    <w:p>
      <w:pPr>
        <w:pStyle w:val="TextBody"/>
        <w:bidi w:val="0"/>
        <w:spacing w:lineRule="atLeast" w:line="240" w:before="16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legal entity which is a “qualified investor” as defined under Article 2 of the Prospectus Regulation; </w:t>
      </w:r>
      <w:r>
        <mc:AlternateContent>
          <mc:Choice Requires="wps">
            <w:drawing>
              <wp:anchor behindDoc="0" distT="10414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fewer than 150 natural or legal persons (other than qualified investors as defined under Article 2 of the Prospectus Regulation), subject to obtaining the prior consent of the representatives for any such offer; or </w:t>
      </w:r>
      <w:r>
        <mc:AlternateContent>
          <mc:Choice Requires="wps">
            <w:drawing>
              <wp:anchor behindDoc="0" distT="10414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any other circumstances falling within Article 1(4) of the Prospectus Regulation, provided that no such offer of the shares shall require us or any of the representatives to publish a prospectus pursuant to Article 3 of the Prospectus Regulation or supplement a prospectus pursuant to Article 23 of the Prospectus Regulation. </w:t>
      </w:r>
      <w:r>
        <mc:AlternateContent>
          <mc:Choice Requires="wps">
            <w:drawing>
              <wp:anchor behindDoc="0" distT="10287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purposes of this provision, the expression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the United Kingdom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legal entity which is a qualified investor as defined under Article 2 of the UK Prospectus Regulation; </w:t>
      </w:r>
      <w:r>
        <mc:AlternateContent>
          <mc:Choice Requires="wps">
            <w:drawing>
              <wp:anchor behindDoc="0" distT="10287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fewer than 150 natural or legal persons (other than qualified investors as defined under Article 2 of the UK Prospectus Regulation), subject to obtaining the prior consent of the representatives for any such offer; or </w:t>
      </w:r>
      <w:r>
        <mc:AlternateContent>
          <mc:Choice Requires="wps">
            <w:drawing>
              <wp:anchor behindDoc="0" distT="10287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any other circumstances falling within Section 86 of the FSMA, 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r>
        <mc:AlternateContent>
          <mc:Choice Requires="wps">
            <w:drawing>
              <wp:anchor behindDoc="0" distT="10287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Hong Kong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securities have been offered or sold, and no securities may be offered or sold, in Hong Kong, by means of any document, other than: (i) to persons whose ordinary business is to buy or sell shares or debentures, whether as principal or agent; or (ii)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with respect to securities that are or are intended to be disposed of only to persons outside Hong Kong or only to “professional investors” as defined in the SFO and any rules made under that Ordinance.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have not been registered with the Registrar of Companies in Hong Kong. Accordingly, this prospectus supplement and the accompanying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accompanying prospectus and that he is not acquiring, and has not been offered, any securities in circumstances that contravene any such restrictions.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Japan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(the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Singapore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have not been and will not be lodged or registered as a prospectus with the Monetary Authority of Singapore. Accordingly, this prospectus supplement and the accompanying prospectus and any other document or material in connection with the offer or sale, or invitation for subscription or purchase, of the shares of common stock offered hereby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the shares of common stock are subscribed or purchased under Section 275 of the SFA by a relevant person that is: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 institutional investor or to a relevant person defined in Section 275(2) of the SFA, or to any person arising from an offer referred to in Section 275(1A) or Section 276(4)(i)(B) of the SFA; </w:t>
      </w:r>
      <w:r>
        <mc:AlternateContent>
          <mc:Choice Requires="wps">
            <w:drawing>
              <wp:anchor behindDoc="0" distT="76200" distB="0" distL="381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no consideration is or will be given for the transfer; </w:t>
      </w:r>
      <w:r>
        <mc:AlternateContent>
          <mc:Choice Requires="wps">
            <w:drawing>
              <wp:anchor behindDoc="0" distT="76200" distB="0" distL="381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the transfer is by operation of law; </w:t>
      </w:r>
      <w:r>
        <mc:AlternateContent>
          <mc:Choice Requires="wps">
            <w:drawing>
              <wp:anchor behindDoc="0" distT="76200" distB="0" distL="381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specified in Section 276(7) of the SFA; or </w:t>
      </w:r>
      <w:r>
        <mc:AlternateContent>
          <mc:Choice Requires="wps">
            <w:drawing>
              <wp:anchor behindDoc="0" distT="76200" distB="0" distL="381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specified in Regulation 32 of the Securities and Futures (Offers of Investments) (Shares and Debentures) Regulations 2005 of Singapore. </w:t>
      </w:r>
      <w:r>
        <mc:AlternateContent>
          <mc:Choice Requires="wps">
            <w:drawing>
              <wp:anchor behindDoc="0" distT="76200" distB="0" distL="381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Canada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   Resale Restrictions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distribution of shares of common stock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   Representations of Canadian Purchasers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purchasing shares of common stock in Canada and accepting delivery of a purchase confirmation, a purchaser is representing to us and the dealer from whom the purchase confirmation is received that: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purchaser is entitled under applicable provincial securities laws to purchase the shares of common stock without the benefit of a prospectus qualified under those securities laws as it is an “accredited investor” as defined under National Instrument 45-106 — Prospectus Exemptions or Section 73.3(1) of the Securities Act (Ontario), as applicable, </w:t>
      </w:r>
      <w:r>
        <mc:AlternateContent>
          <mc:Choice Requires="wps">
            <w:drawing>
              <wp:anchor behindDoc="0" distT="7874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purchaser is a “permitted client” as defined in National Instrument 31-103 — Registration Requirements, Exemptions and Ongoing Registrant Obligations, </w:t>
      </w:r>
      <w:r>
        <mc:AlternateContent>
          <mc:Choice Requires="wps">
            <w:drawing>
              <wp:anchor behindDoc="0" distT="889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required by law, the purchaser is purchasing as principal and not as agent, and </w:t>
      </w:r>
      <w:r>
        <mc:AlternateContent>
          <mc:Choice Requires="wps">
            <w:drawing>
              <wp:anchor behindDoc="0" distT="889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purchaser has reviewed the text above under Resale Restrictions. </w:t>
      </w:r>
      <w:r>
        <mc:AlternateContent>
          <mc:Choice Requires="wps">
            <w:drawing>
              <wp:anchor behindDoc="0" distT="889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   Conflicts of Interest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Canadian purchasers are hereby notified that certain of the underwriters are relying on the exemption set out in section 3A.3 or 3A.4, if applicable, of National Instrument 33-105 — </w:t>
      </w:r>
      <w:r>
        <w:rPr>
          <w:rFonts w:ascii="Times New Roman;Times;serif" w:hAnsi="Times New Roman;Times;serif"/>
          <w:b w:val="false"/>
          <w:i/>
          <w:caps w:val="false"/>
          <w:smallCaps w:val="false"/>
          <w:color w:val="000000"/>
          <w:spacing w:val="4"/>
          <w:sz w:val="20"/>
          <w:shd w:fill="FFFFFF" w:val="clear"/>
        </w:rPr>
        <w:t>Underwriting Conflicts</w:t>
      </w:r>
      <w:r>
        <w:rPr>
          <w:rFonts w:ascii="Times New Roman;Times;serif" w:hAnsi="Times New Roman;Times;serif"/>
          <w:b w:val="false"/>
          <w:i w:val="false"/>
          <w:caps w:val="false"/>
          <w:smallCaps w:val="false"/>
          <w:color w:val="000000"/>
          <w:spacing w:val="4"/>
          <w:sz w:val="20"/>
          <w:shd w:fill="FFFFFF" w:val="clear"/>
        </w:rPr>
        <w:t xml:space="preserve"> from having to provide certain conflict of interest disclosure in this document.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   Statutory Rights of Action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   Enforcement of Legal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   Taxation and Eligibility for Investment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Canadian purchasers of shares of common stock should consult their own legal and tax advisors with respect to the tax consequences of an investment in the shares of common stock in their particular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circumstances and about the eligibility of the shares of common stock for investment by the purchaser under relevant Canadian legislation.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Australia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is not a disclosure document for the purposes of Australia’s Corporations Act 2001 (Cth) of Australia (the “Corporations Act”), has not been lodged with the Australian Securities and Investments Commission and is only directed to the categories of exempt persons set out below. Accordingly, if you receive this prospectus supplement and the accompanying prospectus in Australia, you confirm and warrant that you are either: </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“sophisticated investor” under Section 708(8)(a) or (b) of the Corporations Act; </w:t>
      </w:r>
      <w:r>
        <mc:AlternateContent>
          <mc:Choice Requires="wps">
            <w:drawing>
              <wp:anchor behindDoc="0" distT="8255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“sophisticated investor” under Section 708(8)(c) or (d) of the Corporations Act and that you have provided an accountant’s certificate to the Company that complies with the requirements of Section 708(8)(c)(i) or (ii) of the Corporations Act and related regulations before the offer has been made; </w:t>
      </w:r>
      <w:r>
        <mc:AlternateContent>
          <mc:Choice Requires="wps">
            <w:drawing>
              <wp:anchor behindDoc="0" distT="889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person associated with the Company under Section 708(12) of the Corporations Act; or </w:t>
      </w:r>
      <w:r>
        <mc:AlternateContent>
          <mc:Choice Requires="wps">
            <w:drawing>
              <wp:anchor behindDoc="0" distT="889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“professional investor” under Section 708(11)(a) or (b) of the Corporations Act. </w:t>
      </w:r>
      <w:r>
        <mc:AlternateContent>
          <mc:Choice Requires="wps">
            <w:drawing>
              <wp:anchor behindDoc="0" distT="889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that you are unable to confirm or warrant that you are an exempt sophisticated investor, associated person or professional investor under the Corporations Act, any offer made to you under this prospectus supplement and the accompanying prospectus is void and incapable of acceptance.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you warrant and agree that you will not offer any of the securities issued to you pursuant to this prospectus supplement and the accompanying prospectus for resale in Australia within 12 months of those securities being issued unless any such resale offer is exempt from the requirement to issue a disclosure document under Section 708 of the Corporations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Israel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document does not constitute a prospectus under the Israeli Securities Law, 5728-1968 (the “Israeli Securities Law”), and has not been filed with or approved by the Israel Securities Authority. In Israel, this prospectus supplement and the accompanying prospectus is being distributed only to, and is directed only at, and any offer of the shares of common stock offered hereby is directed only at: (i) a limited number of persons in accordance with the Israeli Securities Law; and (ii) investors listed in the first addendum to the Israeli Securities Law, as it may be amended from time to time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Addendum and agree to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Switzerland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shares of common stock may not be publicly offered in Switzerland and will not be listed on the SIX Swiss Exchange (the “SIX”) or on any other stock exchange or regulated trading facility in Switzerland. This prospectus supplement and the accompanying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shares of common stock or the offering, may be publicly distributed or otherwise made publicly available in Switzerland.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000"/>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Neither this prospectus supplement and the accompanying prospectus, nor any other offering or marketing material relating to the offering, the Company or the shares of common stock offered hereby, have been or will be filed with or approved by any Swiss regulatory authority. In particular, this prospectus supplement and the accompanying prospectus will not be filed with, and the offer of securities will not be supervised by, the Swiss Financial Market Supervisory Authority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shares of common stock offered hereby.</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bMUSF"/>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MATERIAL UNITED STATES FEDERAL INCOME TAX CONSIDERATIONS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discussion is a summary of the material U.S. federal income tax consequences to U.S. Holders and Non-U.S. Holders (each, as defined below, and together, “Holders”) of the purchase, ownership, and disposition of our common stock and pre-funded warrants, which we sometimes refer to collectively as our securities,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(including temporary Treasury Regulations) promulgated thereunder, judicial decisions, and published rulings and administrative pronouncements of the U.S. Internal Revenue Service (the “IRS”), in each case as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is limited to Holders that hold our securities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expatriates and former citizens or long-term residents of the United States;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holding our securities as part of a hedge, straddle, or other risk reduction strategy or as part of a conversion transaction or other integrated investment; </w:t>
      </w:r>
      <w:r>
        <mc:AlternateContent>
          <mc:Choice Requires="wps">
            <w:drawing>
              <wp:anchor behindDoc="0" distT="6731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banks, insurance companies, and other financial institutions; </w:t>
      </w:r>
      <w:r>
        <mc:AlternateContent>
          <mc:Choice Requires="wps">
            <w:drawing>
              <wp:anchor behindDoc="0" distT="6731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brokers, dealers, or traders in securities; </w:t>
      </w:r>
      <w:r>
        <mc:AlternateContent>
          <mc:Choice Requires="wps">
            <w:drawing>
              <wp:anchor behindDoc="0" distT="6731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controlled foreign corporations,” ​(including “specified foreign corporations”), “passive foreign investment companies,” and corporations that accumulate earnings to avoid U.S. federal income tax; </w:t>
      </w:r>
      <w:r>
        <mc:AlternateContent>
          <mc:Choice Requires="wps">
            <w:drawing>
              <wp:anchor behindDoc="0" distT="6731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partnerships or other entities or arrangements treated as partnerships for U.S. federal income tax purposes (and investors therein); </w:t>
      </w:r>
      <w:r>
        <mc:AlternateContent>
          <mc:Choice Requires="wps">
            <w:drawing>
              <wp:anchor behindDoc="0" distT="6731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pass-through entities such S corporations, disregarded entities for federal income tax purposes and limited liability companies that are treated as a pass-through entity for U.S. federal income tax purposes (and investors therein); </w:t>
      </w:r>
      <w:r>
        <mc:AlternateContent>
          <mc:Choice Requires="wps">
            <w:drawing>
              <wp:anchor behindDoc="0" distT="6731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real estate investment trusts or regulated investment companies; </w:t>
      </w:r>
      <w:r>
        <mc:AlternateContent>
          <mc:Choice Requires="wps">
            <w:drawing>
              <wp:anchor behindDoc="0" distT="6731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for whom our stock constitutes “qualified small business stock” within the meaning of Section 1202 of the Code or as “Section 1244 stock” for purposes of Section 1244 of the Code; </w:t>
      </w:r>
      <w:r>
        <mc:AlternateContent>
          <mc:Choice Requires="wps">
            <w:drawing>
              <wp:anchor behindDoc="0" distT="6731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required for U.S. federal income tax purposes to conform the timing of income accruals to their financial statements under Section 451(b) of the Code; </w:t>
      </w:r>
      <w:r>
        <mc:AlternateContent>
          <mc:Choice Requires="wps">
            <w:drawing>
              <wp:anchor behindDoc="0" distT="6731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integral parts or controlled entities of foreign sovereigns; </w:t>
      </w:r>
      <w:r>
        <mc:AlternateContent>
          <mc:Choice Requires="wps">
            <w:drawing>
              <wp:anchor behindDoc="0" distT="6731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tax-exempt organizations or governmental organizations; </w:t>
      </w:r>
      <w:r>
        <mc:AlternateContent>
          <mc:Choice Requires="wps">
            <w:drawing>
              <wp:anchor behindDoc="0" distT="6731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deemed to sell our securities under the constructive sale provisions of the Code; </w:t>
      </w:r>
      <w:r>
        <mc:AlternateContent>
          <mc:Choice Requires="wps">
            <w:drawing>
              <wp:anchor behindDoc="0" distT="6731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that own, or are deemed to constructively own, more than five percent of our capital stock (by vote or value), except to the extent specifically set forth below; </w:t>
      </w:r>
      <w:r>
        <mc:AlternateContent>
          <mc:Choice Requires="wps">
            <w:drawing>
              <wp:anchor behindDoc="0" distT="6731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who hold or receive our securities pursuant to the exercise of any employee stock option or otherwise as compensation; </w:t>
      </w:r>
      <w:r>
        <mc:AlternateContent>
          <mc:Choice Requires="wps">
            <w:drawing>
              <wp:anchor behindDoc="0" distT="6731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tax-qualified retirement plans; and </w:t>
      </w:r>
      <w:r>
        <mc:AlternateContent>
          <mc:Choice Requires="wps">
            <w:drawing>
              <wp:anchor behindDoc="0" distT="673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qualified foreign pension funds” as defined in Section 897(l)(2) of the Code and entities all of the interests of which are held by qualified foreign pension funds. </w:t>
      </w:r>
      <w:r>
        <mc:AlternateContent>
          <mc:Choice Requires="wps">
            <w:drawing>
              <wp:anchor behindDoc="0" distT="673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partnership or an entity or arrangement treated as a partnership for U.S. federal income tax purposes holds our securities, the tax treatment of a partner in the partnership will depend on the status of the partner, the activities of the partnership, and certain determinations made at the partner level.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partnerships holding our securities and the partners in such partnerships should consult their tax advisors regarding the U.S. federal income tax consequences to them.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SECURITIES ARISING UNDER THE U.S. FEDERAL ESTATE OR GIFT TAX LAWS OR UNDER THE LAWS OF ANY STATE, LOCAL, OR NON-U.S. TAXING JURISDICTION OR UNDER ANY APPLICABLE INCOME TAX TREATY.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Definition of U.S. Holder and Non-U.S. Holder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discussion, a “U.S. Holder” is any beneficial owner of our securities that, for U.S. federal income tax purposes, is or is treated as any of the following: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individual who is a citizen or resident of the United States;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created or organized under the laws of the United States, any state thereof, or the District of Columbia;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estate, the income of which is subject to U.S. federal income tax regardless of its source; or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discussion, a “Non-U.S. Holder” is any beneficial owner of our securities that is neither a U.S. Holder nor an entity or arrangement treated as a partnership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Treatment of Pre-Funded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it is not entirely free from doubt, a pre-funded warrant should be treated as a share of our common stock for U.S. federal income tax purposes and a holder of pre-funded warrants should generally be taxed in the same manner as a holder of such shares, as described in this prospectus supplement, subject to the discussion regarding constructive distributions below.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no gain or loss should be recognized upon the exercise of a pre-funded warrant (other than with respect to cash paid in lieu of a fractional share and except in the case of a cashless exercise, the treatment of which for U.S. federal income tax purposes is not clear) and, upon exercise, the holding period of a pre-funded warrant should carry over to the share received. Similarly, the tax basis of the pre-funded warrant should carry over to the share received upon exercise, increased by the exercise price of $0.0001 per share.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holder of a pre-funded warrant may, in some circumstances, be deemed to have received a distribution subject to U.S. federal income tax or withholding tax as a result of an adjustment or the non- occurrence of an adjustment to the exercise price or number of shares of common stock issuable upon exercise of the pre-funded warrant. Such a deemed distribution could arise if, for example, an adjustment to the number of shares issuable upon exercise (as discussed in the section of this prospectus supplement captioned “</w:t>
      </w:r>
      <w:r>
        <w:rPr>
          <w:rFonts w:ascii="Times New Roman;Times;serif" w:hAnsi="Times New Roman;Times;serif"/>
          <w:b w:val="false"/>
          <w:i/>
          <w:caps w:val="false"/>
          <w:smallCaps w:val="false"/>
          <w:color w:val="000000"/>
          <w:spacing w:val="4"/>
          <w:sz w:val="20"/>
          <w:shd w:fill="FFFFFF" w:val="clear"/>
        </w:rPr>
        <w:t>Description of Pre-Funded Warrants</w:t>
      </w:r>
      <w:r>
        <w:rPr>
          <w:rFonts w:ascii="Times New Roman;Times;serif" w:hAnsi="Times New Roman;Times;serif"/>
          <w:b w:val="false"/>
          <w:i w:val="false"/>
          <w:caps w:val="false"/>
          <w:smallCaps w:val="false"/>
          <w:color w:val="000000"/>
          <w:spacing w:val="4"/>
          <w:sz w:val="20"/>
          <w:shd w:fill="FFFFFF" w:val="clear"/>
        </w:rPr>
        <w:t xml:space="preserve">”) increases the holder’s proportionate interest in our assets or earnings and profits as a result of a distribution of cash to the holders of shares of our common stock which is taxable to such holders as a distribution. Such constructive distribution would be subject to tax in the same manner as if such Holder received a cash distribution from us (in each case, as described below) equal to the fair market value of such increased interest. Any resulting withholding tax may be collected from other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amounts payable or distributable to the holder. Holders should consult their tax advisors regarding the proper treatment of any adjustments to the pre-funded warrants. </w:t>
      </w:r>
    </w:p>
    <w:p>
      <w:pPr>
        <w:pStyle w:val="TextBody"/>
        <w:bidi w:val="0"/>
        <w:spacing w:lineRule="atLeast" w:line="230" w:before="15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characterization is not binding on the Internal Revenue Service, and the Internal Revenue Service may treat our pre-funded warrants as warrants to acquire our common stock. In that case, the amount and character of your gain with respect to an investment in our pre-funded warrants could be materially different than the discussion described above. Accordingly, each holder should consult his, her or its own tax advisor regarding the risks associated with the acquisition of pre-funded warrants pursuant to this offering (including potential alternative characterizations). </w:t>
      </w:r>
    </w:p>
    <w:p>
      <w:pPr>
        <w:pStyle w:val="TextBody"/>
        <w:bidi w:val="0"/>
        <w:spacing w:lineRule="atLeast" w:line="240" w:before="208"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Distributions with Respect to Our Common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do not anticipate declaring or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w:t>
      </w:r>
    </w:p>
    <w:p>
      <w:pPr>
        <w:pStyle w:val="TextBody"/>
        <w:bidi w:val="0"/>
        <w:spacing w:lineRule="atLeast" w:line="230" w:before="15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Amounts not treated as dividends for U.S. federal income tax purposes will constitute a return of capital and first be applied against and reduce a U.S. Holder’s adjusted tax basis in its common stock, but not below zero. Any excess will be treated as capital gain and will be treated as described below under “</w:t>
      </w:r>
      <w:r>
        <w:rPr>
          <w:rFonts w:ascii="Times New Roman;Times;serif" w:hAnsi="Times New Roman;Times;serif"/>
          <w:b w:val="false"/>
          <w:i/>
          <w:caps w:val="false"/>
          <w:smallCaps w:val="false"/>
          <w:color w:val="000000"/>
          <w:spacing w:val="4"/>
          <w:sz w:val="20"/>
          <w:shd w:fill="FFFFFF" w:val="clear"/>
        </w:rPr>
        <w:t>Sale or Other Taxable Disposition of Our Securities.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5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we pay to a U.S. Holder that is a corporation generally will qualify for the dividends received deduction if the requirements relating to the requisite holding period are satisfied. With certain exceptions, and provided certain holding period requirements are met, dividends we pay to a non-corporate U.S. Holder generally will constitute “qualified dividends” that currently are subject to tax at preferential long-term capital gains rates. </w:t>
      </w:r>
    </w:p>
    <w:p>
      <w:pPr>
        <w:pStyle w:val="TextBody"/>
        <w:bidi w:val="0"/>
        <w:spacing w:lineRule="atLeast" w:line="240" w:before="208"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 or Other Taxable Disposition of Our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 sale, taxable exchange or other taxable disposition of our securities, a U.S. Holder will generally recognize taxable gain or loss in an amount equal to the difference between (1) the amount realized upon such sale, exchange or taxable disposition and (2) the U.S. Holder’s tax basis in the security. Such gain or loss will generally be treated as long-term capital gain or loss if the security is held by the U.S. Holder for more than one year at the time of such sale, exchange or disposition. Long-term capital gains recognized by certain non-corporate U.S. Holders generally are taxed at preferential rates. The deductibility of capital losses is subject to certain limitations. </w:t>
      </w:r>
    </w:p>
    <w:p>
      <w:pPr>
        <w:pStyle w:val="TextBody"/>
        <w:bidi w:val="0"/>
        <w:spacing w:lineRule="atLeast" w:line="240" w:before="208"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Information Reporting and Backup Withholding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information reporting requirements may apply to dividends paid to a U.S. Holder on our common stock (or constructive distributions with respect to pre-funded warrants) and to the proceeds of the sale, exchange or other taxable disposition of our securities, unless the U.S. Holder is an exempt recipient and properly certifies their exemption. Backup withholding may apply to such payments if the U.S. Holder fails to provide a taxpayer identification number, typically on an IRS Form W-9, or a certification of exempt status or has been notified by the IRS that it is subject to backup withholding (and such notification has not been withdrawn). If backup withholding applies to a payment, we or our paying agent will deduct the amount of any required withholding directly from such payment and remit it directly to the U.S. Treasury on behalf of the U.S. Holder. </w:t>
      </w:r>
    </w:p>
    <w:p>
      <w:pPr>
        <w:pStyle w:val="TextBody"/>
        <w:bidi w:val="0"/>
        <w:spacing w:lineRule="atLeast" w:line="230" w:before="14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Backup withholding is not an additional tax. Any amounts withheld under the backup withholding rules will be allowed as a refund or a credit against a U.S. Holder’s U.S. federal income tax liability provided the required information is timely furnished to the IRS.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Non-U.S.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Distributions with Respect to Our Common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do not anticipate declaring or paying cash dividends to holders of our common stock in the foreseeable future. However, if we do make distributions of cash or property on our common stock, such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distributions will constitute dividends for U.S. federal income tax purposes to the extent paid from our current or accumulated earnings and profits, as determined under U.S. federal income tax principles.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w:t>
      </w:r>
      <w:r>
        <w:rPr>
          <w:rFonts w:ascii="Times New Roman;Times;serif" w:hAnsi="Times New Roman;Times;serif"/>
          <w:b w:val="false"/>
          <w:i/>
          <w:caps w:val="false"/>
          <w:smallCaps w:val="false"/>
          <w:color w:val="000000"/>
          <w:spacing w:val="4"/>
          <w:sz w:val="20"/>
          <w:shd w:fill="FFFFFF" w:val="clear"/>
        </w:rPr>
        <w:t>Sale or Other Taxable Disposition of Securities.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from withholding,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 or Other Taxable Disposition of Our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discussions below regarding FATCA and backup withholding, a Non-U.S. Holder will not be subject to U.S. federal income tax on any gain realized upon the sale or other taxable disposition of our securities unless: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Non-U.S. Holder is an individual who is present in the United States for a period or periods aggregating 183 days or more during the calendar year in which the sale or disposition occurs, as calculated pursuant to Section 7701(b) of the Code, and certain other conditions are met; or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securities constitute a U.S. real property interest (“USRPI”) by reason of our status as a U.S. real property holding corporation (“USRPHC”) for U.S. federal income tax purposes at any time within the shorter of the five-year period preceding the disposition or the Non-U.S. Holder’s holding period for our common stock.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Gain described in the first bullet point above generally will be subject to U.S. federal income tax on a net income basis at the regular rates applicable to U.S. persons generally.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Non-U.S. Holder described in the second bullet point above will be subject to U.S. federal income tax at a rate of 30% (or such lower rate specified by an applicable income tax treaty) on gain realized upon the sale or other taxable disposition of our securities,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third bullet point above, generally, a corporation is a USRPHC only if the fair market value of its U.S. real property interests equals or exceeds 50% of the sum of the fair market value of its worldwide real property interests plus its other assets used or held for use in a trade or business.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securities by a Non-U.S. Holder will not be subject to U.S. federal income tax if our securities are “regularly traded,” as defined by applicable Treasury Regulations, on an established securities market and such Non-U.S. Holder owned, actually and constructively, 5% or less of our securities throughout the shorter of the five-year period ending on the date of the sale or other taxable disposition or the Non-U.S. Holder’s holding period.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Non-U.S. Holders should consult their tax advisors regarding potentially applicable income tax treaties that may provide for different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Reporting and Backup Withholding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Payments of dividends or other distributions on our securities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constructive distributions) on our securities paid to the Non-U.S. Holder, regardless of whether such distributions constitute dividends or whether any tax was actually withheld. In addition, proceeds of the sale or other taxable disposition of our securities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securities conducted through a non-U.S. office of a non-U.S. broker generally will not be subject to backup withholding or information reporting.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Withholding Tax on Payments Made to Foreign Accounts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(including constructive dividends) on, or (subject to the proposed Treasury Regulations discussed below) gross proceeds from the sale or other disposition of, our securities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60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applicable Treasury Regulations and administrative guidance, withholding under FATCA generally applies to payments of dividends (including constructive dividends) on our securities.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Prospective investors are urged to consult their tax advisors regarding the potential application of withholding under FATCA to their investment in our securities.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PRECEDING DISCUSSION OF U.S. FEDERAL INCOME TAX CONSIDERATIONS IS FOR GENERAL INFORMATION ONLY. IT IS NOT TAX ADVICE. EACH PROSPECTIVE INVESTOR IS URGED TO CONSULT ITS TAX ADVISOR REGARDING THE PARTICULAR U.S. FEDERAL, STATE AND LOCAL AND NON-U.S. TAX CONSEQUENCES OF PURCHASING, HOLDING AND DISPOSING OF OUR COMMON STOCK AND PRE-FUNDED WARRANTS, INCLUDING THE CONSEQUENCES OF ANY PROPOSED CHANGE IN APPLICABLE LAWS.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bLEMA"/>
      <w:bookmarkEnd w:id="14"/>
      <w:r>
        <w:rPr>
          <w:rFonts w:ascii="calibri;arial;sans-serif" w:hAnsi="calibri;arial;sans-serif"/>
          <w:b w:val="false"/>
          <w:i w:val="false"/>
          <w:caps w:val="false"/>
          <w:smallCaps w:val="false"/>
          <w:sz w:val="18"/>
          <w:shd w:fill="E5E4E2" w:val="clear"/>
        </w:rPr>
        <w:t>​</w:t>
      </w:r>
      <w:bookmarkStart w:id="15" w:name="bEXP"/>
      <w:bookmarkEnd w:id="15"/>
      <w:r>
        <w:rPr>
          <w:rFonts w:ascii="calibri;arial;sans-serif" w:hAnsi="calibri;arial;sans-serif"/>
          <w:b w:val="false"/>
          <w:i w:val="false"/>
          <w:caps w:val="false"/>
          <w:smallCaps w:val="false"/>
          <w:sz w:val="18"/>
          <w:shd w:fill="E5E4E2" w:val="clear"/>
        </w:rPr>
        <w:t>​</w:t>
      </w:r>
      <w:bookmarkStart w:id="16" w:name="bWYCF"/>
      <w:bookmarkEnd w:id="16"/>
      <w:r>
        <w:rPr>
          <w:rFonts w:ascii="calibri;arial;sans-serif" w:hAnsi="calibri;arial;sans-serif"/>
          <w:b w:val="false"/>
          <w:i w:val="false"/>
          <w:caps w:val="false"/>
          <w:smallCaps w:val="false"/>
          <w:sz w:val="18"/>
          <w:shd w:fill="E5E4E2" w:val="clear"/>
        </w:rPr>
        <w:t>​</w:t>
      </w:r>
      <w:bookmarkStart w:id="17" w:name="bIOCD"/>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issuance of the securities offered hereby will be passed upon by our counsel, Ropes &amp; Gray LLP, Boston, Massachusetts. Mintz, Levin, Cohn, Ferris, Glovsky and Popeo, P.C., Boston, Massachusetts, is counsel for the underwriters in connection with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Verastem, Inc. appearing in Verastem, Inc.’s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is part of a registration statement we filed with the SEC. This prospectus supplement does not contain all of the information set forth in the registration statement and the exhibits to the registration statement. For further information, we refer you to the registration statement and the exhibits and schedules filed as a part of the registration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maintain a website at www.verastem.com. Information contained in, or accessible through, our website is not a part of, and is not incorporated into, this prospectus supplement, and you should not consider it part of this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the information we file with it which means that we can disclose important information about us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We incorporate by reference into this prospectus supplement the documents listed below and any future filings, including all filings made after the date of this prospectus supplement, made by us with the SEC under Section 13(a), 13(c), 14 or 15(d) of the Exchange Act, except for information “furnished” under Items 2.02, 7.01 or 9.01 on Form 8-K or other information “furnished” to the SEC which is not deemed filed and not incorporated in this prospectus supplement, until the termination of the offering of securities described in this prospectus supplement. We hereby incorporate by reference the following documents: </w:t>
      </w:r>
    </w:p>
    <w:p>
      <w:pPr>
        <w:pStyle w:val="TextBody"/>
        <w:bidi w:val="0"/>
        <w:spacing w:lineRule="atLeast" w:line="240" w:before="120" w:after="0"/>
        <w:ind w:left="2033" w:right="40" w:hanging="0"/>
        <w:jc w:val="left"/>
        <w:rPr/>
      </w:pPr>
      <w:hyperlink r:id="rId5">
        <w:r>
          <w:rPr>
            <w:rStyle w:val="InternetLink"/>
          </w:rPr>
          <w:t>our Annual Report on Form 10-K for the year ended December 31, 2025, as filed with the SEC on March 4,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hyperlink r:id="rId6">
        <w:r>
          <w:rPr>
            <w:rStyle w:val="InternetLink"/>
          </w:rPr>
          <w:t>our Quarterly Reports on Form 10-Q for the quarter ended March 31, 2026, as filed with the SEC on May 7, 2026</w:t>
        </w:r>
      </w:hyperlink>
      <w:r>
        <w:rPr>
          <w:rFonts w:ascii="Times New Roman;Times;serif" w:hAnsi="Times New Roman;Times;serif"/>
          <w:b w:val="false"/>
          <w:i w:val="false"/>
          <w:caps w:val="false"/>
          <w:smallCaps w:val="false"/>
          <w:color w:val="000000"/>
          <w:spacing w:val="4"/>
          <w:sz w:val="20"/>
          <w:shd w:fill="FFFFFF" w:val="clear"/>
        </w:rPr>
        <w:t xml:space="preserve"> and for the </w:t>
      </w:r>
      <w:hyperlink r:id="rId7">
        <w:r>
          <w:rPr>
            <w:rStyle w:val="InternetLink"/>
          </w:rPr>
          <w:t>quarter ended June 30, 2026, as filed with the SEC on August 6,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8">
        <w:r>
          <w:rPr>
            <w:rStyle w:val="InternetLink"/>
          </w:rPr>
          <w:t>May 26,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9">
        <w:r>
          <w:rPr>
            <w:rStyle w:val="InternetLink"/>
          </w:rPr>
          <w:t>June 17,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0">
        <w:r>
          <w:rPr>
            <w:rStyle w:val="InternetLink"/>
          </w:rPr>
          <w:t>June 23,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1">
        <w:r>
          <w:rPr>
            <w:rStyle w:val="InternetLink"/>
          </w:rPr>
          <w:t>August 7,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2">
        <w:r>
          <w:rPr>
            <w:rStyle w:val="InternetLink"/>
          </w:rPr>
          <w:t>October 14,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information specifically incorporated by reference into our </w:t>
      </w:r>
      <w:hyperlink r:id="rId1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from our </w:t>
      </w:r>
      <w:hyperlink r:id="rId14">
        <w:r>
          <w:rPr>
            <w:rStyle w:val="InternetLink"/>
          </w:rPr>
          <w:t>Definitive Proxy Statement on Schedule 14A for the 2026 Annual Meeting of Stockholders, as filed with the SEC on April 9,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which is contained in our Registration Statement on </w:t>
      </w:r>
      <w:hyperlink r:id="rId15">
        <w:r>
          <w:rPr>
            <w:rStyle w:val="InternetLink"/>
          </w:rPr>
          <w:t>Form 8-A, dated January 23, 2012</w:t>
        </w:r>
      </w:hyperlink>
      <w:r>
        <w:rPr>
          <w:rFonts w:ascii="Times New Roman;Times;serif" w:hAnsi="Times New Roman;Times;serif"/>
          <w:b w:val="false"/>
          <w:i w:val="false"/>
          <w:caps w:val="false"/>
          <w:smallCaps w:val="false"/>
          <w:color w:val="000000"/>
          <w:spacing w:val="4"/>
          <w:sz w:val="20"/>
          <w:shd w:fill="FFFFFF" w:val="clear"/>
        </w:rPr>
        <w:t xml:space="preserve">, as supplemented by the description of our common stock and preferred stock contained in </w:t>
      </w:r>
      <w:hyperlink r:id="rId16">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to our Annual Report on Form 10-K for the fiscal year ended December 31, 2025, filed with the SEC on March 4, 2026.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84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Investor Relations Verastem, Inc.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117 Kendrick Street, Suite 500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Needham, Massachusetts 02494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(781) 292-4200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address: investors@verastem.com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Copies of these filings are also available, without charge, on the SEC’s website at www.sec.gov and on our website at www.verastem.com as soon as reasonably practicable after they are filed electronically with the SEC. The information contained on our website is not a part of this prospectus supplement or the accompanying prospectus.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240" w:after="283"/>
        <w:ind w:left="1433"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2790825" cy="628650"/>
            <wp:effectExtent l="0" t="0" r="0" b="0"/>
            <wp:docPr id="9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 descr=""/>
                    <pic:cNvPicPr>
                      <a:picLocks noChangeAspect="1" noChangeArrowheads="1"/>
                    </pic:cNvPicPr>
                  </pic:nvPicPr>
                  <pic:blipFill>
                    <a:blip r:embed="rId17"/>
                    <a:stretch>
                      <a:fillRect/>
                    </a:stretch>
                  </pic:blipFill>
                  <pic:spPr bwMode="auto">
                    <a:xfrm>
                      <a:off x="0" y="0"/>
                      <a:ext cx="2790825" cy="62865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$300,000,000</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Preferred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Warrants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and sell from time to time, in one or more series or issuances and in an amount and on terms that we will determine at the time of the respective offering, any combination, up to $300,000,000 in the aggregate, of the securities described in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provide specific terms of any offering in a supplement to this prospectus. We may amend or supplement this prospectus from time to time by filing amendments or supplements as required. Any prospectus supplement may also add, update, or change information contained in this prospectus. You should carefully read this prospectus and any amendments or prospectus supplements as well as the documents incorporated or deemed to be incorporated by reference in this prospectus before you purchase any of the securities offered hereby.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securities may be offered and sold in the same offering or in separate offerings; to or through underwriters, dealers, and agents; or directly to purchasers. The names of any underwriters, dealers, or agents involved in the sale of our securities and their compensation will be described in the applicable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 the symbol “VSTM.” On August 11, 2025, the last reported sale price of our common stock par value $0.0001 per share was $7.70 per share. </w:t>
      </w:r>
    </w:p>
    <w:p>
      <w:pPr>
        <w:pStyle w:val="TextBody"/>
        <w:bidi w:val="0"/>
        <w:spacing w:lineRule="atLeast" w:line="240" w:before="160" w:after="283"/>
        <w:ind w:left="1433" w:right="40" w:firstLine="400"/>
        <w:jc w:val="left"/>
        <w:rPr/>
      </w:pPr>
      <w:r>
        <w:rPr>
          <w:rFonts w:ascii="Times New Roman;Times;serif" w:hAnsi="Times New Roman;Times;serif"/>
          <w:b/>
          <w:i w:val="false"/>
          <w:caps w:val="false"/>
          <w:smallCaps w:val="false"/>
          <w:color w:val="000000"/>
          <w:spacing w:val="-4"/>
          <w:sz w:val="20"/>
          <w:shd w:fill="FFFFFF" w:val="clear"/>
        </w:rPr>
        <w:t xml:space="preserve">Investing in our securities involves a high degree of risk. Before making an investment decision, please read the information under the heading. See “Risk Factors” on page </w:t>
      </w:r>
      <w:hyperlink w:anchor="sRIFA">
        <w:r>
          <w:rPr>
            <w:rStyle w:val="InternetLink"/>
          </w:rPr>
          <w:t>4</w:t>
        </w:r>
      </w:hyperlink>
      <w:r>
        <w:rPr>
          <w:rFonts w:ascii="Times New Roman;Times;serif" w:hAnsi="Times New Roman;Times;serif"/>
          <w:b/>
          <w:i w:val="false"/>
          <w:caps w:val="false"/>
          <w:smallCaps w:val="false"/>
          <w:color w:val="000000"/>
          <w:spacing w:val="-4"/>
          <w:sz w:val="20"/>
          <w:shd w:fill="FFFFFF" w:val="clear"/>
        </w:rPr>
        <w:t xml:space="preserve"> of this prospectus, in any applicable prospectus supplement, and under similar headings in the other documents that are incorporated by reference into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dated August 15, 2025</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OC3"/>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81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409" w:type="dxa"/>
        <w:jc w:val="left"/>
        <w:tblInd w:w="1433" w:type="dxa"/>
        <w:tblLayout w:type="fixed"/>
        <w:tblCellMar>
          <w:top w:w="0" w:type="dxa"/>
          <w:left w:w="0" w:type="dxa"/>
          <w:bottom w:w="28" w:type="dxa"/>
          <w:right w:w="0" w:type="dxa"/>
        </w:tblCellMar>
      </w:tblPr>
      <w:tblGrid>
        <w:gridCol w:w="7300"/>
        <w:gridCol w:w="109"/>
        <w:gridCol w:w="109"/>
        <w:gridCol w:w="109"/>
        <w:gridCol w:w="109"/>
        <w:gridCol w:w="410"/>
        <w:gridCol w:w="109"/>
        <w:gridCol w:w="154"/>
      </w:tblGrid>
      <w:tr>
        <w:trPr/>
        <w:tc>
          <w:tcPr>
            <w:tcW w:w="73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ATC">
              <w:r>
                <w:rPr>
                  <w:rStyle w:val="InternetLink"/>
                  <w:spacing w:val="4"/>
                </w:rPr>
                <w:t xml:space="preserve">ABOUT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ATC">
              <w:r>
                <w:rPr>
                  <w:rStyle w:val="InternetLink"/>
                  <w:spacing w:val="4"/>
                </w:rPr>
                <w:t>3</w:t>
              </w:r>
            </w:hyperlink>
            <w:hyperlink w:anchor="sA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4</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FOST">
              <w:r>
                <w:rPr>
                  <w:rStyle w:val="InternetLink"/>
                  <w:spacing w:val="4"/>
                </w:rPr>
                <w:t>5</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7</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POD">
              <w:r>
                <w:rPr>
                  <w:rStyle w:val="InternetLink"/>
                  <w:spacing w:val="4"/>
                </w:rPr>
                <w:t>8</w:t>
              </w:r>
            </w:hyperlink>
            <w:hyperlink w:anchor="s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DOCS">
              <w:r>
                <w:rPr>
                  <w:rStyle w:val="InternetLink"/>
                  <w:spacing w:val="4"/>
                </w:rPr>
                <w:t xml:space="preserve">DESCRIPTION OF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DOCS">
              <w:r>
                <w:rPr>
                  <w:rStyle w:val="InternetLink"/>
                  <w:spacing w:val="4"/>
                </w:rPr>
                <w:t>10</w:t>
              </w:r>
            </w:hyperlink>
            <w:hyperlink w:anchor="s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DOPS">
              <w:r>
                <w:rPr>
                  <w:rStyle w:val="InternetLink"/>
                  <w:spacing w:val="4"/>
                </w:rPr>
                <w:t xml:space="preserve">DESCRIPTION OF PREFERRED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DOPS">
              <w:r>
                <w:rPr>
                  <w:rStyle w:val="InternetLink"/>
                  <w:spacing w:val="4"/>
                </w:rPr>
                <w:t>11</w:t>
              </w:r>
            </w:hyperlink>
            <w:hyperlink w:anchor="sDO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DOW">
              <w:r>
                <w:rPr>
                  <w:rStyle w:val="InternetLink"/>
                  <w:spacing w:val="4"/>
                </w:rPr>
                <w:t>12</w:t>
              </w:r>
            </w:hyperlink>
            <w:hyperlink w:anchor="s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DODS">
              <w:r>
                <w:rPr>
                  <w:rStyle w:val="InternetLink"/>
                  <w:spacing w:val="4"/>
                </w:rPr>
                <w:t>13</w:t>
              </w:r>
            </w:hyperlink>
            <w:hyperlink w:anchor="s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21</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IOCD">
              <w:r>
                <w:rPr>
                  <w:rStyle w:val="InternetLink"/>
                  <w:spacing w:val="4"/>
                </w:rPr>
                <w:t>22</w:t>
              </w:r>
            </w:hyperlink>
            <w:hyperlink w:anchor="sI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23</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EXP">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sATP"/>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on Form S-3 that we filed with the Securities and Exchange Commission (the “SEC”), under the Securities Act of 1933, as amended (the “Securities Act”), using a “shelf” registration process. Under this shelf registration process, we may from time to time offer to sell any combination of the securities described in this prospectus in one or more offerings for an aggregate offering amount of up to $300,000,000. Each time we sell securities under this prospectus, we will provide a prospectus supplement and, if necessary, a free writing prospectus, that will contain specific information about the terms of that offering. The prospectus supplement and, if necessary, a free writing prospectus, may also add to, update or change information contained in this prospectus. Accordingly, to the extent inconsistent, the information in this prospectus will be deemed to be modified or superseded by any inconsistent information contained in a prospectus supplement or a free writing prospectus. You should read this prospectus and the applicable prospectus supplement and any free writing prospectus carefully, including all documents incorporated herein and therein by reference, together with the additional information described below under “Where You Can Find More Information” before making an investment in our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does not include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 dealer, agent or other person to give any information or to make any representation other than those contained or incorporated by reference in this prospectus and any accompanying prospectus supplement or any free writing prospectus provided in connection with an offering.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and any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 Our business, financial condition, results of operations and prospects may have changed since those 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in this prospectus to “Verastem,” the “Company,” “we,” “us,” “our” or similar terms refer to Verastem, Inc. and our subsidiaries on a consolidated basis, as appropriate, unless we state otherwise or the context otherwise requires. The phrase “this prospectus” refers to this prospectus and any applicable prospectus supplement, unless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Trademarks and Tradenames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Verastem name and logo are our trademarks. This prospectus and any applicable prospectus supplement and documents incorporated by reference herein and therein contain references to our trademarks and to trademarks belonging to other entities. Each of the other trademarks, trade names and service marks included in this prospectus belongs to its respective holder. Solely for convenience, trademarks, trade names and service marks referred to in this prospectus, including logos, artwork and other visual displays, may appear without the </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3"/>
          <w:sz w:val="15"/>
          <w:shd w:fill="FFFFFF" w:val="clear"/>
        </w:rPr>
        <w:t>TM</w:t>
      </w:r>
      <w:r>
        <w:rPr>
          <w:rFonts w:ascii="Times New Roman;Times;serif" w:hAnsi="Times New Roman;Times;serif"/>
          <w:b w:val="false"/>
          <w:i w:val="false"/>
          <w:caps w:val="false"/>
          <w:smallCaps w:val="false"/>
          <w:color w:val="000000"/>
          <w:spacing w:val="4"/>
          <w:sz w:val="20"/>
          <w:shd w:fill="FFFFFF" w:val="clear"/>
        </w:rPr>
        <w:t xml:space="preserve"> symbols, but such references are not intended to indicate in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96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way that we will not assert, to the fullest extent under applicable law, our rights or the rights of the applicable licensor to these trademarks, trade names and service marks. We do not intend our use or display of other entities’ trade names, trademarks or service marks to imply a relationship with, or endorsement or sponsorship of us by, any other entity.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sATC"/>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2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a biopharmaceutical company committed to the development and commercialization of new medicines to improve the lives of patients diagnosed with ras sarcoma (“RAS”)/ mitogen activated pathway kinase (“MAPK”) pathway-driven cancers. We market AVMAPKI FAKZYNJA CO-PACK (avutometinib capsules; defactinib tablets) in the United States. Our pipeline is focused on novel small molecule drugs that inhibit critical signaling pathways in cancer that promote cancer cell survival and tumor growth, including rapidly accelerated fibrosarcoma (“RAF”)/ mitogen-activated protein kinase kinase (“MEK”) inhibition, focal adhesion kinase (“FAK”) inhibition and Kirsten rat sarcoma viral oncogene homolog (“KRAS”) G12D inhibition.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May 8, 2025, the U.S. Food and Drug Administration (the “FDA”) approved AVMAPKI FAKZYNJA CO-PACK for the treatment of adult patients with KRAS mutant (“KRAS mt”) recurrent low grade serous ovarian cancer (“LGSOC”) who received prior systemic therapy. The KRAS mt recurrent LGSOC indication has been granted approval by the FDA under the accelerated approval pathway based on the tumor response rate and duration of response. Continued approval for this indication may be contingent upon verification and description of clinical benefit in a confirmatory trial. We intend to initiate discussions with other global regulatory authorities, including those in Europe and Japan with the objective of ultimately seeking approval for the combination therapy in additional regions.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AVMAPKI (avutometinib) inhibits MEK kinase activity while also blocking the compensatory reactivation of MEK by upstream RAF. RAF and MEK proteins are regulators of the RAS/RAF/MEK/ extracellular-signal-regulated-kinase (“ERK”) MAPK pathway. Blocking RAF and/or MEK activates FAK, a key mediator of drug resistance. FAKZYNJA (defactinib) is a FAK inhibitor and together, the avutometinib and defactinib combination is designed to provide a more complete blockade of the signaling that drives the growth and drug resistance of RAS/MAPK pathway-dependent tumors.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Avutometinib, alone or in combination with defactinib, has received orphan drug designation for the treatment of all patients with LGSOC in the United States. Defactinib has received orphan drug designation in ovarian cancer in the United States, the European Union, and Australia. In addition, the FDA granted orphan drug designation to avutometinib, in combination with defactinib, for the treatment of pancreatic cancer.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Our principal executive offices are located at 117 Kendrick Street, Suite 500, Needham, MA 02494, and our telephone number is (781) 292-4200. Our website address is: www.verastem.com. We have included our website address as a factual reference and do not intend it to be an active link to our website. The information that can be accessed through our website is not part of this prospectus, and investors should not rely on any such information in deciding whether to purchase our securities.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sRIFA"/>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6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Investing in our securities involves a high degree of risk. See “Item 1A — Risk Factors” in our most recent Annual Report on Form 10-K incorporated by reference in this prospectus and in any subsequent Quarterly Report on Form 10-Q and the “Risk Factors” section in the applicable prospectus supplement for a discussion of the factors you should carefully consider before deciding to purchase our securities. Before making a decision about investing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operating results and financial condition.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sFOST"/>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any prospectus supplement and the other documents we have filed with the SEC that are incorporated herein by reference, contain forward-looking statements.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incorporated by reference into this prospectus, are forward-looking statements, including statements regarding our strategy, future operations, future financial position, including our ability to continue as a going concern through one year from the date of the financial statements for the quarter ended June 30, 2025, future revenues, projected costs, prospects, plans and objectives of management. Such statements relate to, among other things, the commercial success of our marketed product AVMAPKI FAKZYNJA CO-PACK, the development and activity of our programs and product candidates, avutometinib (RAF MEK program) and defactinib (FAK program), the structure and potential clinical value of our completed, planned and pending clinical trials, including the RAMP 201, RAMP 203, RAMP 205 and RAMP 301 trials;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the Company’s lead compound and the potential market opportunities thereof; the expected outcome and benefits of our collaboration with GenFleet Therapeutics (Shanghai), Inc. (“GenFleet”) and the estimated addressable markets for, and anticipated market opportunities of our drug candidates.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including avutometinib in combination with other compounds, including defactinib, LUMAKRAS</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and others;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 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predictive of the results or success of ongoing or later clinical trials; that the timing, scope and rate of reimbursement for our product candidates is uncertain; actions or advice of regulatory agencies and our ability to obtain and maintain regulatory approval for AVMAPKI FAKZYNJA CO-PACK; that the market opportunities of AVMAPKI FAKZYNJA CO-PACK are based on internal and third-party estimates which may prove to be incorrect; that third-party payors (including government agencies) may not reimburse; that there may be competitive developments affecting our product candidates; that data may not be available when expected; that enrollment of clinical trials may take longer than expected; risks associated with preliminary and interim data, which may not be representative of more mature data, including with respect to interim duration of therapy data; that our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expand the approved indication for AVMAPKI FAKZYNJA CO-PACK; that our product candidates may experience manufacturing or supply interruptions or failures; that any of our third party contract research organizations, contract manufacturing organizations, clinical sites, or contractors, among others, who we rely on may fail to fully perform; that we face substantial competition, which may result in others developing or commercializing products before or more successfully than we do which could result in reduced market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560"/>
        <w:ind w:left="14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share or market potential for our product candidates; that we may be unable to successfully initiate or complete the clinical development and eventual commercialization of 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 quality personnel; that we or Chugai Pharmaceutical, Co. Ltd.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and may continue to make pursuant to the collaboration and option agreement with GenFleet or that GenFleet may fail to fully perform under the agreement;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this in </w:t>
      </w:r>
      <w:hyperlink r:id="rId18">
        <w:r>
          <w:rPr>
            <w:rStyle w:val="InternetLink"/>
          </w:rPr>
          <w:t>our Annual Report on Form 10-K for the year ended December 31, 2024, as filed with the SEC on March 20, 2025</w:t>
        </w:r>
      </w:hyperlink>
      <w:r>
        <w:rPr>
          <w:rFonts w:ascii="Times New Roman;Times;serif" w:hAnsi="Times New Roman;Times;serif"/>
          <w:b w:val="false"/>
          <w:i w:val="false"/>
          <w:caps w:val="false"/>
          <w:smallCaps w:val="false"/>
          <w:color w:val="000000"/>
          <w:spacing w:val="4"/>
          <w:sz w:val="20"/>
          <w:shd w:fill="FFFFFF" w:val="clear"/>
        </w:rPr>
        <w:t xml:space="preserve">, each incorporated by reference in this prospectus, in any subsequent filings with the SEC, and in the applicable “Risk Factors” section in the applicable prospectus supplement. See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prospectus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sUOP"/>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Except as otherwise provided in the applicable prospectus supplement, in connection with an offering of securities pursuant to this prospectus, we currently intend to use the net proceeds we receive from the sale of any securities offered by us under this prospectus primarily for general corporate purposes, which may include working capital, capital expenditures, research and development expenditures, clinical trial expenditures, commercial expenditures, milestone payments under in-license agreements, and possible acquisitions. Additional information on the use of net proceeds we receive from the sale of securities covered by this prospectus may be set forth in the prospectus supplement relating to the specific offering.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sPOD"/>
      <w:bookmarkEnd w:id="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registering securities, with an aggregate offering price not to exceed $300,000,000, to be sold by us under a “shelf” registration process.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offer any securities under this prospectus, we will amend or supplement this prospectus by means of an accompanying prospectus supplement setting forth the specific terms and conditions and other information about that offering as is required or necessary.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sell the securities in any of the following ways (or in any combination thereof) from time to time: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or through one or more underwriters;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dealers, who may act as agents or principal (including a block trade in which a broker or dealer so engaged will attempt to sell the shares as agent but may position and resell a portion of the block as principal to facilitate the transaction);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one or more agents;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registered direct offerings;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part of a collaboration with a third party;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part of an acquisition or merger with a third party;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at-the-market issuances;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privately negotiated transactions; or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directly to purchasers or to a single purchaser.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distribution of the securities by us may be effected from time to time in one or more transactions: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fixed price, or prices, which may be changed from time to time;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market prices prevailing at the time of sale;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prices related to such prevailing market prices; or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negotiated prices.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prospectus supplement will describe the method of distribution of the securities and any applicable restrictions.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describe the terms of the offering of the securities, including the following, as applicable: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the securities being offered, including the public offering price of the securities and the proceeds to us;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name or names of any underwriters, dealers or agents and the amounts of securities underwritten or purchased by each of them;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underwriting discounts and commissions or agency fees and other items constituting underwriters’ or agents’ compensation;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options under which underwriters may purchase additional securities from us;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discounts or concessions allowed or reallowed or paid to dealers; and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securities exchanges on which the securities may be listed.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Only the agents or underwriters named in each prospectus supplement are agents or underwriters in connection with the securities being offered thereby.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authorize underwriters, dealers or other persons acting as our agents to solicit offers by certain institutions to purchase securities from us pursuant to delayed delivery contracts providing for payment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delivery on a specified date in the future.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each applicable prospectus supplement, and each prospectus supplement will set forth any commissions we pay for solicitation of these contracts.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indemnify agents, underwriters, dealers, their affiliates, or other third parties who participate in the distribution of securities against certain liabilities, including liabilities under the Securities Act, and agree to contribute to payments which these agents, underwriters, dealers, or other third parties may be required to make. Agents, underwriters, dealers and such other third parties may be customers of, engage in transactions with, or perform services for us in the ordinary course of business. We may also use underwriters or such other third parties with whom we have a material relationship. We will describe the nature of any such relationship in the applicable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engage in transactions with or perform services for us in the ordinary course of business.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Underwriters may make a market in our common stock, but will not be obligated to do so and may discontinue any market making at any time without notice. We can make no assurance as to the development, maintenance or liquidity of any trading market for the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persons participating in an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short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subject to the applicable provisions of the Exchange Act and the rules and regulations under the Exchange Act, including Regulation M, which may limit the timing of purchases and sales of any of the securities offered in this prospectus by any other person. The anti-manipulation rules under the Exchange Act may apply to sales of securities in the market and to the actions of the Company.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required, this prospectus may be amended and/or supplemented from time to time to describe a specific plan of distribution.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5" w:name="sDOCS"/>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is incorporated by reference to </w:t>
      </w:r>
      <w:hyperlink r:id="rId19">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of our Annual Report on Form 10-K for the year ended December 31, 2024, as filed with the SEC on March  20, 2025, including any amendments or reports filed for the purpose of updating such description.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sDOPS"/>
      <w:bookmarkEnd w:id="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terms of our amended and restated certificate of incorporation, our board of directors is authorized to issue up to 5,000,000 shares of our preferred stock, par value $0.0001 per share,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It is not possible to state the actual effect of the issuance of any shares of preferred stock upon the rights of the holders of common stock until the board of directors determines the specific rights of the holders of preferred stock. However, effects of the issuance of preferred stock include restricting dividends on common stock, diluting the voting power of common stock, impairing the liquidation rights of common stock, and making it more difficult for a third party to acquire us, which could have the effect of discouraging a third party from acquiring, or deterring a third party from paying a premium to acquire, a majority of our outstanding voting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offer any additional specific class or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and stated value;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shares offered, the liquidation preference per share and the purchase price;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dividend rate(s), period(s) and/or payment date(s), or method(s) of calculation for such dividends;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dividends will be cumulative or non-cumulative and, if cumulative, the date from which dividends will accumulate;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procedures for any auction and remarketing, if any;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for a sinking fund, if any;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for redemption, if applicable;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listing of the preferred stock on any securities exchange or market;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preferred stock will be convertible into our common stock, and, if applicable, the conversion price (or how it will be calculated) and conversion period;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preferred stock will be exchangeable into debt securities, and, if applicable, the exchange price (or how it will be calculated) and exchange period;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voting rights, if any, of the preferred stock;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discussion of any material U.S. federal income tax considerations applicable to the preferred stock;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relative ranking and preferences of the preferred stock as to dividend rights and rights upon liquidation, dissolution or winding up of the affairs of the Company; and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material limitations on issuance of any class or series of preferred stock ranking senior to or on a parity with the series of preferred stock as to dividend rights and rights upon liquidation, dissolution or winding up of the Company.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preferred stock offered by this prospectus, when issued, will not have, or be subject to, any preemptive or similar rights.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7" w:name="sDOW"/>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contain, where applicable, the following terms of and other information relating to the warrants: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specific designation and aggregate number of, and the price at which we will issue, the warrants;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currency units in which the offering price, if any, and the exercise price are payable;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amount and terms of the securities purchasable upon exercise of the warrants;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shares of our common stock and the number of shares of common stock to be received upon exercise of the warrants;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shares of our preferred stock, the number of shares of preferred stock to be received upon exercise, and a description of that class or series of our preferred stock;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our debt securities, the amount of our debt securities to be received upon exercise, and a description of that series of debt securities;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on which the right to exercise the warrants will begin and the date on which that right will expire or, if the warrants may not be continuously exercised throughout that period, the specific date or dates on which the warrants may be exercised;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applicable material U.S. federal income tax consequences;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identity of the warrant agent for the warrants and of any other depositaries, execution or paying agents, transfer agents, registrars or other agents;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proposed listing, if any, of the warrants or any securities purchasable upon exercise of the warrants on any securities exchange;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date from and after which the warrants and the common stock, preferred stock and/or debt securities will be separately transferable;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minimum or maximum amount of the warrants that may be exercised at any one time;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with respect to book-entry procedures, if any;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anti-dilution provisions of the warrants, if any;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redemption or call provisions;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warrants are to be sold separately or with other securities as parts of units; and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additional terms of the warrants, including terms, procedures and limitations relating to the exchange and exercise of the warrants.</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sDODS"/>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debt securities as described in this prospectus that, unless otherwise specified in the applicable prospectus supplement, will represent direct, unsecured obligations of the Company and will rank equally with all of our other unsecured indebtedness.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the terms and features of any debt securities which we may offer, in one or more series, as either senior or subordinated debt or as senior or subordinated convertible debt. The following description and any description of debt securities in the applicable prospectus supplement may not be complete and is subject to, and are qualified in their entirety by reference to, the indenture, any supplemental indentures or forms of debt securities, in each case that we will file with the SEC in connection with a public offering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the debt securities in one or more series with the same or various maturities, at par, at a premium, or at a discount. We will describe the particular terms of each series of debt securities in the applicable prospectus supplement relating to that series, which we will file with the SEC.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set forth, to the extent required, the following terms of the debt securities in respect of which the prospectus supplement is delivered: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of the series (which shall distinguish the debt securities of that particular series from the debt securities of any other series);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limit upon the aggregate principal amount of the debt securities of the series which may be authenticated and delivered under the indenture; </w:t>
      </w:r>
      <w:r>
        <mc:AlternateContent>
          <mc:Choice Requires="wps">
            <w:drawing>
              <wp:anchor behindDoc="0" distT="635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price or prices (expressed as a percentage of the principal amount thereof) at which the series of debt securities will be issued; </w:t>
      </w:r>
      <w:r>
        <mc:AlternateContent>
          <mc:Choice Requires="wps">
            <w:drawing>
              <wp:anchor behindDoc="0" distT="635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or dates on which principal of the securities of the series is payable; </w:t>
      </w:r>
      <w:r>
        <mc:AlternateContent>
          <mc:Choice Requires="wps">
            <w:drawing>
              <wp:anchor behindDoc="0" distT="635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r>
        <mc:AlternateContent>
          <mc:Choice Requires="wps">
            <w:drawing>
              <wp:anchor behindDoc="0" distT="635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or places where the principal, interest and premium, if any, on the debt securities of the series are payable, or the method of such payment, if by wire transfer, mail or other means; </w:t>
      </w:r>
      <w:r>
        <mc:AlternateContent>
          <mc:Choice Requires="wps">
            <w:drawing>
              <wp:anchor behindDoc="0" distT="635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period or periods within which, the price or prices at which and the terms and conditions upon which the debt securities of the series may be redeemed, in whole or in part, at our option; </w:t>
      </w:r>
      <w:r>
        <mc:AlternateContent>
          <mc:Choice Requires="wps">
            <w:drawing>
              <wp:anchor behindDoc="0" distT="635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obligation, if any, to redeem or purchase the debt securities of the series pursuant to any sinking fund or analogous provisions or at the option of a holder thereof, and the period or periods within which, the price or prices at which and the terms and conditions upon which debt securities of the series shall be redeemed or purchased, in whole or in part, pursuant to such obligation; </w:t>
      </w:r>
      <w:r>
        <mc:AlternateContent>
          <mc:Choice Requires="wps">
            <w:drawing>
              <wp:anchor behindDoc="0" distT="635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if any, on which and the price or prices at which the debt securities of the series will be repurchased by us at the option of the holders thereof, and other detailed terms and provisions of such repurchase obligations; </w:t>
      </w:r>
      <w:r>
        <mc:AlternateContent>
          <mc:Choice Requires="wps">
            <w:drawing>
              <wp:anchor behindDoc="0" distT="635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denominations of $1,000 and any integral multiple thereof, the denominations in which the debt securities of the series shall be issuable; </w:t>
      </w:r>
      <w:r>
        <mc:AlternateContent>
          <mc:Choice Requires="wps">
            <w:drawing>
              <wp:anchor behindDoc="0" distT="0" distB="0" distL="254000" distR="0" simplePos="0" locked="0" layoutInCell="1" allowOverlap="1" relativeHeight="159">
                <wp:simplePos x="0" y="0"/>
                <wp:positionH relativeFrom="column">
                  <wp:align>left</wp:align>
                </wp:positionH>
                <wp:positionV relativeFrom="line">
                  <wp:posOffset>635</wp:posOffset>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forms of the debt securities of the series in bearer (if to be issued outside of the United States of America) or fully registered form (and, if in fully registered form whether the debt securities will be issuable as global securities; </w:t>
      </w:r>
      <w:r>
        <mc:AlternateContent>
          <mc:Choice Requires="wps">
            <w:drawing>
              <wp:anchor behindDoc="0" distT="7239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the principal amount thereof, the portion of the principal amount of the debt securities of the series that shall be payable upon declaration of acceleration of the maturity thereof; </w:t>
      </w:r>
      <w:r>
        <mc:AlternateContent>
          <mc:Choice Requires="wps">
            <w:drawing>
              <wp:anchor behindDoc="0" distT="7239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of denomination of the debt securities of the series, which may be dollars or any foreign currency, and the agency or organization, if any, responsible for overseeing such composite currency;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of the currency, currencies or currency units in which payment of the principal of, and interest and premium, if any, on the debt securities of the series will be made;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payments of principal of, or interest or premium, if any, on the debt securities of the series are to be made in one or more currencies or currency units other than the that or those in which such securities are denominated are, the manner in which the exchange rate with respect to such payments will be determined;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manner in which the amounts of payment of principal of, or interest and premium, if any, on the debt securities of the series will be determined if such amounts may be determined by reference to an index based on a currency or currencies or by reference to a commodity, commodity index, stock exchange index or financial index;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if any, relating to any collateral provided for the debt securities of the series;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 to or change in the covenants in the indenture which applies to the debt securities of the series;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 to or change in the events of default which applies to any debt securities of the series, and any change in the right of the trustee or the requisite holders of such debt securities to declare the principal amount thereof due and payable;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if any, for conversion of the debt securities into or exchange of the debt securities for shares of common stock or preferred stock of the Company that apply to debt securities of the series;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depositaries, interest rate calculation agents, exchange rate calculation agents or other agents with respect to debt securities of such series;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if any, upon which the debt securities shall be subordinated in right of payment to other indebtedness of the Company;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that the debt securities of the series, in whole or any specified part, shall be defeasible; and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terms of the debt securities of the series (which terms shall not be inconsistent with the provisions of the indenture, except as permitted by the indenture, but which may modify or delete any provision of the indenture insofar as it applies to such series).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and/or Conversion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which can be exchanged for or converted into shares of our common stock or preferred stock. If we do, we will describe the terms of exchange or conversion in the applicable prospectus supplement relating to these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and Exchange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that will be represented by either: </w:t>
      </w:r>
    </w:p>
    <w:p>
      <w:pPr>
        <w:pStyle w:val="TextBody"/>
        <w:bidi w:val="0"/>
        <w:spacing w:lineRule="atLeast" w:line="240" w:before="104"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book-entry,” which means that there will be one or more global securities registered in the name of a depositary or a nominee of a depositary; or </w:t>
      </w:r>
      <w:r>
        <mc:AlternateContent>
          <mc:Choice Requires="wps">
            <w:drawing>
              <wp:anchor behindDoc="0" distT="6604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certificated securities,” which means that they will be represented by a certificate issued in definitive registered form. </w:t>
      </w:r>
      <w:r>
        <mc:AlternateContent>
          <mc:Choice Requires="wps">
            <w:drawing>
              <wp:anchor behindDoc="0" distT="482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specify in the prospectus supplement applicable to a particular offering whether the debt securities offered will be book-entry or certificated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Certificated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issue certificated debt securities, a holder may transfer or exchange such debt securities at the trustee’s office or at the paying agent’s office or agency in accordance with the terms of the indenture. A holder will not be charged a service charge for any transfer or exchange of certificated debt securities but may be required to pay an amount sufficient to cover any tax or other governmental charge payable in connection with such transfer or exchange.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holder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Protection in the Event of Change of Control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a prospectus supplement with respect to a particular series of debt securities, the debt securities will not contain any provisions that may afford holders of debt securities protection in the event we have a change in control or in the event of a highly leveraged transaction (whether or not such transaction results in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set forth in the applicable prospectus supplement any restrictive covenants applicable to any issue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Consolidation, Merger and Sale of Assets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a prospectus supplement, we will not in any transaction or series of transactions, merge or consolidate with or into, or sell, assign, convey or transfer, lease or otherwise dispose of all or substantially all of our properties and assets, unless: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shall be a corporation or entity treated as a corporation for U.S. federal income tax purposes organized and existing under the laws of the United States of America, any state thereof or the District of Columbia, or a corporation or comparable legal entity treated as a corporation for U.S. federal income tax purposes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indenture as supplemented, and in each case, the indenture shall remain in full force and effect; and </w:t>
      </w:r>
      <w:r>
        <mc:AlternateContent>
          <mc:Choice Requires="wps">
            <w:drawing>
              <wp:anchor behindDoc="0" distT="0" distB="0" distL="254000" distR="0" simplePos="0" locked="0" layoutInCell="1" allowOverlap="1" relativeHeight="176">
                <wp:simplePos x="0" y="0"/>
                <wp:positionH relativeFrom="column">
                  <wp:align>left</wp:align>
                </wp:positionH>
                <wp:positionV relativeFrom="line">
                  <wp:posOffset>635</wp:posOffset>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specified in the applicable prospectus supplement, the following events will be events of default under the indenture with respect to debt securities of any series: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the payment of any principal of, or premium, if any, on, the debt securities when it becomes due and payable at maturity, upon acceleration, redemption or otherwise;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the payment of any interest on any debt security of a series when the same becomes due and payable, and the default continues for a period of 30 days;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observance or performance of any other covenant in the debt securities of a series or the indenture for 60 days after written notice from the trustee or the holders of not less than 25% in the aggregate principal amount of the debt securities of such series then outstanding which notice must specify the default, demand that it be remedied and state that the notice is a “Notice of Default”;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events involving bankruptcy, insolvency or reorganization of Verastem or any of our significant subsidiaries; and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event of default provided for in such series of debt securities as may be specified in the applicable prospectus supplement.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a majority in principal amount of the debt securities of any series then outstanding have the right to waive any existing default or event of default with respect to such series or compliance with any provision of the indenture (with respect to such series) or the debt securities of such series with written notice to the trustee. Upon any such waiver, such default with respect to such series shall cease to exist, and any event of default with respect to such series arising therefrom shall be deemed to have been cured for every purpose of the indenture; but no such waiver shall extend to any subsequent or other default or event of default or impair any right consequent thereto. If an event of default (other than an event of default resulting from certain events of bankruptcy, insolvency or reorganization with respect to the Company) occurs, and is continuing, then the trustee, by written notice, or the holders of not less than 25% in aggregate principal amount of the outstanding debt securities of that series may declare that the entire principal amount, plus the premium, if any, of all the debt securities of that series then outstanding plus accrued and unpaid interest to the date of acceleration are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existing events of default (other than nonpayment of accelerated principal, premium or interest) have been cured or waived;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lawful interest on overdue installments of interest and overdue principal have been paid; and </w:t>
      </w:r>
      <w:r>
        <mc:AlternateContent>
          <mc:Choice Requires="wps">
            <w:drawing>
              <wp:anchor behindDoc="0" distT="7239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rescission would not conflict with any judgment or decree. </w:t>
      </w:r>
      <w:r>
        <mc:AlternateContent>
          <mc:Choice Requires="wps">
            <w:drawing>
              <wp:anchor behindDoc="0" distT="0" distB="0" distL="254000" distR="0" simplePos="0" locked="0" layoutInCell="1" allowOverlap="1" relativeHeight="185">
                <wp:simplePos x="0" y="0"/>
                <wp:positionH relativeFrom="column">
                  <wp:align>left</wp:align>
                </wp:positionH>
                <wp:positionV relativeFrom="line">
                  <wp:posOffset>635</wp:posOffset>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if the acceleration occurs at any time when we have outstanding indebtedness which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resulting from certain events of bankruptcy, insolvency or reorganization with respect to the Company occurs, such principal, premium, if any, and interest amount with respect to all the debt securities of that series shall be due and payable immediately without any declaration or other act on the part of the trustee or the holders of the debt securities of that series.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holder of any debt security of a series will have any right to institute any proceeding with respect to the indenture or for any remedy under the indenture, unless: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gives to the trustee written notice of a continuing event of default with respect to the debt securities of that series;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at least 25% in aggregate principal amount of the outstanding debt securities of the affected series make a written request to the trustee;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or holders offer to the trustee indemnity satisfactory to the trustee against any loss, liability or expense to be incurred in compliance with such request;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does not comply with the request within 60 days after such request; and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aggregate principal amount of the outstanding debt securities of the affected series do not give the trustee a direction inconsistent with such request during such 60-day period.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 and 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 to time, we and the trustee may, without the consent of holders of the debt securities of one or more series, amend the indenture or the debt securities of one or more series, or supplement the indenture, for certain specified purposes, including: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that the surviving entity following a change of control of Verastem permitted under the indenture will assume all of our obligations under the indenture and debt securities;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certificated debt securities in addition to uncertificated debt securities;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comply with any requirements of the SEC under the Trust Indenture Act of 1939;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cure any mistake, ambiguity, defect or inconsistency, or make any other change that does not materially and adversely affect the rights of any holder;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the issuance of and establish the form and terms and conditions of debt securities of any series as permitted by the indenture; and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evidence and provide for the acceptance of the appointment of a successor trustee under the indenture with respect to one or more series and to add to or change any of the provisions of the indenture as shall be necessary to provide for or facilitate the administration of the trusts by more than one trustee.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 to time we and the trustee may, with the consent of holders of not less than a majority of the aggregate principal amount of an outstanding series of debt securities, amend or supplement the indenture or the debt securities series, or waive compliance in a particular instance by us with any provision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the indenture or the debt securities. We may not, however, without the consent of each holder affected by such action, modify or supplement the indenture or the debt securities or waive compliance with any provision of the indenture or the debt securities in order to: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amount of debt securities whose holders must consent to an amendment, supplement, or waiver to the indenture or such debt security;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rate of or change the time for payment of interest on any of the debt securities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principal of or change the stated maturity of the debt securities, or reduce the amount of, or postpone the date fixed for, the payment of any sinking fund or analogous obligation;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debt security payable in money other than that stated in the debt security;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the amount or time of any payment required by the debt securities or reduce the premium payable upon any redemption of the debt securities, or change the time before which no such redemption may be made;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 default or event of default in the payment of the principal of, or interest or premium, if any, on any debt securities (except a rescission of acceleration of the debt securities of any series by the holders of at least a majority in principal amount of the outstanding debt securities of such series and a waiver of the payment default that resulted from such acceleration);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 redemption payment with respect to any debt securities or change any provision with respect to redemption of debt securities;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other action otherwise prohibited by the indenture to be taken without the consent of each holder affected by the action; or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changes to the above provisions or the acceleration provisions of the indenture, except to increase any percentage of debt securities the holders of which must consent to any matter.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Defeasance of Debt Securities and Certain Covenants in Certain Circumstances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permits us, at any time, to elect to discharge our obligations with respect to one or more series of debt securities by following certain procedures described in the indenture. These procedures will allow us either: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defease and be discharged from any and all of our obligations with respect to any debt securities except for the following obligations (which discharge is referred to as “legal defeasance”):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replace temporary or mutilated, destroyed, lost or stolen debt securities; </w:t>
      </w:r>
      <w:r>
        <mc:AlternateContent>
          <mc:Choice Requires="wps">
            <w:drawing>
              <wp:anchor behindDoc="0" distT="101600" distB="0" distL="508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powers, trusts, duties and immunities of the trustee; or </w:t>
      </w:r>
      <w:r>
        <mc:AlternateContent>
          <mc:Choice Requires="wps">
            <w:drawing>
              <wp:anchor behindDoc="0" distT="101600" distB="0" distL="508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maintain an office or agency in respect of the debt securities and to hold monies for payment in trust; or </w:t>
      </w:r>
      <w:r>
        <mc:AlternateContent>
          <mc:Choice Requires="wps">
            <w:drawing>
              <wp:anchor behindDoc="0" distT="101600" distB="0" distL="50800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released from our obligations with respect to the debt securities under certain covenants contained in the indenture, as well as any additional covenants which may be contained in an applicable supplemental indenture (which release is referred to as “covenant defeasance”).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exercise either defeasance option, we must irrevocably deposit with the trustee or other qualifying trustee, in trust for that purpose: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money;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Government Obligations (as described below) or Foreign Government Obligations (as described below) which through the scheduled payment of principal and interest in accordance with their terms will provide, not later than the due date of any payment, money; or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combination of money and/or U.S. Government Obligations and/or Foreign Government Obligations sufficient in the written opinion of a nationally-recognized firm of independent accountants to provide money;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which in each case specified above, provides an amount sufficient to pay the principal of, premium, if any, and interest, if any, on the debt securities of the series, on the scheduled due dates or on a selected date of redemption in accordance with the terms of the indenture.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defeasance may be effected only if, among other things: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either legal or covenant defeasance, we deliver to the trustee an opinion of counsel, as specified in the indenture; </w:t>
      </w:r>
      <w:r>
        <mc:AlternateContent>
          <mc:Choice Requires="wps">
            <w:drawing>
              <wp:anchor behindDoc="0" distT="7366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or there has been a change in any applicable U.S. Federal income tax law with the effect that, and such opinion shall confirm that, the holders of the outstanding debt securities of such series or persons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other conditions described in the indenture are satisfied.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fail to comply with our remaining obligations under the indenture and any applicable supplemental indenture after a covenant defeasance of the indenture and any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“U.S. Government Obligations” as used in the above discussion means direct non-callable obligations of or non-callable obligations guaranteed by the United States of America for the payment of which obligation or guarantee the full faith and credit of the United States of America is pledged.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“Foreign Government Obligations” as used in the above discussion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Regarding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identify the trustee with respect to any series of debt securities in the prospectus supplement relating to the applicable debt securities. You should note that if the trustee becomes a creditor of Verastem,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under the same circumstances in the conduct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4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his or her own affairs. Subject to that provision, the trustee will be under no obligation to exercise any of its rights or powers under the indenture at the request of any of the holders of the debt securities, unless they have offered to the trustee indemnity or security against the costs, expenses and liabilities which may be incurred therein or thereby.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debt securities, including any claim or controversy arising out of or relating to the indenture or the securities, will be governed by the laws of the State of New York.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sWYCF"/>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we filed with the SEC. This prospectus does not contain all of the information set forth in the registration statement and the exhibits to the registration statement. For further information, we refer you to the registration statement and the exhibits and schedules filed as a part of the registration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maintain a website at www.verastem.com. Information contained in, or accessible through, our website is not a part of, and is not incorporated into, this prospectus, and you should not consider it part of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30" w:name="sIOCD"/>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into this prospectus certain information we file with it, which means that we can disclose important information about us by referring you to those documents. The information incorporated by reference is considered to be a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of the registration statement of which this prospectus is part and prior to the effectiveness of such registration statement, made by us with the SEC under Sections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 </w:t>
      </w:r>
    </w:p>
    <w:p>
      <w:pPr>
        <w:pStyle w:val="TextBody"/>
        <w:bidi w:val="0"/>
        <w:spacing w:lineRule="atLeast" w:line="240" w:before="120" w:after="0"/>
        <w:ind w:left="2033" w:right="40" w:hanging="0"/>
        <w:jc w:val="left"/>
        <w:rPr/>
      </w:pPr>
      <w:hyperlink r:id="rId20">
        <w:r>
          <w:rPr>
            <w:rStyle w:val="InternetLink"/>
          </w:rPr>
          <w:t>our Annual Report on Form 10-K for the year ended December 31, 2024, as filed with the SEC on March 20, 2025</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Quarterly Reports on Form 10-Q for the quarter ended </w:t>
      </w:r>
      <w:hyperlink r:id="rId21">
        <w:r>
          <w:rPr>
            <w:rStyle w:val="InternetLink"/>
          </w:rPr>
          <w:t>March 30, 2025</w:t>
        </w:r>
      </w:hyperlink>
      <w:r>
        <w:rPr>
          <w:rFonts w:ascii="Times New Roman;Times;serif" w:hAnsi="Times New Roman;Times;serif"/>
          <w:b w:val="false"/>
          <w:i w:val="false"/>
          <w:caps w:val="false"/>
          <w:smallCaps w:val="false"/>
          <w:color w:val="000000"/>
          <w:spacing w:val="4"/>
          <w:sz w:val="20"/>
          <w:shd w:fill="FFFFFF" w:val="clear"/>
        </w:rPr>
        <w:t xml:space="preserve">, as filed with the SEC on May 13, 2025, and for the quarter ended </w:t>
      </w:r>
      <w:hyperlink r:id="rId22">
        <w:r>
          <w:rPr>
            <w:rStyle w:val="InternetLink"/>
          </w:rPr>
          <w:t>June 30, 2025</w:t>
        </w:r>
      </w:hyperlink>
      <w:r>
        <w:rPr>
          <w:rFonts w:ascii="Times New Roman;Times;serif" w:hAnsi="Times New Roman;Times;serif"/>
          <w:b w:val="false"/>
          <w:i w:val="false"/>
          <w:caps w:val="false"/>
          <w:smallCaps w:val="false"/>
          <w:color w:val="000000"/>
          <w:spacing w:val="4"/>
          <w:sz w:val="20"/>
          <w:shd w:fill="FFFFFF" w:val="clear"/>
        </w:rPr>
        <w:t xml:space="preserve">, as filed with the SEC on August 7, 2025;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23">
        <w:r>
          <w:rPr>
            <w:rStyle w:val="InternetLink"/>
          </w:rPr>
          <w:t>January 13,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4">
        <w:r>
          <w:rPr>
            <w:rStyle w:val="InternetLink"/>
          </w:rPr>
          <w:t>January 21,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5">
        <w:r>
          <w:rPr>
            <w:rStyle w:val="InternetLink"/>
          </w:rPr>
          <w:t>January 23,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6">
        <w:r>
          <w:rPr>
            <w:rStyle w:val="InternetLink"/>
          </w:rPr>
          <w:t>March 20,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7">
        <w:r>
          <w:rPr>
            <w:rStyle w:val="InternetLink"/>
          </w:rPr>
          <w:t>April 25,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8">
        <w:r>
          <w:rPr>
            <w:rStyle w:val="InternetLink"/>
          </w:rPr>
          <w:t>May 8,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9">
        <w:r>
          <w:rPr>
            <w:rStyle w:val="InternetLink"/>
          </w:rPr>
          <w:t>May 23, 2025</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30">
        <w:r>
          <w:rPr>
            <w:rStyle w:val="InternetLink"/>
          </w:rPr>
          <w:t>June 2, 2025</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information specifically incorporated by reference into </w:t>
      </w:r>
      <w:hyperlink r:id="rId31">
        <w:r>
          <w:rPr>
            <w:rStyle w:val="InternetLink"/>
          </w:rPr>
          <w:t>our Annual Report on Form 10-K for the year ended December 31, 2024</w:t>
        </w:r>
      </w:hyperlink>
      <w:r>
        <w:rPr>
          <w:rFonts w:ascii="Times New Roman;Times;serif" w:hAnsi="Times New Roman;Times;serif"/>
          <w:b w:val="false"/>
          <w:i w:val="false"/>
          <w:caps w:val="false"/>
          <w:smallCaps w:val="false"/>
          <w:color w:val="000000"/>
          <w:spacing w:val="4"/>
          <w:sz w:val="20"/>
          <w:shd w:fill="FFFFFF" w:val="clear"/>
        </w:rPr>
        <w:t xml:space="preserve"> from our </w:t>
      </w:r>
      <w:hyperlink r:id="rId32">
        <w:r>
          <w:rPr>
            <w:rStyle w:val="InternetLink"/>
          </w:rPr>
          <w:t>Definitive Proxy Statement on Schedule 14A</w:t>
        </w:r>
      </w:hyperlink>
      <w:r>
        <w:rPr>
          <w:rFonts w:ascii="Times New Roman;Times;serif" w:hAnsi="Times New Roman;Times;serif"/>
          <w:b w:val="false"/>
          <w:i w:val="false"/>
          <w:caps w:val="false"/>
          <w:smallCaps w:val="false"/>
          <w:color w:val="000000"/>
          <w:spacing w:val="4"/>
          <w:sz w:val="20"/>
          <w:shd w:fill="FFFFFF" w:val="clear"/>
        </w:rPr>
        <w:t xml:space="preserve"> for the 2025 Annual Meeting of Stockholders, as filed with the SEC on April 8, 2025; and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which is in our Registration Statement on Form 8-A, dated </w:t>
      </w:r>
      <w:hyperlink r:id="rId33">
        <w:r>
          <w:rPr>
            <w:rStyle w:val="InternetLink"/>
          </w:rPr>
          <w:t>January 23, 2012</w:t>
        </w:r>
      </w:hyperlink>
      <w:r>
        <w:rPr>
          <w:rFonts w:ascii="Times New Roman;Times;serif" w:hAnsi="Times New Roman;Times;serif"/>
          <w:b w:val="false"/>
          <w:i w:val="false"/>
          <w:caps w:val="false"/>
          <w:smallCaps w:val="false"/>
          <w:color w:val="000000"/>
          <w:spacing w:val="4"/>
          <w:sz w:val="20"/>
          <w:shd w:fill="FFFFFF" w:val="clear"/>
        </w:rPr>
        <w:t xml:space="preserve">, as supplemented by the description of our common stock and preferred stock contained in </w:t>
      </w:r>
      <w:hyperlink r:id="rId34">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to our Annual Report on Form 10-K for the fiscal year ended December 31, 2024, filed with the SEC on March 20, 2025.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Investor Relations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Verastem,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117 Kendrick Street, Suite 500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Needham, Massachusetts 02494</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(781) 292-4279</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address: investors@verastem.com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Copies of these filings are also available, without charge, on the SEC’s website at www.sec.gov and on our website at www.verastem.com as soon as reasonably practicable after they are filed electronically with the SEC. The information contained on our website is not a part of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31" w:name="sLEMA"/>
      <w:bookmarkEnd w:id="31"/>
      <w:r>
        <w:rPr>
          <w:rFonts w:ascii="calibri;arial;sans-serif" w:hAnsi="calibri;arial;sans-serif"/>
          <w:b w:val="false"/>
          <w:i w:val="false"/>
          <w:caps w:val="false"/>
          <w:smallCaps w:val="false"/>
          <w:sz w:val="18"/>
          <w:shd w:fill="E5E4E2" w:val="clear"/>
        </w:rPr>
        <w:t>​</w:t>
      </w:r>
      <w:bookmarkStart w:id="32" w:name="sEXP"/>
      <w:bookmarkEnd w:id="3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issuance of the securities offered pursuant to this prospectus will be passed upon for us by Ropes &amp; Gray LLP, Boston, Massachusetts. The validity of any securities will be passed upon for any underwriters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Verastem, Inc. appearing in Verastem, Inc.’s </w:t>
      </w:r>
      <w:hyperlink r:id="rId35">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shd w:fill="FFFFFF" w:val="clear"/>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5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10" w:before="110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 xml:space="preserve">30,937,500 Shares of Common Stock </w:t>
      </w:r>
      <w:r>
        <w:rPr>
          <w:rFonts w:ascii="Times New Roman;Times;serif" w:hAnsi="Times New Roman;Times;serif"/>
          <w:b/>
          <w:i w:val="false"/>
          <w:caps w:val="false"/>
          <w:smallCaps w:val="false"/>
          <w:color w:val="000000"/>
          <w:sz w:val="28"/>
          <w:shd w:fill="FFFFFF" w:val="clear"/>
        </w:rPr>
        <w:br/>
      </w:r>
      <w:r>
        <w:rPr>
          <w:rFonts w:ascii="Times New Roman;Times;serif" w:hAnsi="Times New Roman;Times;serif"/>
          <w:b/>
          <w:i w:val="false"/>
          <w:caps w:val="false"/>
          <w:smallCaps w:val="false"/>
          <w:color w:val="000000"/>
          <w:spacing w:val="-6"/>
          <w:sz w:val="28"/>
          <w:shd w:fill="FFFFFF" w:val="clear"/>
        </w:rPr>
        <w:t>Pre-Funded Warrants to Purchase up to 312,503 Shares of 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1720" w:after="283"/>
        <w:jc w:val="center"/>
        <w:rPr>
          <w:caps w:val="false"/>
          <w:smallCaps w:val="false"/>
          <w:color w:val="000000"/>
          <w:shd w:fill="FFFFFF" w:val="clear"/>
        </w:rPr>
      </w:pPr>
      <w:r>
        <w:rPr>
          <w:caps w:val="false"/>
          <w:smallCaps w:val="false"/>
          <w:color w:val="000000"/>
          <w:shd w:fill="FFFFFF" w:val="clear"/>
        </w:rPr>
        <w:drawing>
          <wp:inline distT="0" distB="0" distL="0" distR="0">
            <wp:extent cx="2790825" cy="628650"/>
            <wp:effectExtent l="0" t="0" r="0" b="0"/>
            <wp:docPr id="2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3" descr=""/>
                    <pic:cNvPicPr>
                      <a:picLocks noChangeAspect="1" noChangeArrowheads="1"/>
                    </pic:cNvPicPr>
                  </pic:nvPicPr>
                  <pic:blipFill>
                    <a:blip r:embed="rId36"/>
                    <a:stretch>
                      <a:fillRect/>
                    </a:stretch>
                  </pic:blipFill>
                  <pic:spPr bwMode="auto">
                    <a:xfrm>
                      <a:off x="0" y="0"/>
                      <a:ext cx="2790825" cy="628650"/>
                    </a:xfrm>
                    <a:prstGeom prst="rect">
                      <a:avLst/>
                    </a:prstGeom>
                  </pic:spPr>
                </pic:pic>
              </a:graphicData>
            </a:graphic>
          </wp:inline>
        </w:drawing>
      </w:r>
      <w:r>
        <w:rPr>
          <w:caps w:val="false"/>
          <w:smallCaps w:val="false"/>
          <w:color w:val="000000"/>
          <w:shd w:fill="FFFFFF" w:val="clear"/>
        </w:rPr>
        <w:t xml:space="preserve"> </w:t>
      </w:r>
    </w:p>
    <w:p>
      <w:pPr>
        <w:pStyle w:val="TextBody"/>
        <w:bidi w:val="0"/>
        <w:spacing w:before="116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80" w:before="248"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PROSPECTUS SUPPLEMENT</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before="297"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316" w:after="283"/>
        <w:jc w:val="center"/>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Joint Book-Running Managers</w:t>
      </w:r>
      <w:r>
        <w:rPr>
          <w:rFonts w:ascii="Times New Roman;Times;serif" w:hAnsi="Times New Roman;Times;serif"/>
          <w:b/>
          <w:i/>
          <w:caps w:val="false"/>
          <w:smallCaps w:val="false"/>
          <w:color w:val="000000"/>
          <w:spacing w:val="4"/>
          <w:sz w:val="20"/>
          <w:shd w:fill="FFFFFF" w:val="clear"/>
        </w:rPr>
        <w:t xml:space="preserve"> </w:t>
      </w:r>
    </w:p>
    <w:tbl>
      <w:tblPr>
        <w:tblW w:w="4625" w:type="dxa"/>
        <w:jc w:val="left"/>
        <w:tblInd w:w="1433" w:type="dxa"/>
        <w:tblLayout w:type="fixed"/>
        <w:tblCellMar>
          <w:top w:w="0" w:type="dxa"/>
          <w:left w:w="0" w:type="dxa"/>
          <w:bottom w:w="0" w:type="dxa"/>
          <w:right w:w="0" w:type="dxa"/>
        </w:tblCellMar>
      </w:tblPr>
      <w:tblGrid>
        <w:gridCol w:w="124"/>
        <w:gridCol w:w="890"/>
        <w:gridCol w:w="109"/>
        <w:gridCol w:w="109"/>
        <w:gridCol w:w="2245"/>
        <w:gridCol w:w="109"/>
        <w:gridCol w:w="109"/>
        <w:gridCol w:w="776"/>
        <w:gridCol w:w="154"/>
      </w:tblGrid>
      <w:tr>
        <w:trPr/>
        <w:tc>
          <w:tcPr>
            <w:tcW w:w="124"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pPr>
            <w:r>
              <w:rPr>
                <w:spacing w:val="-7"/>
              </w:rPr>
              <w:t>Jefferies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45" w:type="dxa"/>
            <w:tcBorders/>
            <w:vAlign w:val="center"/>
          </w:tcPr>
          <w:p>
            <w:pPr>
              <w:pStyle w:val="TableContents"/>
              <w:bidi w:val="0"/>
              <w:spacing w:before="0" w:after="0"/>
              <w:jc w:val="left"/>
              <w:rPr/>
            </w:pPr>
            <w:r>
              <w:rPr>
                <w:spacing w:val="-7"/>
              </w:rPr>
              <w:t>Guggenheim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0"/>
              <w:jc w:val="right"/>
              <w:rPr/>
            </w:pPr>
            <w:r>
              <w:rPr>
                <w:spacing w:val="-7"/>
              </w:rPr>
              <w:t>Cantor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25" w:after="283"/>
        <w:ind w:left="1433" w:right="40" w:hanging="0"/>
        <w:jc w:val="center"/>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Lead Manager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360" w:before="387"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B. Riley Securities</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lineRule="atLeast" w:line="240" w:before="1273"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October 14,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197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26119/000110465926023444/vstm-20251231x10k.htm" TargetMode="External"/><Relationship Id="rId4" Type="http://schemas.openxmlformats.org/officeDocument/2006/relationships/hyperlink" Target="https://www.sec.gov/ix?doc=/Archives/edgar/data/1526119/000110465926023444/vstm-20251231x10k.htm" TargetMode="External"/><Relationship Id="rId5" Type="http://schemas.openxmlformats.org/officeDocument/2006/relationships/hyperlink" Target="https://www.sec.gov/ix?doc=/Archives/edgar/data/1526119/000110465926023444/vstm-20251231x10k.htm" TargetMode="External"/><Relationship Id="rId6" Type="http://schemas.openxmlformats.org/officeDocument/2006/relationships/hyperlink" Target="https://www.sec.gov/ix?doc=/Archives/edgar/data/1526119/000110465926057114/vstm-20260331x10q.htm" TargetMode="External"/><Relationship Id="rId7" Type="http://schemas.openxmlformats.org/officeDocument/2006/relationships/hyperlink" Target="https://www.sec.gov/ix?doc=/Archives/edgar/data/1526119/000110465926092007/vstm-20260630x10q.htm" TargetMode="External"/><Relationship Id="rId8" Type="http://schemas.openxmlformats.org/officeDocument/2006/relationships/hyperlink" Target="https://www.sec.gov/ix?doc=/Archives/edgar/data/1526119/000110465926066026/vstm-20260521x8k.htm" TargetMode="External"/><Relationship Id="rId9" Type="http://schemas.openxmlformats.org/officeDocument/2006/relationships/hyperlink" Target="https://www.sec.gov/ix?doc=/Archives/edgar/data/1526119/000110465926074915/tm2618108d1_8k.htm" TargetMode="External"/><Relationship Id="rId10" Type="http://schemas.openxmlformats.org/officeDocument/2006/relationships/hyperlink" Target="https://www.sec.gov/ix?doc=/Archives/edgar/data/1526119/000110465926076809/tm2618546d1_8k.htm" TargetMode="External"/><Relationship Id="rId11" Type="http://schemas.openxmlformats.org/officeDocument/2006/relationships/hyperlink" Target="https://www.sec.gov/ix?doc=/Archives/edgar/data/1526119/000110465926092216/tm2622452d1_8k.htm" TargetMode="External"/><Relationship Id="rId12" Type="http://schemas.openxmlformats.org/officeDocument/2006/relationships/hyperlink" Target="https://www.sec.gov/ix?doc=/Archives/edgar/data/1526119/000110465926115687/tm2627537d4_8k.htm" TargetMode="External"/><Relationship Id="rId13" Type="http://schemas.openxmlformats.org/officeDocument/2006/relationships/hyperlink" Target="https://www.sec.gov/ix?doc=/Archives/edgar/data/1526119/000110465926023444/vstm-20251231x10k.htm" TargetMode="External"/><Relationship Id="rId14" Type="http://schemas.openxmlformats.org/officeDocument/2006/relationships/hyperlink" Target="https://www.sec.gov/ix?doc=/Archives/edgar/data/1526119/000110465926041506/vstm-20260521xdef14a.htm" TargetMode="External"/><Relationship Id="rId15" Type="http://schemas.openxmlformats.org/officeDocument/2006/relationships/hyperlink" Target="https://www.sec.gov/Archives/edgar/data/1526119/000110465912003382/a11-28014_58a12b.htm" TargetMode="External"/><Relationship Id="rId16" Type="http://schemas.openxmlformats.org/officeDocument/2006/relationships/hyperlink" Target="https://www.sec.gov/Archives/edgar/data/1526119/000110465926023444/vstm-20251231xex4d2.htm" TargetMode="External"/><Relationship Id="rId17" Type="http://schemas.openxmlformats.org/officeDocument/2006/relationships/image" Target="media/image1.jpeg"/><Relationship Id="rId18" Type="http://schemas.openxmlformats.org/officeDocument/2006/relationships/hyperlink" Target="https://www.sec.gov/ix?doc=/Archives/edgar/data/1526119/000155837025003372/vstm-20241231x10k.htm" TargetMode="External"/><Relationship Id="rId19" Type="http://schemas.openxmlformats.org/officeDocument/2006/relationships/hyperlink" Target="https://www.sec.gov/Archives/edgar/data/1526119/000155837025003372/vstm-20241231xex4d2.htm" TargetMode="External"/><Relationship Id="rId20" Type="http://schemas.openxmlformats.org/officeDocument/2006/relationships/hyperlink" Target="https://www.sec.gov/ix?doc=/Archives/edgar/data/1526119/000155837025003372/vstm-20241231x10k.htm" TargetMode="External"/><Relationship Id="rId21" Type="http://schemas.openxmlformats.org/officeDocument/2006/relationships/hyperlink" Target="https://www.sec.gov/ix?doc=/Archives/edgar/data/1526119/000155837025007570/vstm-20250331x10q.htm" TargetMode="External"/><Relationship Id="rId22" Type="http://schemas.openxmlformats.org/officeDocument/2006/relationships/hyperlink" Target="https://www.sec.gov/ix?doc=/Archives/edgar/data/1526119/000155837025010757/vstm-20250630x10q.htm" TargetMode="External"/><Relationship Id="rId23" Type="http://schemas.openxmlformats.org/officeDocument/2006/relationships/hyperlink" Target="https://www.sec.gov/ix?doc=/Archives/edgar/data/1526119/000110465925002859/tm253090d1_8k.htm" TargetMode="External"/><Relationship Id="rId24" Type="http://schemas.openxmlformats.org/officeDocument/2006/relationships/hyperlink" Target="https://www.sec.gov/ix?doc=/Archives/edgar/data/1526119/000110465925004918/tm253996d1_8k.htm" TargetMode="External"/><Relationship Id="rId25" Type="http://schemas.openxmlformats.org/officeDocument/2006/relationships/hyperlink" Target="https://www.sec.gov/ix?doc=/Archives/edgar/data/1526119/000110465925005460/tm254144d1_8k.htm" TargetMode="External"/><Relationship Id="rId26" Type="http://schemas.openxmlformats.org/officeDocument/2006/relationships/hyperlink" Target="https://www.sec.gov/ix?doc=/Archives/edgar/data/1526119/000110465925026130/tm259913d1_8k.htm" TargetMode="External"/><Relationship Id="rId27" Type="http://schemas.openxmlformats.org/officeDocument/2006/relationships/hyperlink" Target="https://www.sec.gov/ix?doc=/Archives/edgar/data/1526119/000110465925039098/tm2513177d1_8k.htm" TargetMode="External"/><Relationship Id="rId28" Type="http://schemas.openxmlformats.org/officeDocument/2006/relationships/hyperlink" Target="https://www.sec.gov/ix?doc=/Archives/edgar/data/1526119/000110465925046175/tm2514525d1_8k.htm" TargetMode="External"/><Relationship Id="rId29" Type="http://schemas.openxmlformats.org/officeDocument/2006/relationships/hyperlink" Target="https://www.sec.gov/ix?doc=/Archives/edgar/data/1526119/000110465925052220/tm2516049d1_8k.htm" TargetMode="External"/><Relationship Id="rId30" Type="http://schemas.openxmlformats.org/officeDocument/2006/relationships/hyperlink" Target="https://www.sec.gov/ix?doc=/Archives/edgar/data/1526119/000110465925055286/tm2516844d1_8k.htm" TargetMode="External"/><Relationship Id="rId31" Type="http://schemas.openxmlformats.org/officeDocument/2006/relationships/hyperlink" Target="https://www.sec.gov/ix?doc=/Archives/edgar/data/1526119/000155837025003372/vstm-20241231x10k.htm" TargetMode="External"/><Relationship Id="rId32" Type="http://schemas.openxmlformats.org/officeDocument/2006/relationships/hyperlink" Target="https://www.sec.gov/ix?doc=/Archives/edgar/data/1526119/000155837025004597/vstm-20250522xdef14a.htm" TargetMode="External"/><Relationship Id="rId33" Type="http://schemas.openxmlformats.org/officeDocument/2006/relationships/hyperlink" Target="https://www.sec.gov/Archives/edgar/data/1526119/000110465912003382/a11-28014_58a12b.htm" TargetMode="External"/><Relationship Id="rId34" Type="http://schemas.openxmlformats.org/officeDocument/2006/relationships/hyperlink" Target="https://www.sec.gov/Archives/edgar/data/1526119/000155837025003372/vstm-20241231xex4d2.htm" TargetMode="External"/><Relationship Id="rId35" Type="http://schemas.openxmlformats.org/officeDocument/2006/relationships/hyperlink" Target="https://www.sec.gov/ix?doc=/Archives/edgar/data/1526119/000155837025003372/vstm-20241231x10k.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32699</Words>
  <Characters>173647</Characters>
  <CharactersWithSpaces>207928</CharactersWithSpaces>
  <Paragraphs>2002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