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29, 2026</w:t>
      </w:r>
    </w:p>
    <w:p>
      <w:pPr>
        <w:spacing w:after="0" w:line="30"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w:t>
      </w:r>
      <w:r>
        <w:rPr>
          <w:rFonts w:ascii="Times New Roman" w:cs="Times New Roman" w:eastAsia="Times New Roman" w:hAnsi="Times New Roman"/>
          <w:sz w:val="18"/>
          <w:szCs w:val="18"/>
          <w:color w:val="auto"/>
        </w:rPr>
        <w:t>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3810</wp:posOffset>
            </wp:positionV>
            <wp:extent cx="713359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38100</wp:posOffset>
            </wp:positionV>
            <wp:extent cx="713359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pacing w:after="0" w:line="24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3"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FORM S-8</w:t>
      </w:r>
    </w:p>
    <w:p>
      <w:pPr>
        <w:spacing w:after="0" w:line="22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REGISTRATION STATEMENT UNDER THE SECURITIES ACT OF 1933</w:t>
      </w:r>
    </w:p>
    <w:p>
      <w:pPr>
        <w:spacing w:after="0" w:line="21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b w:val="1"/>
          <w:bCs w:val="1"/>
          <w:color w:val="auto"/>
        </w:rPr>
        <w:t>Verastem, Inc.</w:t>
      </w:r>
    </w:p>
    <w:p>
      <w:pPr>
        <w:spacing w:after="0" w:line="35"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196" w:lineRule="exact"/>
        <w:rPr>
          <w:sz w:val="24"/>
          <w:szCs w:val="24"/>
          <w:color w:val="auto"/>
        </w:rPr>
      </w:pPr>
    </w:p>
    <w:tbl>
      <w:tblPr>
        <w:tblLayout w:type="fixed"/>
        <w:tblInd w:w="1320" w:type="dxa"/>
        <w:tblCellMar>
          <w:top w:w="0" w:type="dxa"/>
          <w:left w:w="0" w:type="dxa"/>
          <w:bottom w:w="0" w:type="dxa"/>
          <w:right w:w="0" w:type="dxa"/>
        </w:tblCellMar>
      </w:tblPr>
      <w:tr>
        <w:trPr>
          <w:trHeight w:val="218"/>
        </w:trPr>
        <w:tc>
          <w:tcPr>
            <w:tcW w:w="4380" w:type="dxa"/>
            <w:vAlign w:val="bottom"/>
          </w:tcPr>
          <w:p>
            <w:pPr>
              <w:jc w:val="center"/>
              <w:ind w:right="141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80" w:type="dxa"/>
            <w:vAlign w:val="bottom"/>
          </w:tcPr>
          <w:p>
            <w:pPr>
              <w:jc w:val="right"/>
              <w:ind w:right="771"/>
              <w:spacing w:after="0"/>
              <w:rPr>
                <w:sz w:val="20"/>
                <w:szCs w:val="20"/>
                <w:color w:val="auto"/>
              </w:rPr>
            </w:pPr>
            <w:r>
              <w:rPr>
                <w:rFonts w:ascii="Times New Roman" w:cs="Times New Roman" w:eastAsia="Times New Roman" w:hAnsi="Times New Roman"/>
                <w:sz w:val="18"/>
                <w:szCs w:val="18"/>
                <w:b w:val="1"/>
                <w:bCs w:val="1"/>
                <w:color w:val="auto"/>
              </w:rPr>
              <w:t>27-3269467</w:t>
            </w:r>
          </w:p>
        </w:tc>
      </w:tr>
      <w:tr>
        <w:trPr>
          <w:trHeight w:val="214"/>
        </w:trPr>
        <w:tc>
          <w:tcPr>
            <w:tcW w:w="4380" w:type="dxa"/>
            <w:vAlign w:val="bottom"/>
          </w:tcPr>
          <w:p>
            <w:pPr>
              <w:jc w:val="center"/>
              <w:ind w:right="1411"/>
              <w:spacing w:after="0"/>
              <w:rPr>
                <w:sz w:val="20"/>
                <w:szCs w:val="20"/>
                <w:color w:val="auto"/>
              </w:rPr>
            </w:pPr>
            <w:r>
              <w:rPr>
                <w:rFonts w:ascii="Times New Roman" w:cs="Times New Roman" w:eastAsia="Times New Roman" w:hAnsi="Times New Roman"/>
                <w:sz w:val="18"/>
                <w:szCs w:val="18"/>
                <w:color w:val="auto"/>
                <w:w w:val="99"/>
              </w:rPr>
              <w:t>(State or other jurisdiction</w:t>
            </w:r>
          </w:p>
        </w:tc>
        <w:tc>
          <w:tcPr>
            <w:tcW w:w="408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8"/>
              </w:rPr>
              <w:t>(I.R.S. Employer Identification No.)</w:t>
            </w:r>
          </w:p>
        </w:tc>
      </w:tr>
      <w:tr>
        <w:trPr>
          <w:trHeight w:val="233"/>
        </w:trPr>
        <w:tc>
          <w:tcPr>
            <w:tcW w:w="4380" w:type="dxa"/>
            <w:vAlign w:val="bottom"/>
          </w:tcPr>
          <w:p>
            <w:pPr>
              <w:jc w:val="center"/>
              <w:ind w:right="1391"/>
              <w:spacing w:after="0"/>
              <w:rPr>
                <w:sz w:val="20"/>
                <w:szCs w:val="20"/>
                <w:color w:val="auto"/>
              </w:rPr>
            </w:pPr>
            <w:r>
              <w:rPr>
                <w:rFonts w:ascii="Times New Roman" w:cs="Times New Roman" w:eastAsia="Times New Roman" w:hAnsi="Times New Roman"/>
                <w:sz w:val="18"/>
                <w:szCs w:val="18"/>
                <w:color w:val="auto"/>
                <w:w w:val="98"/>
              </w:rPr>
              <w:t>of incorporation or organization)</w:t>
            </w:r>
          </w:p>
        </w:tc>
        <w:tc>
          <w:tcPr>
            <w:tcW w:w="4080" w:type="dxa"/>
            <w:vAlign w:val="bottom"/>
          </w:tcPr>
          <w:p>
            <w:pPr>
              <w:spacing w:after="0"/>
              <w:rPr>
                <w:sz w:val="20"/>
                <w:szCs w:val="20"/>
                <w:color w:val="auto"/>
              </w:rPr>
            </w:pPr>
          </w:p>
        </w:tc>
      </w:tr>
      <w:tr>
        <w:trPr>
          <w:trHeight w:val="405"/>
        </w:trPr>
        <w:tc>
          <w:tcPr>
            <w:tcW w:w="4380" w:type="dxa"/>
            <w:vAlign w:val="bottom"/>
          </w:tcPr>
          <w:p>
            <w:pPr>
              <w:jc w:val="center"/>
              <w:ind w:right="1391"/>
              <w:spacing w:after="0"/>
              <w:rPr>
                <w:sz w:val="20"/>
                <w:szCs w:val="20"/>
                <w:color w:val="auto"/>
              </w:rPr>
            </w:pPr>
            <w:r>
              <w:rPr>
                <w:rFonts w:ascii="Times New Roman" w:cs="Times New Roman" w:eastAsia="Times New Roman" w:hAnsi="Times New Roman"/>
                <w:sz w:val="18"/>
                <w:szCs w:val="18"/>
                <w:b w:val="1"/>
                <w:bCs w:val="1"/>
                <w:color w:val="auto"/>
                <w:w w:val="98"/>
              </w:rPr>
              <w:t>117 Kendrick Street, Suite 500</w:t>
            </w:r>
          </w:p>
        </w:tc>
        <w:tc>
          <w:tcPr>
            <w:tcW w:w="4080" w:type="dxa"/>
            <w:vAlign w:val="bottom"/>
          </w:tcPr>
          <w:p>
            <w:pPr>
              <w:spacing w:after="0"/>
              <w:rPr>
                <w:sz w:val="24"/>
                <w:szCs w:val="24"/>
                <w:color w:val="auto"/>
              </w:rPr>
            </w:pPr>
          </w:p>
        </w:tc>
      </w:tr>
      <w:tr>
        <w:trPr>
          <w:trHeight w:val="218"/>
        </w:trPr>
        <w:tc>
          <w:tcPr>
            <w:tcW w:w="4380" w:type="dxa"/>
            <w:vAlign w:val="bottom"/>
          </w:tcPr>
          <w:p>
            <w:pPr>
              <w:jc w:val="center"/>
              <w:ind w:right="1391"/>
              <w:spacing w:after="0"/>
              <w:rPr>
                <w:sz w:val="20"/>
                <w:szCs w:val="20"/>
                <w:color w:val="auto"/>
              </w:rPr>
            </w:pPr>
            <w:r>
              <w:rPr>
                <w:rFonts w:ascii="Times New Roman" w:cs="Times New Roman" w:eastAsia="Times New Roman" w:hAnsi="Times New Roman"/>
                <w:sz w:val="18"/>
                <w:szCs w:val="18"/>
                <w:b w:val="1"/>
                <w:bCs w:val="1"/>
                <w:color w:val="auto"/>
                <w:w w:val="98"/>
              </w:rPr>
              <w:t>Needham, MA</w:t>
            </w:r>
          </w:p>
        </w:tc>
        <w:tc>
          <w:tcPr>
            <w:tcW w:w="4080" w:type="dxa"/>
            <w:vAlign w:val="bottom"/>
          </w:tcPr>
          <w:p>
            <w:pPr>
              <w:jc w:val="right"/>
              <w:ind w:right="971"/>
              <w:spacing w:after="0"/>
              <w:rPr>
                <w:sz w:val="20"/>
                <w:szCs w:val="20"/>
                <w:color w:val="auto"/>
              </w:rPr>
            </w:pPr>
            <w:r>
              <w:rPr>
                <w:rFonts w:ascii="Times New Roman" w:cs="Times New Roman" w:eastAsia="Times New Roman" w:hAnsi="Times New Roman"/>
                <w:sz w:val="18"/>
                <w:szCs w:val="18"/>
                <w:b w:val="1"/>
                <w:bCs w:val="1"/>
                <w:color w:val="auto"/>
              </w:rPr>
              <w:t>02494</w:t>
            </w:r>
          </w:p>
        </w:tc>
      </w:tr>
      <w:tr>
        <w:trPr>
          <w:trHeight w:val="233"/>
        </w:trPr>
        <w:tc>
          <w:tcPr>
            <w:tcW w:w="4380" w:type="dxa"/>
            <w:vAlign w:val="bottom"/>
          </w:tcPr>
          <w:p>
            <w:pPr>
              <w:jc w:val="center"/>
              <w:ind w:right="1391"/>
              <w:spacing w:after="0"/>
              <w:rPr>
                <w:sz w:val="20"/>
                <w:szCs w:val="20"/>
                <w:color w:val="auto"/>
              </w:rPr>
            </w:pPr>
            <w:r>
              <w:rPr>
                <w:rFonts w:ascii="Times New Roman" w:cs="Times New Roman" w:eastAsia="Times New Roman" w:hAnsi="Times New Roman"/>
                <w:sz w:val="18"/>
                <w:szCs w:val="18"/>
                <w:color w:val="auto"/>
                <w:w w:val="98"/>
              </w:rPr>
              <w:t>(Address of Principal Executive Offices)</w:t>
            </w:r>
          </w:p>
        </w:tc>
        <w:tc>
          <w:tcPr>
            <w:tcW w:w="4080" w:type="dxa"/>
            <w:vAlign w:val="bottom"/>
          </w:tcPr>
          <w:p>
            <w:pPr>
              <w:jc w:val="center"/>
              <w:ind w:left="1411"/>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9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2014 Inducement Award Program</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 2021 Equity Incentive Plan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Amended and Restated 2018 Employee Stock Purchase Plan</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(Full title of the plan)</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Daniel Paterson</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President and Chief Executive Officer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Verastem, Inc.</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117 Kendrick St., Suite 500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Needham, MA 02494</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(781) 292-4200</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(Name, address, and telephone number, including area code, of agent for service)</w:t>
      </w:r>
    </w:p>
    <w:p>
      <w:pPr>
        <w:spacing w:after="0" w:line="19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With copies to:</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Marko S. Zatylny</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Boston, MA 02199</w:t>
      </w:r>
    </w:p>
    <w:p>
      <w:pPr>
        <w:spacing w:after="0" w:line="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(617) 951-7000</w:t>
      </w:r>
    </w:p>
    <w:p>
      <w:pPr>
        <w:spacing w:after="0" w:line="202" w:lineRule="exact"/>
        <w:rPr>
          <w:sz w:val="24"/>
          <w:szCs w:val="24"/>
          <w:color w:val="auto"/>
        </w:rPr>
      </w:pPr>
    </w:p>
    <w:p>
      <w:pPr>
        <w:ind w:right="160" w:firstLine="321"/>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60"/>
          </w:cols>
          <w:pgMar w:left="320" w:top="464" w:right="319" w:bottom="1440" w:gutter="0" w:footer="0" w:header="0"/>
        </w:sectPr>
      </w:pPr>
    </w:p>
    <w:p>
      <w:pPr>
        <w:spacing w:after="0" w:line="136" w:lineRule="exact"/>
        <w:rPr>
          <w:sz w:val="24"/>
          <w:szCs w:val="24"/>
          <w:color w:val="auto"/>
        </w:rPr>
      </w:pPr>
    </w:p>
    <w:p>
      <w:pPr>
        <w:ind w:left="1880"/>
        <w:spacing w:after="0" w:line="196" w:lineRule="exact"/>
        <w:rPr>
          <w:sz w:val="20"/>
          <w:szCs w:val="20"/>
          <w:color w:val="auto"/>
        </w:rPr>
      </w:pPr>
      <w:r>
        <w:rPr>
          <w:rFonts w:ascii="Times New Roman" w:cs="Times New Roman" w:eastAsia="Times New Roman" w:hAnsi="Times New Roman"/>
          <w:sz w:val="17"/>
          <w:szCs w:val="17"/>
          <w:color w:val="auto"/>
        </w:rPr>
        <w:t>Large accelerated filer </w:t>
      </w:r>
      <w:r>
        <w:rPr>
          <w:rFonts w:ascii="MS PGothic" w:cs="MS PGothic" w:eastAsia="MS PGothic" w:hAnsi="MS PGothic"/>
          <w:sz w:val="17"/>
          <w:szCs w:val="17"/>
          <w:color w:val="auto"/>
        </w:rPr>
        <w:t>☐</w:t>
      </w:r>
    </w:p>
    <w:p>
      <w:pPr>
        <w:spacing w:after="0" w:line="79" w:lineRule="exact"/>
        <w:rPr>
          <w:sz w:val="24"/>
          <w:szCs w:val="24"/>
          <w:color w:val="auto"/>
        </w:rPr>
      </w:pPr>
    </w:p>
    <w:p>
      <w:pPr>
        <w:ind w:left="1920"/>
        <w:spacing w:after="0" w:line="196" w:lineRule="exact"/>
        <w:rPr>
          <w:sz w:val="20"/>
          <w:szCs w:val="20"/>
          <w:color w:val="auto"/>
        </w:rPr>
      </w:pPr>
      <w:r>
        <w:rPr>
          <w:rFonts w:ascii="Times New Roman" w:cs="Times New Roman" w:eastAsia="Times New Roman" w:hAnsi="Times New Roman"/>
          <w:sz w:val="17"/>
          <w:szCs w:val="17"/>
          <w:color w:val="auto"/>
        </w:rPr>
        <w:t>Non-accelerated filer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br w:type="column"/>
      </w:r>
    </w:p>
    <w:p>
      <w:pPr>
        <w:spacing w:after="0" w:line="116" w:lineRule="exact"/>
        <w:rPr>
          <w:sz w:val="24"/>
          <w:szCs w:val="24"/>
          <w:color w:val="auto"/>
        </w:rPr>
      </w:pPr>
    </w:p>
    <w:p>
      <w:pPr>
        <w:jc w:val="center"/>
        <w:ind w:right="1700"/>
        <w:spacing w:after="0" w:line="207" w:lineRule="exact"/>
        <w:rPr>
          <w:sz w:val="20"/>
          <w:szCs w:val="20"/>
          <w:color w:val="auto"/>
        </w:rPr>
      </w:pPr>
      <w:r>
        <w:rPr>
          <w:rFonts w:ascii="Times New Roman" w:cs="Times New Roman" w:eastAsia="Times New Roman" w:hAnsi="Times New Roman"/>
          <w:sz w:val="18"/>
          <w:szCs w:val="18"/>
          <w:color w:val="auto"/>
        </w:rPr>
        <w:t>Accelerated filer </w:t>
      </w:r>
      <w:r>
        <w:rPr>
          <w:rFonts w:ascii="MS PGothic" w:cs="MS PGothic" w:eastAsia="MS PGothic" w:hAnsi="MS PGothic"/>
          <w:sz w:val="18"/>
          <w:szCs w:val="18"/>
          <w:color w:val="auto"/>
        </w:rPr>
        <w:t>☐</w:t>
      </w:r>
    </w:p>
    <w:p>
      <w:pPr>
        <w:spacing w:after="0" w:line="67" w:lineRule="exact"/>
        <w:rPr>
          <w:sz w:val="24"/>
          <w:szCs w:val="24"/>
          <w:color w:val="auto"/>
        </w:rPr>
      </w:pPr>
    </w:p>
    <w:p>
      <w:pPr>
        <w:jc w:val="center"/>
        <w:ind w:right="1700"/>
        <w:spacing w:after="0" w:line="196" w:lineRule="exact"/>
        <w:rPr>
          <w:sz w:val="20"/>
          <w:szCs w:val="20"/>
          <w:color w:val="auto"/>
        </w:rPr>
      </w:pPr>
      <w:r>
        <w:rPr>
          <w:rFonts w:ascii="Times New Roman" w:cs="Times New Roman" w:eastAsia="Times New Roman" w:hAnsi="Times New Roman"/>
          <w:sz w:val="17"/>
          <w:szCs w:val="17"/>
          <w:color w:val="auto"/>
        </w:rPr>
        <w:t>Smaller reporting company </w:t>
      </w:r>
      <w:r>
        <w:rPr>
          <w:rFonts w:ascii="MS PGothic" w:cs="MS PGothic" w:eastAsia="MS PGothic" w:hAnsi="MS PGothic"/>
          <w:sz w:val="17"/>
          <w:szCs w:val="17"/>
          <w:color w:val="auto"/>
        </w:rPr>
        <w:t>☒</w:t>
      </w:r>
    </w:p>
    <w:p>
      <w:pPr>
        <w:spacing w:after="0" w:line="18" w:lineRule="exact"/>
        <w:rPr>
          <w:sz w:val="24"/>
          <w:szCs w:val="24"/>
          <w:color w:val="auto"/>
        </w:rPr>
      </w:pPr>
    </w:p>
    <w:p>
      <w:pPr>
        <w:jc w:val="center"/>
        <w:ind w:right="1700"/>
        <w:spacing w:after="0" w:line="196" w:lineRule="exact"/>
        <w:rPr>
          <w:sz w:val="20"/>
          <w:szCs w:val="20"/>
          <w:color w:val="auto"/>
        </w:rPr>
      </w:pPr>
      <w:r>
        <w:rPr>
          <w:rFonts w:ascii="Times New Roman" w:cs="Times New Roman" w:eastAsia="Times New Roman" w:hAnsi="Times New Roman"/>
          <w:sz w:val="17"/>
          <w:szCs w:val="17"/>
          <w:color w:val="auto"/>
        </w:rPr>
        <w:t>Emerging growth company </w:t>
      </w:r>
      <w:r>
        <w:rPr>
          <w:rFonts w:ascii="MS PGothic" w:cs="MS PGothic" w:eastAsia="MS PGothic" w:hAnsi="MS PGothic"/>
          <w:sz w:val="17"/>
          <w:szCs w:val="17"/>
          <w:color w:val="auto"/>
        </w:rPr>
        <w:t>☐</w:t>
      </w:r>
    </w:p>
    <w:p>
      <w:pPr>
        <w:spacing w:after="0" w:line="200" w:lineRule="exact"/>
        <w:rPr>
          <w:sz w:val="24"/>
          <w:szCs w:val="24"/>
          <w:color w:val="auto"/>
        </w:rPr>
      </w:pPr>
    </w:p>
    <w:p>
      <w:pPr>
        <w:sectPr>
          <w:pgSz w:w="11900" w:h="16838" w:orient="portrait"/>
          <w:cols w:equalWidth="0" w:num="2">
            <w:col w:w="6700" w:space="720"/>
            <w:col w:w="3840"/>
          </w:cols>
          <w:pgMar w:left="320" w:top="464" w:right="319" w:bottom="1440" w:gutter="0" w:footer="0" w:header="0"/>
          <w:type w:val="continuous"/>
        </w:sectPr>
      </w:pPr>
    </w:p>
    <w:p>
      <w:pPr>
        <w:spacing w:after="0" w:line="12" w:lineRule="exact"/>
        <w:rPr>
          <w:sz w:val="24"/>
          <w:szCs w:val="24"/>
          <w:color w:val="auto"/>
        </w:rPr>
      </w:pPr>
    </w:p>
    <w:p>
      <w:pPr>
        <w:ind w:right="320" w:firstLine="321"/>
        <w:spacing w:after="0" w:line="277"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Wingdings" w:cs="Wingdings" w:eastAsia="Wingdings" w:hAnsi="Wingdings"/>
          <w:sz w:val="18"/>
          <w:szCs w:val="18"/>
          <w:b w:val="1"/>
          <w:bCs w:val="1"/>
          <w:color w:val="0070C0"/>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115570</wp:posOffset>
            </wp:positionV>
            <wp:extent cx="71335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359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140970</wp:posOffset>
            </wp:positionV>
            <wp:extent cx="713359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3590" cy="171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429260</wp:posOffset>
            </wp:positionV>
            <wp:extent cx="713359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60"/>
          </w:cols>
          <w:pgMar w:left="320" w:top="464" w:right="319" w:bottom="1440" w:gutter="0" w:footer="0" w:header="0"/>
          <w:type w:val="continuous"/>
        </w:sectPr>
      </w:pPr>
    </w:p>
    <w:bookmarkStart w:id="1" w:name="page2"/>
    <w:bookmarkEnd w:id="1"/>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4" w:lineRule="exact"/>
        <w:rPr>
          <w:sz w:val="20"/>
          <w:szCs w:val="20"/>
          <w:color w:val="auto"/>
        </w:rPr>
      </w:pPr>
    </w:p>
    <w:p>
      <w:pPr>
        <w:ind w:right="140" w:firstLine="641"/>
        <w:spacing w:after="0" w:line="274" w:lineRule="auto"/>
        <w:rPr>
          <w:sz w:val="20"/>
          <w:szCs w:val="20"/>
          <w:color w:val="auto"/>
        </w:rPr>
      </w:pPr>
      <w:r>
        <w:rPr>
          <w:rFonts w:ascii="Times New Roman" w:cs="Times New Roman" w:eastAsia="Times New Roman" w:hAnsi="Times New Roman"/>
          <w:sz w:val="17"/>
          <w:szCs w:val="17"/>
          <w:color w:val="auto"/>
        </w:rPr>
        <w:t>This Registration Statement on Form S-8 is being filed to register (i) an additional 5,000,000 shares under the Registrant’s Amended and Restated 2018 Employee Stock Purchase Plan, (ii) an additional 12,000,000 shares under the Registrant’s Amended and Restated 2021 Equity Incentive Plan and</w:t>
      </w:r>
    </w:p>
    <w:p>
      <w:pPr>
        <w:ind w:left="320" w:hanging="313"/>
        <w:spacing w:after="0"/>
        <w:tabs>
          <w:tab w:leader="none" w:pos="3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additional 600,000 shares under the Registrant’s 2014 Inducement Award Program. Pursuant to General Instruction E to Form S-8, the Registrant</w:t>
      </w:r>
    </w:p>
    <w:p>
      <w:pPr>
        <w:spacing w:after="0" w:line="6" w:lineRule="exact"/>
        <w:rPr>
          <w:rFonts w:ascii="Times New Roman" w:cs="Times New Roman" w:eastAsia="Times New Roman" w:hAnsi="Times New Roman"/>
          <w:sz w:val="18"/>
          <w:szCs w:val="18"/>
          <w:color w:val="auto"/>
        </w:rPr>
      </w:pPr>
    </w:p>
    <w:p>
      <w:pPr>
        <w:spacing w:after="0" w:line="24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incorporates by reference, except to the extent supplemented, amended or superseded by the information set forth herein, into this Registration Statement the entire contents of its Registration Statements on Form S-8 (File Nos. 333-201075, 333-218768, 333-223616, 333-228309, 333-229430, 333-257111, 333-</w:t>
      </w:r>
      <w:hyperlink r:id="rId13">
        <w:r>
          <w:rPr>
            <w:rFonts w:ascii="Times New Roman" w:cs="Times New Roman" w:eastAsia="Times New Roman" w:hAnsi="Times New Roman"/>
            <w:sz w:val="18"/>
            <w:szCs w:val="18"/>
            <w:color w:val="auto"/>
          </w:rPr>
          <w:t xml:space="preserve">277948, 333-279826 and 333-291253) filed with the Securities and Exchange Commission on </w:t>
        </w:r>
        <w:r>
          <w:rPr>
            <w:rFonts w:ascii="Times New Roman" w:cs="Times New Roman" w:eastAsia="Times New Roman" w:hAnsi="Times New Roman"/>
            <w:sz w:val="18"/>
            <w:szCs w:val="18"/>
            <w:u w:val="single" w:color="auto"/>
            <w:color w:val="0000EE"/>
          </w:rPr>
          <w:t>December 19, 2014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June 15, 2017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EE"/>
          </w:rPr>
          <w:t>March 13,</w:t>
        </w:r>
      </w:hyperlink>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u w:val="single" w:color="auto"/>
            <w:color w:val="0000EE"/>
          </w:rPr>
          <w:t>2018</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4">
        <w:r>
          <w:rPr>
            <w:rFonts w:ascii="Times New Roman" w:cs="Times New Roman" w:eastAsia="Times New Roman" w:hAnsi="Times New Roman"/>
            <w:sz w:val="18"/>
            <w:szCs w:val="18"/>
            <w:u w:val="single" w:color="auto"/>
            <w:color w:val="0000EE"/>
          </w:rPr>
          <w:t>November 9, 2018</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5">
        <w:r>
          <w:rPr>
            <w:rFonts w:ascii="Times New Roman" w:cs="Times New Roman" w:eastAsia="Times New Roman" w:hAnsi="Times New Roman"/>
            <w:sz w:val="18"/>
            <w:szCs w:val="18"/>
            <w:u w:val="single" w:color="auto"/>
            <w:color w:val="0000EE"/>
          </w:rPr>
          <w:t>January 30, 2019</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6">
        <w:r>
          <w:rPr>
            <w:rFonts w:ascii="Times New Roman" w:cs="Times New Roman" w:eastAsia="Times New Roman" w:hAnsi="Times New Roman"/>
            <w:sz w:val="18"/>
            <w:szCs w:val="18"/>
            <w:u w:val="single" w:color="auto"/>
            <w:color w:val="0000EE"/>
          </w:rPr>
          <w:t>June 15, 2021</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7">
        <w:r>
          <w:rPr>
            <w:rFonts w:ascii="Times New Roman" w:cs="Times New Roman" w:eastAsia="Times New Roman" w:hAnsi="Times New Roman"/>
            <w:sz w:val="18"/>
            <w:szCs w:val="18"/>
            <w:u w:val="single" w:color="auto"/>
            <w:color w:val="0000EE"/>
          </w:rPr>
          <w:t>March 14, 2024</w:t>
        </w:r>
      </w:hyperlink>
      <w:hyperlink r:id="rId13">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w:hyperlink r:id="rId18">
        <w:r>
          <w:rPr>
            <w:rFonts w:ascii="Times New Roman" w:cs="Times New Roman" w:eastAsia="Times New Roman" w:hAnsi="Times New Roman"/>
            <w:sz w:val="18"/>
            <w:szCs w:val="18"/>
            <w:u w:val="single" w:color="auto"/>
            <w:color w:val="0000EE"/>
          </w:rPr>
          <w:t xml:space="preserve">May 30, 2024 </w:t>
        </w:r>
      </w:hyperlink>
      <w:hyperlink r:id="rId13">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w:hyperlink r:id="rId19">
        <w:r>
          <w:rPr>
            <w:rFonts w:ascii="Times New Roman" w:cs="Times New Roman" w:eastAsia="Times New Roman" w:hAnsi="Times New Roman"/>
            <w:sz w:val="18"/>
            <w:szCs w:val="18"/>
            <w:u w:val="single" w:color="auto"/>
            <w:color w:val="0000EE"/>
          </w:rPr>
          <w:t>November 4, 2025</w:t>
        </w:r>
      </w:hyperlink>
      <w:hyperlink r:id="rId13">
        <w:r>
          <w:rPr>
            <w:rFonts w:ascii="Times New Roman" w:cs="Times New Roman" w:eastAsia="Times New Roman" w:hAnsi="Times New Roman"/>
            <w:sz w:val="18"/>
            <w:szCs w:val="18"/>
            <w:color w:val="000000"/>
          </w:rPr>
          <w:t>, respectively.</w:t>
        </w:r>
      </w:hyperlink>
    </w:p>
    <w:p>
      <w:pPr>
        <w:spacing w:after="0" w:line="20" w:lineRule="exact"/>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0000EE"/>
        </w:rPr>
        <w:drawing>
          <wp:anchor simplePos="0" relativeHeight="251657728" behindDoc="1" locked="0" layoutInCell="0" allowOverlap="1">
            <wp:simplePos x="0" y="0"/>
            <wp:positionH relativeFrom="column">
              <wp:posOffset>4445</wp:posOffset>
            </wp:positionH>
            <wp:positionV relativeFrom="paragraph">
              <wp:posOffset>275590</wp:posOffset>
            </wp:positionV>
            <wp:extent cx="71335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180"/>
          </w:cols>
          <w:pgMar w:left="320" w:top="331"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340" w:type="dxa"/>
            <w:vAlign w:val="bottom"/>
            <w:gridSpan w:val="21"/>
          </w:tcPr>
          <w:p>
            <w:pPr>
              <w:jc w:val="center"/>
              <w:ind w:right="4900"/>
              <w:spacing w:after="0"/>
              <w:rPr>
                <w:sz w:val="20"/>
                <w:szCs w:val="20"/>
                <w:color w:val="auto"/>
              </w:rPr>
            </w:pPr>
            <w:r>
              <w:rPr>
                <w:rFonts w:ascii="Times New Roman" w:cs="Times New Roman" w:eastAsia="Times New Roman" w:hAnsi="Times New Roman"/>
                <w:sz w:val="18"/>
                <w:szCs w:val="18"/>
                <w:b w:val="1"/>
                <w:bCs w:val="1"/>
                <w:color w:val="auto"/>
                <w:w w:val="94"/>
              </w:rPr>
              <w:t>PART II</w:t>
            </w:r>
          </w:p>
        </w:tc>
      </w:tr>
      <w:tr>
        <w:trPr>
          <w:trHeight w:val="427"/>
        </w:trPr>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920" w:type="dxa"/>
            <w:vAlign w:val="bottom"/>
            <w:gridSpan w:val="30"/>
          </w:tcPr>
          <w:p>
            <w:pPr>
              <w:jc w:val="center"/>
              <w:ind w:right="1320"/>
              <w:spacing w:after="0"/>
              <w:rPr>
                <w:sz w:val="20"/>
                <w:szCs w:val="20"/>
                <w:color w:val="auto"/>
              </w:rPr>
            </w:pPr>
            <w:r>
              <w:rPr>
                <w:rFonts w:ascii="Times New Roman" w:cs="Times New Roman" w:eastAsia="Times New Roman" w:hAnsi="Times New Roman"/>
                <w:sz w:val="18"/>
                <w:szCs w:val="18"/>
                <w:b w:val="1"/>
                <w:bCs w:val="1"/>
                <w:color w:val="auto"/>
                <w:w w:val="97"/>
              </w:rPr>
              <w:t>INFORMATION REQUIRED IN THE REGISTRATION STATEMENT</w:t>
            </w:r>
          </w:p>
        </w:tc>
      </w:tr>
      <w:tr>
        <w:trPr>
          <w:trHeight w:val="427"/>
        </w:trPr>
        <w:tc>
          <w:tcPr>
            <w:tcW w:w="11240" w:type="dxa"/>
            <w:vAlign w:val="bottom"/>
            <w:gridSpan w:val="37"/>
          </w:tcPr>
          <w:p>
            <w:pPr>
              <w:spacing w:after="0"/>
              <w:rPr>
                <w:sz w:val="20"/>
                <w:szCs w:val="20"/>
                <w:color w:val="auto"/>
              </w:rPr>
            </w:pPr>
            <w:r>
              <w:rPr>
                <w:rFonts w:ascii="Times New Roman" w:cs="Times New Roman" w:eastAsia="Times New Roman" w:hAnsi="Times New Roman"/>
                <w:sz w:val="18"/>
                <w:szCs w:val="18"/>
                <w:b w:val="1"/>
                <w:bCs w:val="1"/>
                <w:color w:val="auto"/>
              </w:rPr>
              <w:t>Item 8. Exhibits.</w:t>
            </w:r>
          </w:p>
        </w:tc>
      </w:tr>
      <w:tr>
        <w:trPr>
          <w:trHeight w:val="427"/>
        </w:trPr>
        <w:tc>
          <w:tcPr>
            <w:tcW w:w="64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700" w:type="dxa"/>
            <w:vAlign w:val="bottom"/>
            <w:gridSpan w:val="19"/>
          </w:tcPr>
          <w:p>
            <w:pPr>
              <w:ind w:left="1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80"/>
        </w:trPr>
        <w:tc>
          <w:tcPr>
            <w:tcW w:w="20" w:type="dxa"/>
            <w:vAlign w:val="bottom"/>
          </w:tcPr>
          <w:p>
            <w:pPr>
              <w:spacing w:after="0"/>
              <w:rPr>
                <w:sz w:val="15"/>
                <w:szCs w:val="15"/>
                <w:color w:val="auto"/>
              </w:rPr>
            </w:pPr>
          </w:p>
        </w:tc>
        <w:tc>
          <w:tcPr>
            <w:tcW w:w="200" w:type="dxa"/>
            <w:vAlign w:val="bottom"/>
            <w:tcBorders>
              <w:top w:val="single" w:sz="8" w:color="auto"/>
              <w:bottom w:val="single" w:sz="8" w:color="0000EE"/>
            </w:tcBorders>
          </w:tcPr>
          <w:p>
            <w:pPr>
              <w:spacing w:after="0" w:line="181" w:lineRule="exact"/>
              <w:rPr>
                <w:rFonts w:ascii="Times New Roman" w:cs="Times New Roman" w:eastAsia="Times New Roman" w:hAnsi="Times New Roman"/>
                <w:sz w:val="18"/>
                <w:szCs w:val="18"/>
                <w:color w:val="0000EE"/>
                <w:w w:val="79"/>
              </w:rPr>
            </w:pPr>
            <w:hyperlink r:id="rId21">
              <w:r>
                <w:rPr>
                  <w:rFonts w:ascii="Times New Roman" w:cs="Times New Roman" w:eastAsia="Times New Roman" w:hAnsi="Times New Roman"/>
                  <w:sz w:val="18"/>
                  <w:szCs w:val="18"/>
                  <w:color w:val="0000EE"/>
                  <w:w w:val="79"/>
                </w:rPr>
                <w:t>4.</w:t>
              </w:r>
              <w:r>
                <w:rPr>
                  <w:rFonts w:ascii="Times New Roman" w:cs="Times New Roman" w:eastAsia="Times New Roman" w:hAnsi="Times New Roman"/>
                  <w:sz w:val="18"/>
                  <w:szCs w:val="18"/>
                  <w:u w:val="single" w:color="auto"/>
                  <w:color w:val="0000EE"/>
                  <w:w w:val="79"/>
                </w:rPr>
                <w:t>1</w:t>
              </w:r>
            </w:hyperlink>
          </w:p>
        </w:tc>
        <w:tc>
          <w:tcPr>
            <w:tcW w:w="100" w:type="dxa"/>
            <w:vAlign w:val="bottom"/>
            <w:tcBorders>
              <w:top w:val="single" w:sz="8" w:color="auto"/>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20" w:type="dxa"/>
            <w:vAlign w:val="bottom"/>
            <w:tcBorders>
              <w:top w:val="single" w:sz="8" w:color="auto"/>
              <w:bottom w:val="single" w:sz="8" w:color="0000EE"/>
            </w:tcBorders>
            <w:gridSpan w:val="30"/>
          </w:tcPr>
          <w:p>
            <w:pPr>
              <w:spacing w:after="0" w:line="181"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Restated Certificate of Incorporation of the Registrant (incorporated by reference to Exhibit 3.1 to the Annual Report on Form 10-K filed by the</w:t>
              </w:r>
            </w:hyperlink>
          </w:p>
        </w:tc>
        <w:tc>
          <w:tcPr>
            <w:tcW w:w="100" w:type="dxa"/>
            <w:vAlign w:val="bottom"/>
            <w:tcBorders>
              <w:top w:val="single" w:sz="8" w:color="auto"/>
            </w:tcBorders>
          </w:tcPr>
          <w:p>
            <w:pPr>
              <w:spacing w:after="0"/>
              <w:rPr>
                <w:sz w:val="15"/>
                <w:szCs w:val="15"/>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0" w:type="dxa"/>
            <w:vAlign w:val="bottom"/>
            <w:tcBorders>
              <w:bottom w:val="single" w:sz="8" w:color="0000EE"/>
            </w:tcBorders>
            <w:gridSpan w:val="3"/>
          </w:tcPr>
          <w:p>
            <w:pPr>
              <w:spacing w:after="0" w:line="194" w:lineRule="exact"/>
              <w:rPr>
                <w:rFonts w:ascii="Times New Roman" w:cs="Times New Roman" w:eastAsia="Times New Roman" w:hAnsi="Times New Roman"/>
                <w:sz w:val="18"/>
                <w:szCs w:val="18"/>
                <w:color w:val="0000EE"/>
                <w:w w:val="98"/>
              </w:rPr>
            </w:pPr>
            <w:hyperlink r:id="rId21">
              <w:r>
                <w:rPr>
                  <w:rFonts w:ascii="Times New Roman" w:cs="Times New Roman" w:eastAsia="Times New Roman" w:hAnsi="Times New Roman"/>
                  <w:sz w:val="18"/>
                  <w:szCs w:val="18"/>
                  <w:color w:val="0000EE"/>
                  <w:w w:val="98"/>
                </w:rPr>
                <w:t>Registrant on March 12, 2019)</w:t>
              </w:r>
            </w:hyperlink>
          </w:p>
        </w:tc>
        <w:tc>
          <w:tcPr>
            <w:tcW w:w="8140" w:type="dxa"/>
            <w:vAlign w:val="bottom"/>
            <w:gridSpan w:val="29"/>
          </w:tcPr>
          <w:p>
            <w:pPr>
              <w:spacing w:after="0"/>
              <w:rPr>
                <w:sz w:val="16"/>
                <w:szCs w:val="16"/>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2</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22">
              <w:r>
                <w:rPr>
                  <w:rFonts w:ascii="Times New Roman" w:cs="Times New Roman" w:eastAsia="Times New Roman" w:hAnsi="Times New Roman"/>
                  <w:sz w:val="18"/>
                  <w:szCs w:val="18"/>
                  <w:color w:val="0000EE"/>
                </w:rPr>
                <w:t>Certificate of Amendment to the Restated Certificate of Incorporation of the Registrant (incorporated by reference to Exhibit 3.2 to the Annual</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22">
              <w:r>
                <w:rPr>
                  <w:rFonts w:ascii="Times New Roman" w:cs="Times New Roman" w:eastAsia="Times New Roman" w:hAnsi="Times New Roman"/>
                  <w:sz w:val="18"/>
                  <w:szCs w:val="18"/>
                  <w:color w:val="0000EE"/>
                  <w:w w:val="98"/>
                </w:rPr>
                <w:t>Report on Form 10-K filed by the Registrant on March 12, 2019)</w:t>
              </w:r>
            </w:hyperlink>
          </w:p>
        </w:tc>
        <w:tc>
          <w:tcPr>
            <w:tcW w:w="5700" w:type="dxa"/>
            <w:vAlign w:val="bottom"/>
            <w:gridSpan w:val="19"/>
          </w:tcPr>
          <w:p>
            <w:pPr>
              <w:spacing w:after="0"/>
              <w:rPr>
                <w:sz w:val="16"/>
                <w:szCs w:val="16"/>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3</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Certificate of Amendment to the Restated Certificate of Incorporation of Verastem, Inc. (incorporated by reference to Exhibit 3.1 to the Form 8-</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460" w:type="dxa"/>
            <w:vAlign w:val="bottom"/>
            <w:tcBorders>
              <w:bottom w:val="single" w:sz="8" w:color="0000EE"/>
            </w:tcBorders>
            <w:gridSpan w:val="16"/>
          </w:tcPr>
          <w:p>
            <w:pPr>
              <w:spacing w:after="0" w:line="194" w:lineRule="exact"/>
              <w:rPr>
                <w:rFonts w:ascii="Times New Roman" w:cs="Times New Roman" w:eastAsia="Times New Roman" w:hAnsi="Times New Roman"/>
                <w:sz w:val="18"/>
                <w:szCs w:val="18"/>
                <w:color w:val="0000EE"/>
                <w:w w:val="98"/>
              </w:rPr>
            </w:pPr>
            <w:hyperlink r:id="rId23">
              <w:r>
                <w:rPr>
                  <w:rFonts w:ascii="Times New Roman" w:cs="Times New Roman" w:eastAsia="Times New Roman" w:hAnsi="Times New Roman"/>
                  <w:sz w:val="18"/>
                  <w:szCs w:val="18"/>
                  <w:color w:val="0000EE"/>
                  <w:w w:val="98"/>
                </w:rPr>
                <w:t>K filed by the Registrant with the Securities and Exchange Commission on May 21, 2020)</w:t>
              </w:r>
            </w:hyperlink>
          </w:p>
        </w:tc>
        <w:tc>
          <w:tcPr>
            <w:tcW w:w="3880" w:type="dxa"/>
            <w:vAlign w:val="bottom"/>
            <w:gridSpan w:val="16"/>
          </w:tcPr>
          <w:p>
            <w:pPr>
              <w:spacing w:after="0"/>
              <w:rPr>
                <w:sz w:val="16"/>
                <w:szCs w:val="16"/>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4</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Certificate of Amendment to the Restated Certificate of Incorporation of Verastem, Inc. (incorporated by reference to Exhibit 3.1 to the Form 8-</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K filed by the Registrant with the Securities and Exchange Commission on May 31, 2023)</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5</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25">
              <w:r>
                <w:rPr>
                  <w:rFonts w:ascii="Times New Roman" w:cs="Times New Roman" w:eastAsia="Times New Roman" w:hAnsi="Times New Roman"/>
                  <w:sz w:val="18"/>
                  <w:szCs w:val="18"/>
                  <w:color w:val="0000EE"/>
                  <w:w w:val="99"/>
                </w:rPr>
                <w:t>Amended and Restated Bylaws of the Registrant (incorporated by reference to Exhibit 3.4 to Amendment No. 3 to the Registration Statement on</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Form S-1 filed by the Registrant with the Securities and Exchange Commission on January 13, 2012)</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6</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Form of Inducement Award Nonstatutory Stock Option Agreement (incorporated by reference to Exhibit 10.11 of the Registrant’s Annual</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640" w:type="dxa"/>
            <w:vAlign w:val="bottom"/>
            <w:tcBorders>
              <w:bottom w:val="single" w:sz="8" w:color="0000EE"/>
            </w:tcBorders>
            <w:gridSpan w:val="13"/>
          </w:tcPr>
          <w:p>
            <w:pPr>
              <w:spacing w:after="0" w:line="194" w:lineRule="exact"/>
              <w:rPr>
                <w:rFonts w:ascii="Times New Roman" w:cs="Times New Roman" w:eastAsia="Times New Roman" w:hAnsi="Times New Roman"/>
                <w:sz w:val="18"/>
                <w:szCs w:val="18"/>
                <w:color w:val="0000EE"/>
                <w:w w:val="98"/>
              </w:rPr>
            </w:pPr>
            <w:hyperlink r:id="rId26">
              <w:r>
                <w:rPr>
                  <w:rFonts w:ascii="Times New Roman" w:cs="Times New Roman" w:eastAsia="Times New Roman" w:hAnsi="Times New Roman"/>
                  <w:sz w:val="18"/>
                  <w:szCs w:val="18"/>
                  <w:color w:val="0000EE"/>
                  <w:w w:val="98"/>
                </w:rPr>
                <w:t>Report on Form 10-K filed by the Registrant on March 13, 2018)</w:t>
              </w:r>
            </w:hyperlink>
          </w:p>
        </w:tc>
        <w:tc>
          <w:tcPr>
            <w:tcW w:w="5700" w:type="dxa"/>
            <w:vAlign w:val="bottom"/>
            <w:gridSpan w:val="19"/>
          </w:tcPr>
          <w:p>
            <w:pPr>
              <w:spacing w:after="0"/>
              <w:rPr>
                <w:sz w:val="16"/>
                <w:szCs w:val="16"/>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7</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Form of Inducement Award Restricted Stock Unit Agreement (incorporated by reference to Exhibit 4.3 of the Registrant’s Quarterly Report on</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40" w:type="dxa"/>
            <w:vAlign w:val="bottom"/>
            <w:tcBorders>
              <w:bottom w:val="single" w:sz="8" w:color="0000EE"/>
            </w:tcBorders>
            <w:gridSpan w:val="28"/>
          </w:tcPr>
          <w:p>
            <w:pPr>
              <w:spacing w:after="0" w:line="194" w:lineRule="exact"/>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Form 10-Q for the quarter ended September 30, 2018, filed by the Registrant with the Securities and Exchange Commission on November 7,</w:t>
              </w:r>
            </w:hyperlink>
          </w:p>
        </w:tc>
        <w:tc>
          <w:tcPr>
            <w:tcW w:w="300" w:type="dxa"/>
            <w:vAlign w:val="bottom"/>
            <w:gridSpan w:val="4"/>
          </w:tcPr>
          <w:p>
            <w:pPr>
              <w:spacing w:after="0"/>
              <w:rPr>
                <w:sz w:val="16"/>
                <w:szCs w:val="16"/>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Borders>
              <w:bottom w:val="single" w:sz="8" w:color="0000EE"/>
            </w:tcBorders>
            <w:gridSpan w:val="2"/>
          </w:tcPr>
          <w:p>
            <w:pPr>
              <w:spacing w:after="0" w:line="194" w:lineRule="exact"/>
              <w:rPr>
                <w:rFonts w:ascii="Times New Roman" w:cs="Times New Roman" w:eastAsia="Times New Roman" w:hAnsi="Times New Roman"/>
                <w:sz w:val="18"/>
                <w:szCs w:val="18"/>
                <w:color w:val="0000EE"/>
                <w:w w:val="95"/>
              </w:rPr>
            </w:pPr>
            <w:hyperlink r:id="rId27">
              <w:r>
                <w:rPr>
                  <w:rFonts w:ascii="Times New Roman" w:cs="Times New Roman" w:eastAsia="Times New Roman" w:hAnsi="Times New Roman"/>
                  <w:sz w:val="18"/>
                  <w:szCs w:val="18"/>
                  <w:color w:val="0000EE"/>
                  <w:w w:val="95"/>
                </w:rPr>
                <w:t>2018)</w:t>
              </w:r>
            </w:hyperlink>
          </w:p>
        </w:tc>
        <w:tc>
          <w:tcPr>
            <w:tcW w:w="1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8">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8</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Form of Nonstatutory Stock Option Agreement (Non-Employees) under the 2021 Equity Incentive Plan (incorporated by reference to</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700" w:type="dxa"/>
            <w:vAlign w:val="bottom"/>
            <w:tcBorders>
              <w:bottom w:val="single" w:sz="8" w:color="0000EE"/>
            </w:tcBorders>
            <w:gridSpan w:val="17"/>
          </w:tcPr>
          <w:p>
            <w:pPr>
              <w:spacing w:after="0" w:line="194" w:lineRule="exact"/>
              <w:rPr>
                <w:rFonts w:ascii="Times New Roman" w:cs="Times New Roman" w:eastAsia="Times New Roman" w:hAnsi="Times New Roman"/>
                <w:sz w:val="18"/>
                <w:szCs w:val="18"/>
                <w:color w:val="0000EE"/>
                <w:w w:val="98"/>
              </w:rPr>
            </w:pPr>
            <w:hyperlink r:id="rId28">
              <w:r>
                <w:rPr>
                  <w:rFonts w:ascii="Times New Roman" w:cs="Times New Roman" w:eastAsia="Times New Roman" w:hAnsi="Times New Roman"/>
                  <w:sz w:val="18"/>
                  <w:szCs w:val="18"/>
                  <w:color w:val="0000EE"/>
                  <w:w w:val="98"/>
                </w:rPr>
                <w:t>Exhibit 10.4 to the Quarterly Report on Form 10-Q filed by the Registrant on August 2, 2021)</w:t>
              </w:r>
            </w:hyperlink>
          </w:p>
        </w:tc>
        <w:tc>
          <w:tcPr>
            <w:tcW w:w="3640" w:type="dxa"/>
            <w:vAlign w:val="bottom"/>
            <w:gridSpan w:val="15"/>
          </w:tcPr>
          <w:p>
            <w:pPr>
              <w:spacing w:after="0"/>
              <w:rPr>
                <w:sz w:val="16"/>
                <w:szCs w:val="16"/>
                <w:color w:val="auto"/>
              </w:rPr>
            </w:pPr>
          </w:p>
        </w:tc>
      </w:tr>
      <w:tr>
        <w:trPr>
          <w:trHeight w:val="220"/>
        </w:trPr>
        <w:tc>
          <w:tcPr>
            <w:tcW w:w="220" w:type="dxa"/>
            <w:vAlign w:val="bottom"/>
            <w:gridSpan w:val="2"/>
          </w:tcPr>
          <w:p>
            <w:pPr>
              <w:spacing w:after="0"/>
              <w:rPr>
                <w:rFonts w:ascii="Times New Roman" w:cs="Times New Roman" w:eastAsia="Times New Roman" w:hAnsi="Times New Roman"/>
                <w:sz w:val="18"/>
                <w:szCs w:val="18"/>
                <w:color w:val="0000EE"/>
                <w:w w:val="88"/>
              </w:rPr>
            </w:pPr>
            <w:hyperlink r:id="rId29">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9</w:t>
              </w:r>
            </w:hyperlink>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Form of Inducement Nonstatutory Stock Option Agreement (incorporated by reference to Exhibit 10.6 to the Quarterly Report on Form 10-Q</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filed by the Registrant on May 7, 2020)</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0">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10</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Form of Inducement Restricted Stock Unit Agreement (incorporated by reference to Exhibit 10.3 to the Quarterly Report on Form 10-Q filed by</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the Registrant on May 7, 2020)</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1">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11</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Form of Inducement Nonstatutory Stock Option Agreement (incorporated by reference to Exhibit 10.6 to the Quarterly Report on Form 10-Q</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filed by the Registrant on August 2, 2021)</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74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2">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12</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Form of Inducement Restricted Stock Unit Agreement (incorporated by reference to Exhibit 10.7 to the Quarterly Report on Form 10-Q filed by</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94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20" w:type="dxa"/>
            <w:vAlign w:val="bottom"/>
            <w:tcBorders>
              <w:bottom w:val="single" w:sz="8" w:color="0000EE"/>
            </w:tcBorders>
            <w:gridSpan w:val="6"/>
          </w:tcPr>
          <w:p>
            <w:pPr>
              <w:spacing w:after="0" w:line="194" w:lineRule="exact"/>
              <w:rPr>
                <w:rFonts w:ascii="Times New Roman" w:cs="Times New Roman" w:eastAsia="Times New Roman" w:hAnsi="Times New Roman"/>
                <w:sz w:val="18"/>
                <w:szCs w:val="18"/>
                <w:color w:val="0000EE"/>
                <w:w w:val="98"/>
              </w:rPr>
            </w:pPr>
            <w:hyperlink r:id="rId32">
              <w:r>
                <w:rPr>
                  <w:rFonts w:ascii="Times New Roman" w:cs="Times New Roman" w:eastAsia="Times New Roman" w:hAnsi="Times New Roman"/>
                  <w:sz w:val="18"/>
                  <w:szCs w:val="18"/>
                  <w:color w:val="0000EE"/>
                  <w:w w:val="98"/>
                </w:rPr>
                <w:t>the Registrant on August 2, 2021)</w:t>
              </w:r>
            </w:hyperlink>
          </w:p>
        </w:tc>
        <w:tc>
          <w:tcPr>
            <w:tcW w:w="7920" w:type="dxa"/>
            <w:vAlign w:val="bottom"/>
            <w:gridSpan w:val="26"/>
          </w:tcPr>
          <w:p>
            <w:pPr>
              <w:spacing w:after="0"/>
              <w:rPr>
                <w:sz w:val="16"/>
                <w:szCs w:val="16"/>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13</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33">
              <w:r>
                <w:rPr>
                  <w:rFonts w:ascii="Times New Roman" w:cs="Times New Roman" w:eastAsia="Times New Roman" w:hAnsi="Times New Roman"/>
                  <w:sz w:val="18"/>
                  <w:szCs w:val="18"/>
                  <w:color w:val="0000EE"/>
                  <w:w w:val="99"/>
                </w:rPr>
                <w:t>Amended and Restated 2021 Equity Incentive Plan (incorporated by reference to Appendix A of the Registrant’s Definitive Proxy Statement on</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Schedule 14A, filed by the Registrant with the Securities and Exchange Commission on April 9, 2026)</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1740" w:type="dxa"/>
            <w:vAlign w:val="bottom"/>
            <w:gridSpan w:val="5"/>
            <w:shd w:val="clear" w:color="auto" w:fill="0000EE"/>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4">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14</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Form of Incentive Stock Option Agreement under the 2021 Equity Incentive Plan (incorporated by reference to Exhibit 10.2 to the Quarterly</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Report on Form 10-Q filed by the Registrant on August 2, 2021)</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5">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15</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w w:val="99"/>
              </w:rPr>
            </w:pPr>
            <w:hyperlink r:id="rId35">
              <w:r>
                <w:rPr>
                  <w:rFonts w:ascii="Times New Roman" w:cs="Times New Roman" w:eastAsia="Times New Roman" w:hAnsi="Times New Roman"/>
                  <w:sz w:val="18"/>
                  <w:szCs w:val="18"/>
                  <w:color w:val="0000EE"/>
                  <w:w w:val="99"/>
                </w:rPr>
                <w:t>Form of Nonstatutory Stock Option Agreement (Employees) under the 2021 Equity Incentive Plan (incorporated by reference to Exhibit 10.3 to</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60" w:type="dxa"/>
            <w:vAlign w:val="bottom"/>
            <w:tcBorders>
              <w:left w:val="single" w:sz="8" w:color="0000EE"/>
            </w:tcBorders>
            <w:gridSpan w:val="4"/>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the Quarterly Report on Form 10-Q filed by the Registrant on August 2, 2021)</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272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6">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16</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Form of Restricted Stock Unit Agreement under the 2021 Equity Incentive Plan (incorporated by reference to Exhibit 10.5 to the Quarterly</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Report on Form 10-Q filed by the Registrant on August 2, 2021)</w:t>
              </w:r>
            </w:hyperlink>
          </w:p>
        </w:tc>
      </w:tr>
      <w:tr>
        <w:trPr>
          <w:trHeight w:val="20"/>
        </w:trPr>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320" w:type="dxa"/>
            <w:vAlign w:val="bottom"/>
            <w:gridSpan w:val="5"/>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700" w:type="dxa"/>
            <w:vAlign w:val="bottom"/>
            <w:gridSpan w:val="8"/>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7">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17</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Form of Restricted Stock Unit Agreement under the Amended and Restated 2021 Equity Incentive Plan. (incorporated by reference to</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60" w:type="dxa"/>
            <w:vAlign w:val="bottom"/>
            <w:gridSpan w:val="2"/>
            <w:shd w:val="clear" w:color="auto" w:fill="0000EE"/>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540" w:type="dxa"/>
            <w:vAlign w:val="bottom"/>
            <w:tcBorders>
              <w:bottom w:val="single" w:sz="8" w:color="0000EE"/>
            </w:tcBorders>
            <w:gridSpan w:val="21"/>
          </w:tcPr>
          <w:p>
            <w:pPr>
              <w:spacing w:after="0" w:line="194" w:lineRule="exact"/>
              <w:rPr>
                <w:rFonts w:ascii="Times New Roman" w:cs="Times New Roman" w:eastAsia="Times New Roman" w:hAnsi="Times New Roman"/>
                <w:sz w:val="18"/>
                <w:szCs w:val="18"/>
                <w:color w:val="0000EE"/>
                <w:w w:val="98"/>
              </w:rPr>
            </w:pPr>
            <w:hyperlink r:id="rId37">
              <w:r>
                <w:rPr>
                  <w:rFonts w:ascii="Times New Roman" w:cs="Times New Roman" w:eastAsia="Times New Roman" w:hAnsi="Times New Roman"/>
                  <w:sz w:val="18"/>
                  <w:szCs w:val="18"/>
                  <w:color w:val="0000EE"/>
                  <w:w w:val="98"/>
                </w:rPr>
                <w:t>Exhibit 10.45 on Form 10-K filed by the Registrant with the Securities and Exchange Commission on March 20, 2025).</w:t>
              </w:r>
            </w:hyperlink>
          </w:p>
        </w:tc>
        <w:tc>
          <w:tcPr>
            <w:tcW w:w="1800" w:type="dxa"/>
            <w:vAlign w:val="bottom"/>
            <w:gridSpan w:val="11"/>
          </w:tcPr>
          <w:p>
            <w:pPr>
              <w:spacing w:after="0"/>
              <w:rPr>
                <w:sz w:val="16"/>
                <w:szCs w:val="16"/>
                <w:color w:val="auto"/>
              </w:rPr>
            </w:pPr>
          </w:p>
        </w:tc>
      </w:tr>
      <w:tr>
        <w:trPr>
          <w:trHeight w:val="220"/>
        </w:trPr>
        <w:tc>
          <w:tcPr>
            <w:tcW w:w="320" w:type="dxa"/>
            <w:vAlign w:val="bottom"/>
            <w:gridSpan w:val="3"/>
          </w:tcPr>
          <w:p>
            <w:pPr>
              <w:spacing w:after="0"/>
              <w:rPr>
                <w:rFonts w:ascii="Times New Roman" w:cs="Times New Roman" w:eastAsia="Times New Roman" w:hAnsi="Times New Roman"/>
                <w:sz w:val="18"/>
                <w:szCs w:val="18"/>
                <w:color w:val="0000EE"/>
                <w:w w:val="88"/>
              </w:rPr>
            </w:pPr>
            <w:hyperlink r:id="rId33">
              <w:r>
                <w:rPr>
                  <w:rFonts w:ascii="Times New Roman" w:cs="Times New Roman" w:eastAsia="Times New Roman" w:hAnsi="Times New Roman"/>
                  <w:sz w:val="18"/>
                  <w:szCs w:val="18"/>
                  <w:color w:val="0000EE"/>
                  <w:w w:val="88"/>
                </w:rPr>
                <w:t>4.</w:t>
              </w:r>
              <w:r>
                <w:rPr>
                  <w:rFonts w:ascii="Times New Roman" w:cs="Times New Roman" w:eastAsia="Times New Roman" w:hAnsi="Times New Roman"/>
                  <w:sz w:val="18"/>
                  <w:szCs w:val="18"/>
                  <w:u w:val="single" w:color="auto"/>
                  <w:color w:val="0000EE"/>
                  <w:w w:val="88"/>
                </w:rPr>
                <w:t>18</w:t>
              </w:r>
            </w:hyperlink>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Amended and Restated 2018 Employee Stock Purchase Plan. (incorporated by reference to Appendix B of the Registrant’s Definitive Proxy</w:t>
              </w:r>
            </w:hyperlink>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300" w:type="dxa"/>
            <w:vAlign w:val="bottom"/>
            <w:gridSpan w:val="9"/>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0" w:type="dxa"/>
            <w:vAlign w:val="bottom"/>
            <w:gridSpan w:val="5"/>
            <w:shd w:val="clear" w:color="auto" w:fill="0000EE"/>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r>
      <w:tr>
        <w:trPr>
          <w:trHeight w:val="194"/>
        </w:trPr>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340" w:type="dxa"/>
            <w:vAlign w:val="bottom"/>
            <w:gridSpan w:val="32"/>
          </w:tcPr>
          <w:p>
            <w:pPr>
              <w:spacing w:after="0" w:line="194"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Statement on Schedule 14A, filed by the Registrant with the Securities and Exchange Commission on April 9, 2026)</w:t>
              </w:r>
            </w:hyperlink>
          </w:p>
        </w:tc>
      </w:tr>
      <w:tr>
        <w:trPr>
          <w:trHeight w:val="220"/>
        </w:trPr>
        <w:tc>
          <w:tcPr>
            <w:tcW w:w="2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88"/>
              </w:rPr>
              <w:t>5.</w:t>
            </w:r>
            <w:r>
              <w:rPr>
                <w:rFonts w:ascii="Times New Roman" w:cs="Times New Roman" w:eastAsia="Times New Roman" w:hAnsi="Times New Roman"/>
                <w:sz w:val="18"/>
                <w:szCs w:val="18"/>
                <w:u w:val="single" w:color="auto"/>
                <w:color w:val="0000EE"/>
                <w:w w:val="88"/>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30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Opinion of Ropes &amp; Gray LLP (filed herewith)</w:t>
            </w:r>
          </w:p>
        </w:tc>
        <w:tc>
          <w:tcPr>
            <w:tcW w:w="2040" w:type="dxa"/>
            <w:vAlign w:val="bottom"/>
            <w:gridSpan w:val="12"/>
          </w:tcPr>
          <w:p>
            <w:pPr>
              <w:spacing w:after="0"/>
              <w:rPr>
                <w:sz w:val="19"/>
                <w:szCs w:val="19"/>
                <w:color w:val="auto"/>
              </w:rPr>
            </w:pPr>
          </w:p>
        </w:tc>
      </w:tr>
      <w:tr>
        <w:trPr>
          <w:trHeight w:val="20"/>
        </w:trPr>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04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r>
      <w:tr>
        <w:trPr>
          <w:trHeight w:val="220"/>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Consent of Ropes &amp; Gray LLP (included in Exhibit 5.1)</w:t>
            </w:r>
          </w:p>
        </w:tc>
      </w:tr>
      <w:tr>
        <w:trPr>
          <w:trHeight w:val="20"/>
        </w:trPr>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580" w:type="dxa"/>
            <w:vAlign w:val="bottom"/>
            <w:gridSpan w:val="11"/>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r>
      <w:tr>
        <w:trPr>
          <w:trHeight w:val="220"/>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23.</w:t>
            </w:r>
            <w:r>
              <w:rPr>
                <w:rFonts w:ascii="Times New Roman" w:cs="Times New Roman" w:eastAsia="Times New Roman" w:hAnsi="Times New Roman"/>
                <w:sz w:val="18"/>
                <w:szCs w:val="18"/>
                <w:u w:val="single" w:color="auto"/>
                <w:color w:val="0000EE"/>
                <w:w w:val="88"/>
              </w:rPr>
              <w:t>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Consent of Ernst &amp; Young LLP (filed herewith)</w:t>
            </w:r>
          </w:p>
        </w:tc>
      </w:tr>
      <w:tr>
        <w:trPr>
          <w:trHeight w:val="20"/>
        </w:trPr>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1100" w:type="dxa"/>
            <w:vAlign w:val="bottom"/>
            <w:gridSpan w:val="5"/>
            <w:shd w:val="clear" w:color="auto" w:fill="0000EE"/>
          </w:tcPr>
          <w:p>
            <w:pPr>
              <w:spacing w:after="0" w:line="20" w:lineRule="exact"/>
              <w:rPr>
                <w:sz w:val="1"/>
                <w:szCs w:val="1"/>
                <w:color w:val="auto"/>
              </w:rPr>
            </w:pPr>
          </w:p>
        </w:tc>
        <w:tc>
          <w:tcPr>
            <w:tcW w:w="5160" w:type="dxa"/>
            <w:vAlign w:val="bottom"/>
            <w:gridSpan w:val="12"/>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r>
      <w:tr>
        <w:trPr>
          <w:trHeight w:val="220"/>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88"/>
              </w:rPr>
              <w:t>24.</w:t>
            </w:r>
            <w:r>
              <w:rPr>
                <w:rFonts w:ascii="Times New Roman" w:cs="Times New Roman" w:eastAsia="Times New Roman" w:hAnsi="Times New Roman"/>
                <w:sz w:val="18"/>
                <w:szCs w:val="18"/>
                <w:u w:val="single" w:color="auto"/>
                <w:color w:val="0000EE"/>
                <w:w w:val="88"/>
              </w:rPr>
              <w:t>1</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Power of attorney (included on the signature page of this Registration Statement under the caption “Power of Attorney”)</w:t>
            </w:r>
          </w:p>
        </w:tc>
      </w:tr>
      <w:tr>
        <w:trPr>
          <w:trHeight w:val="20"/>
        </w:trPr>
        <w:tc>
          <w:tcPr>
            <w:tcW w:w="320" w:type="dxa"/>
            <w:vAlign w:val="bottom"/>
            <w:tcBorders>
              <w:right w:val="single" w:sz="8" w:color="0000EE"/>
            </w:tcBorders>
            <w:gridSpan w:val="3"/>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6260" w:type="dxa"/>
            <w:vAlign w:val="bottom"/>
            <w:gridSpan w:val="17"/>
            <w:shd w:val="clear" w:color="auto" w:fill="0000EE"/>
          </w:tcPr>
          <w:p>
            <w:pPr>
              <w:spacing w:after="0" w:line="20" w:lineRule="exact"/>
              <w:rPr>
                <w:sz w:val="1"/>
                <w:szCs w:val="1"/>
                <w:color w:val="auto"/>
              </w:rPr>
            </w:pPr>
          </w:p>
        </w:tc>
        <w:tc>
          <w:tcPr>
            <w:tcW w:w="1760" w:type="dxa"/>
            <w:vAlign w:val="bottom"/>
            <w:gridSpan w:val="10"/>
          </w:tcPr>
          <w:p>
            <w:pPr>
              <w:spacing w:after="0" w:line="20" w:lineRule="exact"/>
              <w:rPr>
                <w:sz w:val="1"/>
                <w:szCs w:val="1"/>
                <w:color w:val="auto"/>
              </w:rPr>
            </w:pPr>
          </w:p>
        </w:tc>
      </w:tr>
      <w:tr>
        <w:trPr>
          <w:trHeight w:val="220"/>
        </w:trPr>
        <w:tc>
          <w:tcPr>
            <w:tcW w:w="32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107</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340" w:type="dxa"/>
            <w:vAlign w:val="bottom"/>
            <w:gridSpan w:val="32"/>
          </w:tcPr>
          <w:p>
            <w:pPr>
              <w:spacing w:after="0"/>
              <w:rPr>
                <w:sz w:val="20"/>
                <w:szCs w:val="20"/>
                <w:color w:val="auto"/>
              </w:rPr>
            </w:pPr>
            <w:r>
              <w:rPr>
                <w:rFonts w:ascii="Times New Roman" w:cs="Times New Roman" w:eastAsia="Times New Roman" w:hAnsi="Times New Roman"/>
                <w:sz w:val="18"/>
                <w:szCs w:val="18"/>
                <w:color w:val="0000EE"/>
              </w:rPr>
              <w:t>Filing Fee Table (filed herewith)</w:t>
            </w:r>
          </w:p>
        </w:tc>
      </w:tr>
      <w:tr>
        <w:trPr>
          <w:trHeight w:val="461"/>
        </w:trPr>
        <w:tc>
          <w:tcPr>
            <w:tcW w:w="20" w:type="dxa"/>
            <w:vAlign w:val="bottom"/>
            <w:tcBorders>
              <w:bottom w:val="single" w:sz="8" w:color="auto"/>
            </w:tcBorders>
          </w:tcPr>
          <w:p>
            <w:pPr>
              <w:spacing w:after="0"/>
              <w:rPr>
                <w:sz w:val="24"/>
                <w:szCs w:val="24"/>
                <w:color w:val="auto"/>
              </w:rPr>
            </w:pPr>
          </w:p>
        </w:tc>
        <w:tc>
          <w:tcPr>
            <w:tcW w:w="20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178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4" w:lineRule="exact"/>
        <w:rPr>
          <w:sz w:val="20"/>
          <w:szCs w:val="20"/>
          <w:color w:val="auto"/>
        </w:rPr>
      </w:pPr>
    </w:p>
    <w:p>
      <w:pPr>
        <w:ind w:right="40" w:firstLine="641"/>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City of Needham, Commonwealth of Massachusetts on May 29, 2026.</w:t>
      </w:r>
    </w:p>
    <w:p>
      <w:pPr>
        <w:spacing w:after="0" w:line="17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VERASTEM, INC.</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Daniel Paterson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3787775</wp:posOffset>
            </wp:positionH>
            <wp:positionV relativeFrom="paragraph">
              <wp:posOffset>15875</wp:posOffset>
            </wp:positionV>
            <wp:extent cx="33502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8">
                      <a:extLst>
                        <a:ext uri="{28A0092B-C50C-407E-A947-70E740481C1C}"/>
                      </a:extLst>
                    </a:blip>
                    <a:srcRect/>
                    <a:stretch>
                      <a:fillRect/>
                    </a:stretch>
                  </pic:blipFill>
                  <pic:spPr bwMode="auto">
                    <a:xfrm>
                      <a:off x="0" y="0"/>
                      <a:ext cx="3350260" cy="8255"/>
                    </a:xfrm>
                    <a:prstGeom prst="rect">
                      <a:avLst/>
                    </a:prstGeom>
                    <a:noFill/>
                  </pic:spPr>
                </pic:pic>
              </a:graphicData>
            </a:graphic>
          </wp:anchor>
        </w:drawing>
      </w:r>
    </w:p>
    <w:p>
      <w:pPr>
        <w:spacing w:after="0" w:line="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Daniel Paterson</w:t>
      </w:r>
    </w:p>
    <w:p>
      <w:pPr>
        <w:spacing w:after="0" w:line="20"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ind w:right="120" w:firstLine="641"/>
        <w:spacing w:after="0" w:line="252" w:lineRule="auto"/>
        <w:rPr>
          <w:sz w:val="20"/>
          <w:szCs w:val="20"/>
          <w:color w:val="auto"/>
        </w:rPr>
      </w:pPr>
      <w:r>
        <w:rPr>
          <w:rFonts w:ascii="Times New Roman" w:cs="Times New Roman" w:eastAsia="Times New Roman" w:hAnsi="Times New Roman"/>
          <w:sz w:val="18"/>
          <w:szCs w:val="18"/>
          <w:color w:val="auto"/>
        </w:rPr>
        <w:t>Each person whose signature appears below constitutes and appoints Daniel Paterson and Daniel Calkins, and each of them singly, either of whom may act without the joinder of the other, as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on Form S-8, and to file the same, with all exhibits thereto, and other documents in connection therewith with the Securities and Exchange Commission, granting unto said attorneys-in-fact and agents, and each of them singly,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either of them, or their or his substitute or substitutes, may lawfully do or cause to be done by virtue hereof.</w:t>
      </w:r>
    </w:p>
    <w:p>
      <w:pPr>
        <w:spacing w:after="0" w:line="185" w:lineRule="exact"/>
        <w:rPr>
          <w:sz w:val="20"/>
          <w:szCs w:val="20"/>
          <w:color w:val="auto"/>
        </w:rPr>
      </w:pPr>
    </w:p>
    <w:p>
      <w:pPr>
        <w:ind w:right="540" w:firstLine="641"/>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below by the following persons in the capacities and on the dates indicated.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0" w:type="dxa"/>
            <w:vAlign w:val="bottom"/>
          </w:tcPr>
          <w:p>
            <w:pPr>
              <w:spacing w:after="0"/>
              <w:rPr>
                <w:sz w:val="20"/>
                <w:szCs w:val="20"/>
                <w:color w:val="auto"/>
              </w:rPr>
            </w:pPr>
          </w:p>
        </w:tc>
        <w:tc>
          <w:tcPr>
            <w:tcW w:w="3140" w:type="dxa"/>
            <w:vAlign w:val="bottom"/>
          </w:tcPr>
          <w:p>
            <w:pPr>
              <w:ind w:left="1000"/>
              <w:spacing w:after="0"/>
              <w:rPr>
                <w:sz w:val="20"/>
                <w:szCs w:val="20"/>
                <w:color w:val="auto"/>
              </w:rPr>
            </w:pPr>
            <w:r>
              <w:rPr>
                <w:rFonts w:ascii="Times New Roman" w:cs="Times New Roman" w:eastAsia="Times New Roman" w:hAnsi="Times New Roman"/>
                <w:sz w:val="18"/>
                <w:szCs w:val="18"/>
                <w:b w:val="1"/>
                <w:bCs w:val="1"/>
                <w:color w:val="auto"/>
              </w:rPr>
              <w:t>SIGNATURES</w:t>
            </w:r>
          </w:p>
        </w:tc>
        <w:tc>
          <w:tcPr>
            <w:tcW w:w="220" w:type="dxa"/>
            <w:vAlign w:val="bottom"/>
          </w:tcPr>
          <w:p>
            <w:pPr>
              <w:spacing w:after="0"/>
              <w:rPr>
                <w:sz w:val="20"/>
                <w:szCs w:val="20"/>
                <w:color w:val="auto"/>
              </w:rPr>
            </w:pPr>
          </w:p>
        </w:tc>
        <w:tc>
          <w:tcPr>
            <w:tcW w:w="6180" w:type="dxa"/>
            <w:vAlign w:val="bottom"/>
            <w:gridSpan w:val="2"/>
          </w:tcPr>
          <w:p>
            <w:pPr>
              <w:ind w:left="272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5"/>
              </w:rPr>
              <w:t>DATE</w:t>
            </w:r>
          </w:p>
        </w:tc>
      </w:tr>
      <w:tr>
        <w:trPr>
          <w:trHeight w:val="207"/>
        </w:trPr>
        <w:tc>
          <w:tcPr>
            <w:tcW w:w="20" w:type="dxa"/>
            <w:vAlign w:val="bottom"/>
            <w:tcBorders>
              <w:bottom w:val="single" w:sz="8" w:color="auto"/>
            </w:tcBorders>
          </w:tcPr>
          <w:p>
            <w:pPr>
              <w:spacing w:after="0"/>
              <w:rPr>
                <w:sz w:val="18"/>
                <w:szCs w:val="18"/>
                <w:color w:val="auto"/>
              </w:rPr>
            </w:pPr>
          </w:p>
        </w:tc>
        <w:tc>
          <w:tcPr>
            <w:tcW w:w="3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Daniel Paterson</w:t>
            </w:r>
          </w:p>
        </w:tc>
        <w:tc>
          <w:tcPr>
            <w:tcW w:w="220" w:type="dxa"/>
            <w:vAlign w:val="bottom"/>
          </w:tcPr>
          <w:p>
            <w:pPr>
              <w:spacing w:after="0"/>
              <w:rPr>
                <w:sz w:val="18"/>
                <w:szCs w:val="18"/>
                <w:color w:val="auto"/>
              </w:rPr>
            </w:pPr>
          </w:p>
        </w:tc>
        <w:tc>
          <w:tcPr>
            <w:tcW w:w="59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President, Chief Executive Officer and Director</w:t>
            </w:r>
          </w:p>
        </w:tc>
        <w:tc>
          <w:tcPr>
            <w:tcW w:w="220" w:type="dxa"/>
            <w:vAlign w:val="bottom"/>
          </w:tcPr>
          <w:p>
            <w:pPr>
              <w:spacing w:after="0"/>
              <w:rPr>
                <w:sz w:val="18"/>
                <w:szCs w:val="18"/>
                <w:color w:val="auto"/>
              </w:rPr>
            </w:pPr>
          </w:p>
        </w:tc>
        <w:tc>
          <w:tcPr>
            <w:tcW w:w="16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Paterson</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Daniel Calkins</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Chief Financial Officer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Daniel Calkins</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(Principal financial and accounting officer)</w:t>
            </w: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P. Bailey</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P. Bailey</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Paul A. Bunn, M.D.</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Paul A. Bunn, M.D.</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20" w:type="dxa"/>
            <w:vAlign w:val="bottom"/>
          </w:tcPr>
          <w:p>
            <w:pPr>
              <w:spacing w:after="0"/>
              <w:rPr>
                <w:sz w:val="24"/>
                <w:szCs w:val="24"/>
                <w:color w:val="auto"/>
              </w:rPr>
            </w:pPr>
          </w:p>
        </w:tc>
        <w:tc>
          <w:tcPr>
            <w:tcW w:w="31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 John H. Johnson</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20" w:type="dxa"/>
            <w:vAlign w:val="bottom"/>
          </w:tcPr>
          <w:p>
            <w:pPr>
              <w:spacing w:after="0"/>
              <w:rPr>
                <w:sz w:val="19"/>
                <w:szCs w:val="19"/>
                <w:color w:val="auto"/>
              </w:rPr>
            </w:pPr>
          </w:p>
        </w:tc>
        <w:tc>
          <w:tcPr>
            <w:tcW w:w="3140" w:type="dxa"/>
            <w:vAlign w:val="bottom"/>
          </w:tcPr>
          <w:p>
            <w:pPr>
              <w:spacing w:after="0"/>
              <w:rPr>
                <w:sz w:val="20"/>
                <w:szCs w:val="20"/>
                <w:color w:val="auto"/>
              </w:rPr>
            </w:pPr>
            <w:r>
              <w:rPr>
                <w:rFonts w:ascii="Times New Roman" w:cs="Times New Roman" w:eastAsia="Times New Roman" w:hAnsi="Times New Roman"/>
                <w:sz w:val="18"/>
                <w:szCs w:val="18"/>
                <w:color w:val="auto"/>
              </w:rPr>
              <w:t>John H. Johnson</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Anil Kapur</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Anil Kapur</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Michael Kauffman</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Kauffman, M.D., Ph.D.</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Michelle Robertson</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Michelle Robertson</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Eric Rowinsky, M.D.</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Eric Rowinsky, M.D.</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Brian Stuglik</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Brian Stuglik</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31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Karin Tollefson</w:t>
            </w:r>
          </w:p>
        </w:tc>
        <w:tc>
          <w:tcPr>
            <w:tcW w:w="640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Director</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May 29, 2026</w:t>
            </w:r>
          </w:p>
        </w:tc>
      </w:tr>
      <w:tr>
        <w:trPr>
          <w:trHeight w:val="226"/>
        </w:trPr>
        <w:tc>
          <w:tcPr>
            <w:tcW w:w="31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Karin Tollefson</w:t>
            </w:r>
          </w:p>
        </w:tc>
        <w:tc>
          <w:tcPr>
            <w:tcW w:w="220" w:type="dxa"/>
            <w:vAlign w:val="bottom"/>
          </w:tcPr>
          <w:p>
            <w:pPr>
              <w:spacing w:after="0"/>
              <w:rPr>
                <w:sz w:val="19"/>
                <w:szCs w:val="19"/>
                <w:color w:val="auto"/>
              </w:rPr>
            </w:pPr>
          </w:p>
        </w:tc>
        <w:tc>
          <w:tcPr>
            <w:tcW w:w="5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409"/>
        </w:trPr>
        <w:tc>
          <w:tcPr>
            <w:tcW w:w="20" w:type="dxa"/>
            <w:vAlign w:val="bottom"/>
            <w:tcBorders>
              <w:bottom w:val="single" w:sz="8" w:color="auto"/>
            </w:tcBorders>
          </w:tcPr>
          <w:p>
            <w:pPr>
              <w:spacing w:after="0"/>
              <w:rPr>
                <w:sz w:val="24"/>
                <w:szCs w:val="24"/>
                <w:color w:val="auto"/>
              </w:rPr>
            </w:pPr>
          </w:p>
        </w:tc>
        <w:tc>
          <w:tcPr>
            <w:tcW w:w="3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1"/>
          <w:szCs w:val="21"/>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29845</wp:posOffset>
            </wp:positionH>
            <wp:positionV relativeFrom="paragraph">
              <wp:posOffset>155575</wp:posOffset>
            </wp:positionV>
            <wp:extent cx="720725" cy="8820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9">
                      <a:extLst>
                        <a:ext uri="{28A0092B-C50C-407E-A947-70E740481C1C}"/>
                      </a:extLst>
                    </a:blip>
                    <a:srcRect/>
                    <a:stretch>
                      <a:fillRect/>
                    </a:stretch>
                  </pic:blipFill>
                  <pic:spPr bwMode="auto">
                    <a:xfrm>
                      <a:off x="0" y="0"/>
                      <a:ext cx="720725" cy="882015"/>
                    </a:xfrm>
                    <a:prstGeom prst="rect">
                      <a:avLst/>
                    </a:prstGeom>
                    <a:noFill/>
                  </pic:spPr>
                </pic:pic>
              </a:graphicData>
            </a:graphic>
          </wp:anchor>
        </w:drawing>
      </w:r>
    </w:p>
    <w:p>
      <w:pPr>
        <w:spacing w:after="0" w:line="393"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6"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PRUDENTIAL TOWER</w:t>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800 BOYLSTON STREET</w:t>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BOSTON, MA 02199-3600</w:t>
      </w:r>
    </w:p>
    <w:p>
      <w:pPr>
        <w:spacing w:after="0" w:line="7" w:lineRule="exact"/>
        <w:rPr>
          <w:sz w:val="20"/>
          <w:szCs w:val="20"/>
          <w:color w:val="auto"/>
        </w:rPr>
      </w:pPr>
    </w:p>
    <w:p>
      <w:pPr>
        <w:ind w:left="1480"/>
        <w:spacing w:after="0"/>
        <w:rPr>
          <w:sz w:val="20"/>
          <w:szCs w:val="20"/>
          <w:color w:val="auto"/>
        </w:rPr>
      </w:pPr>
      <w:r>
        <w:rPr>
          <w:rFonts w:ascii="Times New Roman" w:cs="Times New Roman" w:eastAsia="Times New Roman" w:hAnsi="Times New Roman"/>
          <w:sz w:val="18"/>
          <w:szCs w:val="18"/>
          <w:color w:val="auto"/>
        </w:rPr>
        <w:t>WWW.ROPESGRAY.COM</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May 29, 2026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Verastem, Inc.</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117 Kendrick Street, Suite 500</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Needham, MA 02494</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This opinion letter is furnished to you in connection with the registration statement on Form S-8 (the “</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filed by Verastem,</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on the date hereof, with the Securities and Exchange Commission under the Securities Act of 1933, as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for the registration of an aggregate of 17,600,000 shares of common stock, $0.0001 par value, of the Company (the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The Shares are issuable under the Company’s Amended and Restated 2021 Equity Incentive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Company’s Amended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Restated 2018 Employee Stock Purchase Plan (the “</w:t>
      </w:r>
      <w:r>
        <w:rPr>
          <w:rFonts w:ascii="Times New Roman" w:cs="Times New Roman" w:eastAsia="Times New Roman" w:hAnsi="Times New Roman"/>
          <w:sz w:val="18"/>
          <w:szCs w:val="18"/>
          <w:u w:val="single" w:color="auto"/>
          <w:color w:val="auto"/>
        </w:rPr>
        <w:t>ESPP</w:t>
      </w:r>
      <w:r>
        <w:rPr>
          <w:rFonts w:ascii="Times New Roman" w:cs="Times New Roman" w:eastAsia="Times New Roman" w:hAnsi="Times New Roman"/>
          <w:sz w:val="18"/>
          <w:szCs w:val="18"/>
          <w:color w:val="auto"/>
        </w:rPr>
        <w:t>”) and the Company’s 2014 Inducement Award Program (the “</w:t>
      </w:r>
      <w:r>
        <w:rPr>
          <w:rFonts w:ascii="Times New Roman" w:cs="Times New Roman" w:eastAsia="Times New Roman" w:hAnsi="Times New Roman"/>
          <w:sz w:val="18"/>
          <w:szCs w:val="18"/>
          <w:u w:val="single" w:color="auto"/>
          <w:color w:val="auto"/>
        </w:rPr>
        <w:t>Program</w:t>
      </w:r>
      <w:r>
        <w:rPr>
          <w:rFonts w:ascii="Times New Roman" w:cs="Times New Roman" w:eastAsia="Times New Roman" w:hAnsi="Times New Roman"/>
          <w:sz w:val="18"/>
          <w:szCs w:val="18"/>
          <w:color w:val="auto"/>
        </w:rPr>
        <w:t>”).</w:t>
      </w:r>
    </w:p>
    <w:p>
      <w:pPr>
        <w:spacing w:after="0" w:line="202" w:lineRule="exact"/>
        <w:rPr>
          <w:sz w:val="20"/>
          <w:szCs w:val="20"/>
          <w:color w:val="auto"/>
        </w:rPr>
      </w:pPr>
    </w:p>
    <w:p>
      <w:pPr>
        <w:ind w:right="140" w:firstLine="641"/>
        <w:spacing w:after="0" w:line="257" w:lineRule="auto"/>
        <w:rPr>
          <w:sz w:val="20"/>
          <w:szCs w:val="20"/>
          <w:color w:val="auto"/>
        </w:rPr>
      </w:pPr>
      <w:r>
        <w:rPr>
          <w:rFonts w:ascii="Times New Roman" w:cs="Times New Roman" w:eastAsia="Times New Roman" w:hAnsi="Times New Roman"/>
          <w:sz w:val="18"/>
          <w:szCs w:val="18"/>
          <w:color w:val="auto"/>
        </w:rPr>
        <w:t>We are familiar with the actions taken by the Company in connection with the adoption of the Plan, the ESPP and the Program. We have examined such certificates, documents and records and have made such investigation of fact and such examination of law as we have deemed appropriate in order to enable us to render the opinions set forth herein. In conducting such investigation, we have relied, without independent verification, upon certificates of officers of the Company, public officials and other appropriate persons.</w:t>
      </w:r>
    </w:p>
    <w:p>
      <w:pPr>
        <w:spacing w:after="0" w:line="18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The opinions expressed below are limited to the Delaware General Corporation Law.</w:t>
      </w:r>
    </w:p>
    <w:p>
      <w:pPr>
        <w:spacing w:after="0" w:line="220" w:lineRule="exact"/>
        <w:rPr>
          <w:sz w:val="20"/>
          <w:szCs w:val="20"/>
          <w:color w:val="auto"/>
        </w:rPr>
      </w:pPr>
    </w:p>
    <w:p>
      <w:pPr>
        <w:jc w:val="both"/>
        <w:ind w:firstLine="641"/>
        <w:spacing w:after="0" w:line="262" w:lineRule="auto"/>
        <w:rPr>
          <w:sz w:val="20"/>
          <w:szCs w:val="20"/>
          <w:color w:val="auto"/>
        </w:rPr>
      </w:pPr>
      <w:r>
        <w:rPr>
          <w:rFonts w:ascii="Times New Roman" w:cs="Times New Roman" w:eastAsia="Times New Roman" w:hAnsi="Times New Roman"/>
          <w:sz w:val="18"/>
          <w:szCs w:val="18"/>
          <w:color w:val="auto"/>
        </w:rPr>
        <w:t>Based upon and subject to the foregoing, we are of the opinion that the Shares have been duly authorized and, when the Shares have been issued and sold in accordance with the terms of the Plan, the ESPP and the inducement award agreements established for the Program, the Shares will be validly issued, fully paid and nonassessable.</w:t>
      </w:r>
    </w:p>
    <w:p>
      <w:pPr>
        <w:spacing w:after="0" w:line="177" w:lineRule="exact"/>
        <w:rPr>
          <w:sz w:val="20"/>
          <w:szCs w:val="20"/>
          <w:color w:val="auto"/>
        </w:rPr>
      </w:pPr>
    </w:p>
    <w:p>
      <w:pPr>
        <w:ind w:right="300" w:firstLine="641"/>
        <w:spacing w:after="0" w:line="277" w:lineRule="auto"/>
        <w:rPr>
          <w:sz w:val="20"/>
          <w:szCs w:val="20"/>
          <w:color w:val="auto"/>
        </w:rPr>
      </w:pPr>
      <w:r>
        <w:rPr>
          <w:rFonts w:ascii="Times New Roman" w:cs="Times New Roman" w:eastAsia="Times New Roman" w:hAnsi="Times New Roman"/>
          <w:sz w:val="18"/>
          <w:szCs w:val="18"/>
          <w:color w:val="auto"/>
        </w:rPr>
        <w:t>We hereby consent to the filing of this opinion letter as an exhibit to the Registration Statement. In giving such consent, we do not thereby admit that we are in the category of persons whose consent is required under Section 7 of the Securities Act or the rules and regulations thereunder.</w:t>
      </w:r>
    </w:p>
    <w:p>
      <w:pPr>
        <w:spacing w:after="0" w:line="16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15875</wp:posOffset>
            </wp:positionV>
            <wp:extent cx="35623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extLst>
                    </a:blip>
                    <a:srcRect/>
                    <a:stretch>
                      <a:fillRect/>
                    </a:stretch>
                  </pic:blipFill>
                  <pic:spPr bwMode="auto">
                    <a:xfrm>
                      <a:off x="0" y="0"/>
                      <a:ext cx="3562350" cy="8255"/>
                    </a:xfrm>
                    <a:prstGeom prst="rect">
                      <a:avLst/>
                    </a:prstGeom>
                    <a:noFill/>
                  </pic:spPr>
                </pic:pic>
              </a:graphicData>
            </a:graphic>
          </wp:anchor>
        </w:drawing>
      </w:r>
    </w:p>
    <w:p>
      <w:pPr>
        <w:spacing w:after="0" w:line="2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Ropes &amp; Gray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304165</wp:posOffset>
            </wp:positionV>
            <wp:extent cx="71335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1">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1"/>
          <w:szCs w:val="21"/>
          <w:b w:val="1"/>
          <w:bCs w:val="1"/>
          <w:color w:val="auto"/>
        </w:rPr>
        <w:t>Exhibit 23.2</w:t>
      </w: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8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Registration Statement (Form S-8) pertaining to the Amended and Restated 2018 Employee Stock Purchase Plan, the Amended and Restated 2021 Equity Incentive Plan and the 2014 Inducement Award Program of Verastem, Inc. of our report dated March 4, 2026, with respect to the consolidated financial statements of Verastem, Inc. included in its Annual Report (Form 10-K) for the year ended December 31, 2025,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Boston, Massachusetts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287655</wp:posOffset>
            </wp:positionV>
            <wp:extent cx="713359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a:extLst>
                        <a:ext uri="{28A0092B-C50C-407E-A947-70E740481C1C}"/>
                      </a:extLst>
                    </a:blip>
                    <a:srcRect/>
                    <a:stretch>
                      <a:fillRect/>
                    </a:stretch>
                  </pic:blipFill>
                  <pic:spPr bwMode="auto">
                    <a:xfrm>
                      <a:off x="0" y="0"/>
                      <a:ext cx="713359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6" w:name="page7"/>
    <w:bookmarkEnd w:id="6"/>
    <w:p>
      <w:pPr>
        <w:ind w:left="232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470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160"/>
        <w:spacing w:after="0"/>
        <w:rPr>
          <w:sz w:val="20"/>
          <w:szCs w:val="20"/>
          <w:color w:val="auto"/>
        </w:rPr>
      </w:pPr>
      <w:r>
        <w:rPr>
          <w:rFonts w:ascii="Arial" w:cs="Arial" w:eastAsia="Arial" w:hAnsi="Arial"/>
          <w:sz w:val="36"/>
          <w:szCs w:val="36"/>
          <w:b w:val="1"/>
          <w:bCs w:val="1"/>
          <w:color w:val="auto"/>
        </w:rPr>
        <w:t>Verastem, Inc.</w:t>
      </w:r>
    </w:p>
    <w:p>
      <w:pPr>
        <w:spacing w:after="0" w:line="156"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1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2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0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44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40" w:type="dxa"/>
            <w:vAlign w:val="bottom"/>
            <w:vMerge w:val="restart"/>
            <w:shd w:val="clear" w:color="auto" w:fill="9ADAF6"/>
          </w:tcPr>
          <w:p>
            <w:pPr>
              <w:ind w:left="140"/>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0"/>
                <w:szCs w:val="20"/>
                <w:color w:val="auto"/>
              </w:rPr>
            </w:pPr>
          </w:p>
        </w:tc>
        <w:tc>
          <w:tcPr>
            <w:tcW w:w="12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w:t>
            </w:r>
          </w:p>
        </w:tc>
        <w:tc>
          <w:tcPr>
            <w:tcW w:w="20" w:type="dxa"/>
            <w:vAlign w:val="bottom"/>
          </w:tcPr>
          <w:p>
            <w:pPr>
              <w:spacing w:after="0"/>
              <w:rPr>
                <w:sz w:val="20"/>
                <w:szCs w:val="20"/>
                <w:color w:val="auto"/>
              </w:rPr>
            </w:pPr>
          </w:p>
        </w:tc>
        <w:tc>
          <w:tcPr>
            <w:tcW w:w="1140" w:type="dxa"/>
            <w:vAlign w:val="bottom"/>
            <w:vMerge w:val="restart"/>
            <w:shd w:val="clear" w:color="auto" w:fill="9ADAF6"/>
          </w:tcPr>
          <w:p>
            <w:pPr>
              <w:jc w:val="right"/>
              <w:ind w:right="7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0"/>
                <w:szCs w:val="20"/>
                <w:color w:val="auto"/>
              </w:rPr>
            </w:pPr>
          </w:p>
        </w:tc>
        <w:tc>
          <w:tcPr>
            <w:tcW w:w="12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0"/>
                <w:szCs w:val="20"/>
                <w:color w:val="auto"/>
              </w:rPr>
            </w:pPr>
          </w:p>
        </w:tc>
        <w:tc>
          <w:tcPr>
            <w:tcW w:w="10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0" w:type="dxa"/>
            <w:vAlign w:val="bottom"/>
            <w:tcBorders>
              <w:left w:val="single" w:sz="8" w:color="auto"/>
            </w:tcBorders>
          </w:tcPr>
          <w:p>
            <w:pPr>
              <w:spacing w:after="0"/>
              <w:rPr>
                <w:sz w:val="18"/>
                <w:szCs w:val="18"/>
                <w:color w:val="auto"/>
              </w:rPr>
            </w:pPr>
          </w:p>
        </w:tc>
        <w:tc>
          <w:tcPr>
            <w:tcW w:w="160" w:type="dxa"/>
            <w:vAlign w:val="bottom"/>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94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18"/>
                <w:szCs w:val="18"/>
                <w:color w:val="auto"/>
              </w:rPr>
            </w:pPr>
          </w:p>
        </w:tc>
        <w:tc>
          <w:tcPr>
            <w:tcW w:w="11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18"/>
                <w:szCs w:val="18"/>
                <w:color w:val="auto"/>
              </w:rPr>
            </w:pPr>
          </w:p>
        </w:tc>
        <w:tc>
          <w:tcPr>
            <w:tcW w:w="15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18"/>
                <w:szCs w:val="18"/>
                <w:color w:val="auto"/>
              </w:rPr>
            </w:pPr>
          </w:p>
        </w:tc>
        <w:tc>
          <w:tcPr>
            <w:tcW w:w="106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18"/>
                <w:szCs w:val="18"/>
                <w:color w:val="auto"/>
              </w:rPr>
            </w:pPr>
          </w:p>
        </w:tc>
        <w:tc>
          <w:tcPr>
            <w:tcW w:w="144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40" w:type="dxa"/>
            <w:vAlign w:val="bottom"/>
            <w:tcBorders>
              <w:left w:val="single" w:sz="8" w:color="auto"/>
            </w:tcBorders>
          </w:tcPr>
          <w:p>
            <w:pPr>
              <w:spacing w:after="0"/>
              <w:rPr>
                <w:sz w:val="23"/>
                <w:szCs w:val="23"/>
                <w:color w:val="auto"/>
              </w:rPr>
            </w:pPr>
          </w:p>
        </w:tc>
        <w:tc>
          <w:tcPr>
            <w:tcW w:w="1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Type</w:t>
            </w:r>
          </w:p>
        </w:tc>
        <w:tc>
          <w:tcPr>
            <w:tcW w:w="40" w:type="dxa"/>
            <w:vAlign w:val="bottom"/>
          </w:tcPr>
          <w:p>
            <w:pPr>
              <w:spacing w:after="0"/>
              <w:rPr>
                <w:sz w:val="23"/>
                <w:szCs w:val="23"/>
                <w:color w:val="auto"/>
              </w:rPr>
            </w:pPr>
          </w:p>
        </w:tc>
        <w:tc>
          <w:tcPr>
            <w:tcW w:w="1140" w:type="dxa"/>
            <w:vAlign w:val="bottom"/>
            <w:shd w:val="clear" w:color="auto" w:fill="9ADAF6"/>
          </w:tcPr>
          <w:p>
            <w:pPr>
              <w:ind w:left="20"/>
              <w:spacing w:after="0"/>
              <w:rPr>
                <w:sz w:val="20"/>
                <w:szCs w:val="20"/>
                <w:color w:val="auto"/>
              </w:rPr>
            </w:pPr>
            <w:r>
              <w:rPr>
                <w:rFonts w:ascii="Arial" w:cs="Arial" w:eastAsia="Arial" w:hAnsi="Arial"/>
                <w:sz w:val="21"/>
                <w:szCs w:val="21"/>
                <w:b w:val="1"/>
                <w:bCs w:val="1"/>
                <w:color w:val="auto"/>
              </w:rPr>
              <w:t>Class Title</w:t>
            </w:r>
          </w:p>
        </w:tc>
        <w:tc>
          <w:tcPr>
            <w:tcW w:w="20" w:type="dxa"/>
            <w:vAlign w:val="bottom"/>
          </w:tcPr>
          <w:p>
            <w:pPr>
              <w:spacing w:after="0"/>
              <w:rPr>
                <w:sz w:val="23"/>
                <w:szCs w:val="23"/>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Rule</w:t>
            </w:r>
          </w:p>
        </w:tc>
        <w:tc>
          <w:tcPr>
            <w:tcW w:w="20" w:type="dxa"/>
            <w:vAlign w:val="bottom"/>
          </w:tcPr>
          <w:p>
            <w:pPr>
              <w:spacing w:after="0"/>
              <w:rPr>
                <w:sz w:val="23"/>
                <w:szCs w:val="23"/>
                <w:color w:val="auto"/>
              </w:rPr>
            </w:pPr>
          </w:p>
        </w:tc>
        <w:tc>
          <w:tcPr>
            <w:tcW w:w="1140" w:type="dxa"/>
            <w:vAlign w:val="bottom"/>
            <w:shd w:val="clear" w:color="auto" w:fill="9ADAF6"/>
          </w:tcPr>
          <w:p>
            <w:pPr>
              <w:jc w:val="right"/>
              <w:spacing w:after="0"/>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3"/>
                <w:szCs w:val="23"/>
                <w:color w:val="auto"/>
              </w:rPr>
            </w:pPr>
          </w:p>
        </w:tc>
        <w:tc>
          <w:tcPr>
            <w:tcW w:w="12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Price Per</w:t>
            </w:r>
          </w:p>
        </w:tc>
        <w:tc>
          <w:tcPr>
            <w:tcW w:w="20" w:type="dxa"/>
            <w:vAlign w:val="bottom"/>
          </w:tcPr>
          <w:p>
            <w:pPr>
              <w:spacing w:after="0"/>
              <w:rPr>
                <w:sz w:val="23"/>
                <w:szCs w:val="23"/>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Offering Price</w:t>
            </w:r>
          </w:p>
        </w:tc>
        <w:tc>
          <w:tcPr>
            <w:tcW w:w="20" w:type="dxa"/>
            <w:vAlign w:val="bottom"/>
          </w:tcPr>
          <w:p>
            <w:pPr>
              <w:spacing w:after="0"/>
              <w:rPr>
                <w:sz w:val="23"/>
                <w:szCs w:val="23"/>
                <w:color w:val="auto"/>
              </w:rPr>
            </w:pPr>
          </w:p>
        </w:tc>
        <w:tc>
          <w:tcPr>
            <w:tcW w:w="1060" w:type="dxa"/>
            <w:vAlign w:val="bottom"/>
            <w:shd w:val="clear" w:color="auto" w:fill="9ADAF6"/>
          </w:tcPr>
          <w:p>
            <w:pPr>
              <w:spacing w:after="0"/>
              <w:rPr>
                <w:sz w:val="23"/>
                <w:szCs w:val="23"/>
                <w:color w:val="auto"/>
              </w:rPr>
            </w:pPr>
          </w:p>
        </w:tc>
        <w:tc>
          <w:tcPr>
            <w:tcW w:w="20" w:type="dxa"/>
            <w:vAlign w:val="bottom"/>
          </w:tcPr>
          <w:p>
            <w:pPr>
              <w:spacing w:after="0"/>
              <w:rPr>
                <w:sz w:val="23"/>
                <w:szCs w:val="23"/>
                <w:color w:val="auto"/>
              </w:rPr>
            </w:pPr>
          </w:p>
        </w:tc>
        <w:tc>
          <w:tcPr>
            <w:tcW w:w="14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Borders>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Unit</w:t>
            </w: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Verastem,</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 2014</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Inducement</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Plan -</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40" w:type="dxa"/>
            <w:vAlign w:val="bottom"/>
            <w:shd w:val="clear" w:color="auto" w:fill="E7E7E2"/>
          </w:tcPr>
          <w:p>
            <w:pPr>
              <w:ind w:left="20"/>
              <w:spacing w:after="0" w:line="240" w:lineRule="exact"/>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20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600,000</w:t>
            </w:r>
          </w:p>
        </w:tc>
        <w:tc>
          <w:tcPr>
            <w:tcW w:w="20" w:type="dxa"/>
            <w:vAlign w:val="bottom"/>
          </w:tcPr>
          <w:p>
            <w:pPr>
              <w:spacing w:after="0"/>
              <w:rPr>
                <w:sz w:val="20"/>
                <w:szCs w:val="20"/>
                <w:color w:val="auto"/>
              </w:rPr>
            </w:pPr>
          </w:p>
        </w:tc>
        <w:tc>
          <w:tcPr>
            <w:tcW w:w="126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$ 4.33</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$ 2,598,000.00</w:t>
            </w:r>
          </w:p>
        </w:tc>
        <w:tc>
          <w:tcPr>
            <w:tcW w:w="20" w:type="dxa"/>
            <w:vAlign w:val="bottom"/>
          </w:tcPr>
          <w:p>
            <w:pPr>
              <w:spacing w:after="0"/>
              <w:rPr>
                <w:sz w:val="20"/>
                <w:szCs w:val="20"/>
                <w:color w:val="auto"/>
              </w:rPr>
            </w:pPr>
          </w:p>
        </w:tc>
        <w:tc>
          <w:tcPr>
            <w:tcW w:w="1060" w:type="dxa"/>
            <w:vAlign w:val="bottom"/>
            <w:shd w:val="clear" w:color="auto" w:fill="E7E7E2"/>
          </w:tcPr>
          <w:p>
            <w:pPr>
              <w:jc w:val="center"/>
              <w:spacing w:after="0" w:line="240" w:lineRule="exact"/>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4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$ 358.78</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Verastem,</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 2021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Incentive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2</w:t>
            </w:r>
          </w:p>
        </w:tc>
        <w:tc>
          <w:tcPr>
            <w:tcW w:w="20" w:type="dxa"/>
            <w:vAlign w:val="bottom"/>
          </w:tcPr>
          <w:p>
            <w:pPr>
              <w:spacing w:after="0"/>
              <w:rPr>
                <w:sz w:val="20"/>
                <w:szCs w:val="20"/>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Plan -</w:t>
            </w:r>
          </w:p>
        </w:tc>
        <w:tc>
          <w:tcPr>
            <w:tcW w:w="20" w:type="dxa"/>
            <w:vAlign w:val="bottom"/>
          </w:tcPr>
          <w:p>
            <w:pPr>
              <w:spacing w:after="0"/>
              <w:rPr>
                <w:sz w:val="20"/>
                <w:szCs w:val="20"/>
                <w:color w:val="auto"/>
              </w:rPr>
            </w:pPr>
          </w:p>
        </w:tc>
        <w:tc>
          <w:tcPr>
            <w:tcW w:w="120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12,000,000</w:t>
            </w:r>
          </w:p>
        </w:tc>
        <w:tc>
          <w:tcPr>
            <w:tcW w:w="20" w:type="dxa"/>
            <w:vAlign w:val="bottom"/>
          </w:tcPr>
          <w:p>
            <w:pPr>
              <w:spacing w:after="0"/>
              <w:rPr>
                <w:sz w:val="20"/>
                <w:szCs w:val="20"/>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$ 4.33</w:t>
            </w: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20" w:type="dxa"/>
            <w:vAlign w:val="bottom"/>
          </w:tcPr>
          <w:p>
            <w:pPr>
              <w:spacing w:after="0"/>
              <w:rPr>
                <w:sz w:val="20"/>
                <w:szCs w:val="20"/>
                <w:color w:val="auto"/>
              </w:rPr>
            </w:pPr>
          </w:p>
        </w:tc>
        <w:tc>
          <w:tcPr>
            <w:tcW w:w="106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4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$ 7,175.68</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vMerge w:val="continue"/>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Common</w:t>
            </w:r>
          </w:p>
        </w:tc>
        <w:tc>
          <w:tcPr>
            <w:tcW w:w="20" w:type="dxa"/>
            <w:vAlign w:val="bottom"/>
          </w:tcPr>
          <w:p>
            <w:pPr>
              <w:spacing w:after="0"/>
              <w:rPr>
                <w:sz w:val="20"/>
                <w:szCs w:val="20"/>
                <w:color w:val="auto"/>
              </w:rPr>
            </w:pPr>
          </w:p>
        </w:tc>
        <w:tc>
          <w:tcPr>
            <w:tcW w:w="120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51,960,000.00</w:t>
            </w:r>
          </w:p>
        </w:tc>
        <w:tc>
          <w:tcPr>
            <w:tcW w:w="20" w:type="dxa"/>
            <w:vAlign w:val="bottom"/>
          </w:tcPr>
          <w:p>
            <w:pPr>
              <w:spacing w:after="0"/>
              <w:rPr>
                <w:sz w:val="20"/>
                <w:szCs w:val="20"/>
                <w:color w:val="auto"/>
              </w:rPr>
            </w:pPr>
          </w:p>
        </w:tc>
        <w:tc>
          <w:tcPr>
            <w:tcW w:w="10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1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Stock</w:t>
            </w: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44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Purchase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Plan -</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4"/>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3</w:t>
            </w:r>
          </w:p>
        </w:tc>
        <w:tc>
          <w:tcPr>
            <w:tcW w:w="20" w:type="dxa"/>
            <w:vAlign w:val="bottom"/>
          </w:tcPr>
          <w:p>
            <w:pPr>
              <w:spacing w:after="0"/>
              <w:rPr>
                <w:sz w:val="24"/>
                <w:szCs w:val="24"/>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21"/>
                <w:szCs w:val="21"/>
                <w:color w:val="auto"/>
              </w:rPr>
              <w:t>Equity</w:t>
            </w: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Common</w:t>
            </w:r>
          </w:p>
        </w:tc>
        <w:tc>
          <w:tcPr>
            <w:tcW w:w="20" w:type="dxa"/>
            <w:vAlign w:val="bottom"/>
          </w:tcPr>
          <w:p>
            <w:pPr>
              <w:spacing w:after="0"/>
              <w:rPr>
                <w:sz w:val="24"/>
                <w:szCs w:val="24"/>
                <w:color w:val="auto"/>
              </w:rPr>
            </w:pPr>
          </w:p>
        </w:tc>
        <w:tc>
          <w:tcPr>
            <w:tcW w:w="120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Other</w:t>
            </w:r>
          </w:p>
        </w:tc>
        <w:tc>
          <w:tcPr>
            <w:tcW w:w="20" w:type="dxa"/>
            <w:vAlign w:val="bottom"/>
          </w:tcPr>
          <w:p>
            <w:pPr>
              <w:spacing w:after="0"/>
              <w:rPr>
                <w:sz w:val="24"/>
                <w:szCs w:val="24"/>
                <w:color w:val="auto"/>
              </w:rPr>
            </w:pPr>
          </w:p>
        </w:tc>
        <w:tc>
          <w:tcPr>
            <w:tcW w:w="11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5,000,000</w:t>
            </w:r>
          </w:p>
        </w:tc>
        <w:tc>
          <w:tcPr>
            <w:tcW w:w="20" w:type="dxa"/>
            <w:vAlign w:val="bottom"/>
          </w:tcPr>
          <w:p>
            <w:pPr>
              <w:spacing w:after="0"/>
              <w:rPr>
                <w:sz w:val="24"/>
                <w:szCs w:val="24"/>
                <w:color w:val="auto"/>
              </w:rPr>
            </w:pPr>
          </w:p>
        </w:tc>
        <w:tc>
          <w:tcPr>
            <w:tcW w:w="126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$ 3.68</w:t>
            </w:r>
          </w:p>
        </w:tc>
        <w:tc>
          <w:tcPr>
            <w:tcW w:w="20" w:type="dxa"/>
            <w:vAlign w:val="bottom"/>
          </w:tcPr>
          <w:p>
            <w:pPr>
              <w:spacing w:after="0"/>
              <w:rPr>
                <w:sz w:val="24"/>
                <w:szCs w:val="24"/>
                <w:color w:val="auto"/>
              </w:rPr>
            </w:pPr>
          </w:p>
        </w:tc>
        <w:tc>
          <w:tcPr>
            <w:tcW w:w="1500" w:type="dxa"/>
            <w:vAlign w:val="bottom"/>
            <w:shd w:val="clear" w:color="auto" w:fill="E7E7E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4"/>
                <w:szCs w:val="24"/>
                <w:color w:val="auto"/>
              </w:rPr>
            </w:pPr>
          </w:p>
        </w:tc>
        <w:tc>
          <w:tcPr>
            <w:tcW w:w="1060" w:type="dxa"/>
            <w:vAlign w:val="bottom"/>
            <w:shd w:val="clear" w:color="auto" w:fill="E7E7E2"/>
          </w:tcPr>
          <w:p>
            <w:pPr>
              <w:jc w:val="center"/>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4"/>
                <w:szCs w:val="24"/>
                <w:color w:val="auto"/>
              </w:rPr>
            </w:pPr>
          </w:p>
        </w:tc>
        <w:tc>
          <w:tcPr>
            <w:tcW w:w="1440" w:type="dxa"/>
            <w:vAlign w:val="bottom"/>
            <w:shd w:val="clear" w:color="auto" w:fill="E7E7E2"/>
          </w:tcPr>
          <w:p>
            <w:pPr>
              <w:jc w:val="right"/>
              <w:spacing w:after="0"/>
              <w:rPr>
                <w:sz w:val="20"/>
                <w:szCs w:val="20"/>
                <w:color w:val="auto"/>
              </w:rPr>
            </w:pPr>
            <w:r>
              <w:rPr>
                <w:rFonts w:ascii="Arial" w:cs="Arial" w:eastAsia="Arial" w:hAnsi="Arial"/>
                <w:sz w:val="21"/>
                <w:szCs w:val="21"/>
                <w:color w:val="auto"/>
              </w:rPr>
              <w:t>$ 2,541.04</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 w:type="dxa"/>
            <w:vAlign w:val="bottom"/>
            <w:tcBorders>
              <w:left w:val="single" w:sz="8" w:color="auto"/>
            </w:tcBorders>
          </w:tcPr>
          <w:p>
            <w:pPr>
              <w:spacing w:after="0"/>
              <w:rPr>
                <w:sz w:val="12"/>
                <w:szCs w:val="12"/>
                <w:color w:val="auto"/>
              </w:rPr>
            </w:pPr>
          </w:p>
        </w:tc>
        <w:tc>
          <w:tcPr>
            <w:tcW w:w="1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E7E7E2"/>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shd w:val="clear" w:color="auto" w:fill="E7E7E2"/>
          </w:tcPr>
          <w:p>
            <w:pPr>
              <w:spacing w:after="0" w:line="147"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2"/>
                <w:szCs w:val="12"/>
                <w:color w:val="auto"/>
              </w:rPr>
            </w:pPr>
          </w:p>
        </w:tc>
        <w:tc>
          <w:tcPr>
            <w:tcW w:w="120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14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E7E7E2"/>
          </w:tcPr>
          <w:p>
            <w:pPr>
              <w:jc w:val="right"/>
              <w:spacing w:after="0" w:line="147" w:lineRule="exact"/>
              <w:rPr>
                <w:sz w:val="20"/>
                <w:szCs w:val="20"/>
                <w:color w:val="auto"/>
              </w:rPr>
            </w:pPr>
            <w:r>
              <w:rPr>
                <w:rFonts w:ascii="Arial" w:cs="Arial" w:eastAsia="Arial" w:hAnsi="Arial"/>
                <w:sz w:val="17"/>
                <w:szCs w:val="17"/>
                <w:color w:val="auto"/>
              </w:rPr>
              <w:t>18,400,000.00</w:t>
            </w:r>
          </w:p>
        </w:tc>
        <w:tc>
          <w:tcPr>
            <w:tcW w:w="20" w:type="dxa"/>
            <w:vAlign w:val="bottom"/>
          </w:tcPr>
          <w:p>
            <w:pPr>
              <w:spacing w:after="0"/>
              <w:rPr>
                <w:sz w:val="12"/>
                <w:szCs w:val="12"/>
                <w:color w:val="auto"/>
              </w:rPr>
            </w:pPr>
          </w:p>
        </w:tc>
        <w:tc>
          <w:tcPr>
            <w:tcW w:w="1060" w:type="dxa"/>
            <w:vAlign w:val="bottom"/>
            <w:shd w:val="clear" w:color="auto" w:fill="E7E7E2"/>
          </w:tcPr>
          <w:p>
            <w:pPr>
              <w:spacing w:after="0"/>
              <w:rPr>
                <w:sz w:val="12"/>
                <w:szCs w:val="12"/>
                <w:color w:val="auto"/>
              </w:rPr>
            </w:pPr>
          </w:p>
        </w:tc>
        <w:tc>
          <w:tcPr>
            <w:tcW w:w="20" w:type="dxa"/>
            <w:vAlign w:val="bottom"/>
          </w:tcPr>
          <w:p>
            <w:pPr>
              <w:spacing w:after="0"/>
              <w:rPr>
                <w:sz w:val="12"/>
                <w:szCs w:val="12"/>
                <w:color w:val="auto"/>
              </w:rPr>
            </w:pPr>
          </w:p>
        </w:tc>
        <w:tc>
          <w:tcPr>
            <w:tcW w:w="1440" w:type="dxa"/>
            <w:vAlign w:val="bottom"/>
            <w:shd w:val="clear" w:color="auto" w:fill="E7E7E2"/>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1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20" w:type="dxa"/>
            <w:vAlign w:val="bottom"/>
          </w:tcPr>
          <w:p>
            <w:pPr>
              <w:spacing w:after="0"/>
              <w:rPr>
                <w:sz w:val="20"/>
                <w:szCs w:val="20"/>
                <w:color w:val="auto"/>
              </w:rPr>
            </w:pPr>
          </w:p>
        </w:tc>
        <w:tc>
          <w:tcPr>
            <w:tcW w:w="12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0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44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20" w:type="dxa"/>
            <w:vAlign w:val="bottom"/>
          </w:tcPr>
          <w:p>
            <w:pPr>
              <w:spacing w:after="0"/>
              <w:rPr>
                <w:sz w:val="24"/>
                <w:szCs w:val="24"/>
                <w:color w:val="auto"/>
              </w:rPr>
            </w:pPr>
          </w:p>
        </w:tc>
        <w:tc>
          <w:tcPr>
            <w:tcW w:w="12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$ 10,075.50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72,958,000.00</w:t>
            </w: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36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gridSpan w:val="2"/>
          </w:tcPr>
          <w:p>
            <w:pPr>
              <w:jc w:val="right"/>
              <w:spacing w:after="0"/>
              <w:rPr>
                <w:sz w:val="20"/>
                <w:szCs w:val="20"/>
                <w:color w:val="auto"/>
              </w:rPr>
            </w:pPr>
            <w:r>
              <w:rPr>
                <w:rFonts w:ascii="Arial" w:cs="Arial" w:eastAsia="Arial" w:hAnsi="Arial"/>
                <w:sz w:val="21"/>
                <w:szCs w:val="21"/>
                <w:color w:val="auto"/>
              </w:rPr>
              <w:t>$ 10,075.50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auto"/>
        </w:rPr>
        <w:t>Offering Note</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3"/>
          <w:szCs w:val="13"/>
          <w:color w:val="auto"/>
        </w:rPr>
        <w:t>1</w:t>
      </w:r>
    </w:p>
    <w:p>
      <w:pPr>
        <w:spacing w:after="0" w:line="77" w:lineRule="exact"/>
        <w:rPr>
          <w:sz w:val="20"/>
          <w:szCs w:val="20"/>
          <w:color w:val="auto"/>
        </w:rPr>
      </w:pPr>
    </w:p>
    <w:p>
      <w:pPr>
        <w:ind w:left="260" w:right="100"/>
        <w:spacing w:after="0" w:line="246"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also covers such additional shares of the Registrant's common stock, par value $0.0001 per share (the "Common Stock"), as may be issued under the Registrant's 2018 Employee Stock Purchase Plan (the "2018 ESPP"), the Registrant's 2021 Equity Incentive Plan (the "2021 Incentive Plan") or the Registrant's 2014 Inducement Award Program (the "Inducement Award Plan") to prevent dilution from stock splits, stock dividends and similar transactions.</w:t>
      </w:r>
    </w:p>
    <w:p>
      <w:pPr>
        <w:spacing w:after="0" w:line="198" w:lineRule="exact"/>
        <w:rPr>
          <w:sz w:val="20"/>
          <w:szCs w:val="20"/>
          <w:color w:val="auto"/>
        </w:rPr>
      </w:pPr>
    </w:p>
    <w:p>
      <w:pPr>
        <w:ind w:left="260" w:right="140"/>
        <w:spacing w:after="0" w:line="248" w:lineRule="auto"/>
        <w:rPr>
          <w:sz w:val="20"/>
          <w:szCs w:val="20"/>
          <w:color w:val="auto"/>
        </w:rPr>
      </w:pPr>
      <w:r>
        <w:rPr>
          <w:rFonts w:ascii="Arial" w:cs="Arial" w:eastAsia="Arial" w:hAnsi="Arial"/>
          <w:sz w:val="21"/>
          <w:szCs w:val="21"/>
          <w:color w:val="auto"/>
        </w:rPr>
        <w:t>Pursuant to Rules 457(c) and 457(h)(1) under the Securities Act, the proposed maximum offering price per share and the maximum aggregate offering price for the shares have been calculated solely for the purpose of computing the registration fee on the basis of the average high and low prices of the Common Stock as reported by the Nasdaq Capital Market on May 22, 2026 to be $4.44 and $4.21, respectively.</w:t>
      </w:r>
    </w:p>
    <w:p>
      <w:pPr>
        <w:spacing w:after="0" w:line="195" w:lineRule="exact"/>
        <w:rPr>
          <w:sz w:val="20"/>
          <w:szCs w:val="20"/>
          <w:color w:val="auto"/>
        </w:rPr>
      </w:pPr>
    </w:p>
    <w:p>
      <w:pPr>
        <w:ind w:left="260" w:right="180"/>
        <w:spacing w:after="0" w:line="252" w:lineRule="auto"/>
        <w:rPr>
          <w:sz w:val="20"/>
          <w:szCs w:val="20"/>
          <w:color w:val="auto"/>
        </w:rPr>
      </w:pPr>
      <w:r>
        <w:rPr>
          <w:rFonts w:ascii="Arial" w:cs="Arial" w:eastAsia="Arial" w:hAnsi="Arial"/>
          <w:sz w:val="21"/>
          <w:szCs w:val="21"/>
          <w:color w:val="auto"/>
        </w:rPr>
        <w:t>Represents an aggregate of 600,000 shares of the Registrant's Common Stock that may be issued pursuant to awards granted or to be granted in accordance with Nasdaq Listing Rule 5635(c)(4), as an inducement material to an individual's entering into employment with the Registrant under the Registrant's Inducement Award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225425</wp:posOffset>
            </wp:positionV>
            <wp:extent cx="6387465" cy="184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extLst>
                    </a:blip>
                    <a:srcRect/>
                    <a:stretch>
                      <a:fillRect/>
                    </a:stretch>
                  </pic:blipFill>
                  <pic:spPr bwMode="auto">
                    <a:xfrm>
                      <a:off x="0" y="0"/>
                      <a:ext cx="6387465" cy="18415"/>
                    </a:xfrm>
                    <a:prstGeom prst="rect">
                      <a:avLst/>
                    </a:prstGeom>
                    <a:noFill/>
                  </pic:spPr>
                </pic:pic>
              </a:graphicData>
            </a:graphic>
          </wp:anchor>
        </w:drawing>
      </w:r>
    </w:p>
    <w:p>
      <w:pPr>
        <w:sectPr>
          <w:pgSz w:w="11900" w:h="16838" w:orient="portrait"/>
          <w:cols w:equalWidth="0" w:num="1">
            <w:col w:w="10100"/>
          </w:cols>
          <w:pgMar w:left="900" w:top="142" w:right="899" w:bottom="0" w:gutter="0" w:footer="0" w:header="0"/>
        </w:sectPr>
      </w:pPr>
    </w:p>
    <w:bookmarkStart w:id="7" w:name="page8"/>
    <w:bookmarkEnd w:id="7"/>
    <w:p>
      <w:pPr>
        <w:ind w:left="580"/>
        <w:spacing w:after="0"/>
        <w:rPr>
          <w:sz w:val="20"/>
          <w:szCs w:val="20"/>
          <w:color w:val="auto"/>
        </w:rPr>
      </w:pPr>
      <w:r>
        <w:rPr>
          <w:rFonts w:ascii="Arial" w:cs="Arial" w:eastAsia="Arial" w:hAnsi="Arial"/>
          <w:sz w:val="13"/>
          <w:szCs w:val="13"/>
          <w:color w:val="auto"/>
        </w:rPr>
        <w:t>2</w:t>
      </w:r>
    </w:p>
    <w:p>
      <w:pPr>
        <w:spacing w:after="0" w:line="77" w:lineRule="exact"/>
        <w:rPr>
          <w:sz w:val="20"/>
          <w:szCs w:val="20"/>
          <w:color w:val="auto"/>
        </w:rPr>
      </w:pPr>
    </w:p>
    <w:p>
      <w:pPr>
        <w:ind w:left="800" w:right="700"/>
        <w:spacing w:after="0" w:line="246"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also covers such additional shares of the Registrant's common stock, par value $0.0001 per share (the "Common Stock"), as may be issued under the Registrant's 2018 Employee Stock Purchase Plan (the "2018 ESPP"), the Registrant's 2021 Equity Incentive Plan (the "2021 Incentive Plan") or the Registrant's 2014 Inducement Award Program (the "Inducement Award Plan") to prevent dilution from stock splits, stock dividends and similar transactions.</w:t>
      </w:r>
    </w:p>
    <w:p>
      <w:pPr>
        <w:spacing w:after="0" w:line="198" w:lineRule="exact"/>
        <w:rPr>
          <w:sz w:val="20"/>
          <w:szCs w:val="20"/>
          <w:color w:val="auto"/>
        </w:rPr>
      </w:pPr>
    </w:p>
    <w:p>
      <w:pPr>
        <w:ind w:left="800" w:right="740"/>
        <w:spacing w:after="0" w:line="248" w:lineRule="auto"/>
        <w:rPr>
          <w:sz w:val="20"/>
          <w:szCs w:val="20"/>
          <w:color w:val="auto"/>
        </w:rPr>
      </w:pPr>
      <w:r>
        <w:rPr>
          <w:rFonts w:ascii="Arial" w:cs="Arial" w:eastAsia="Arial" w:hAnsi="Arial"/>
          <w:sz w:val="21"/>
          <w:szCs w:val="21"/>
          <w:color w:val="auto"/>
        </w:rPr>
        <w:t>Pursuant to Rules 457(c) and 457(h)(1) under the Securities Act, the proposed maximum offering price per share and the maximum aggregate offering price for the shares have been calculated solely for the purpose of computing the registration fee on the basis of the average high and low prices of the Common Stock as reported by the Nasdaq Capital Market on May 22, 2026 to be $4.44 and $4.21, respectively.</w:t>
      </w:r>
    </w:p>
    <w:p>
      <w:pPr>
        <w:spacing w:after="0" w:line="195" w:lineRule="exact"/>
        <w:rPr>
          <w:sz w:val="20"/>
          <w:szCs w:val="20"/>
          <w:color w:val="auto"/>
        </w:rPr>
      </w:pPr>
    </w:p>
    <w:p>
      <w:pPr>
        <w:ind w:left="800" w:right="820"/>
        <w:spacing w:after="0" w:line="278" w:lineRule="auto"/>
        <w:rPr>
          <w:sz w:val="20"/>
          <w:szCs w:val="20"/>
          <w:color w:val="auto"/>
        </w:rPr>
      </w:pPr>
      <w:r>
        <w:rPr>
          <w:rFonts w:ascii="Arial" w:cs="Arial" w:eastAsia="Arial" w:hAnsi="Arial"/>
          <w:sz w:val="21"/>
          <w:szCs w:val="21"/>
          <w:color w:val="auto"/>
        </w:rPr>
        <w:t>Represents an aggregate of 12,000,000 shares of the Registrant's Common Stock that may be issued pursuant to awards granted under the Registrant's 2021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208915</wp:posOffset>
            </wp:positionV>
            <wp:extent cx="63874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ind w:left="580"/>
        <w:spacing w:after="0"/>
        <w:rPr>
          <w:sz w:val="20"/>
          <w:szCs w:val="20"/>
          <w:color w:val="auto"/>
        </w:rPr>
      </w:pPr>
      <w:r>
        <w:rPr>
          <w:rFonts w:ascii="Arial" w:cs="Arial" w:eastAsia="Arial" w:hAnsi="Arial"/>
          <w:sz w:val="13"/>
          <w:szCs w:val="13"/>
          <w:color w:val="auto"/>
        </w:rPr>
        <w:t>3</w:t>
      </w:r>
    </w:p>
    <w:p>
      <w:pPr>
        <w:spacing w:after="0" w:line="77" w:lineRule="exact"/>
        <w:rPr>
          <w:sz w:val="20"/>
          <w:szCs w:val="20"/>
          <w:color w:val="auto"/>
        </w:rPr>
      </w:pPr>
    </w:p>
    <w:p>
      <w:pPr>
        <w:ind w:left="800" w:right="700"/>
        <w:spacing w:after="0" w:line="246" w:lineRule="auto"/>
        <w:rPr>
          <w:sz w:val="20"/>
          <w:szCs w:val="20"/>
          <w:color w:val="auto"/>
        </w:rPr>
      </w:pPr>
      <w:r>
        <w:rPr>
          <w:rFonts w:ascii="Arial" w:cs="Arial" w:eastAsia="Arial" w:hAnsi="Arial"/>
          <w:sz w:val="21"/>
          <w:szCs w:val="21"/>
          <w:color w:val="auto"/>
        </w:rPr>
        <w:t>Pursuant to Rule 416(a) under the Securities Act of 1933, as amended (the "Securities Act"), this Registration Statement also covers such additional shares of the Registrant's common stock, par value $0.0001 per share (the "Common Stock"), as may be issued under the Registrant's 2018 Employee Stock Purchase Plan (the "2018 ESPP"), the Registrant's 2021 Equity Incentive Plan (the "2021 Incentive Plan") or the Registrant's 2014 Inducement Award Program (the "Inducement Award Plan") to prevent dilution from stock splits, stock dividends and similar transactions.</w:t>
      </w:r>
    </w:p>
    <w:p>
      <w:pPr>
        <w:spacing w:after="0" w:line="198" w:lineRule="exact"/>
        <w:rPr>
          <w:sz w:val="20"/>
          <w:szCs w:val="20"/>
          <w:color w:val="auto"/>
        </w:rPr>
      </w:pPr>
    </w:p>
    <w:p>
      <w:pPr>
        <w:ind w:left="800" w:right="920"/>
        <w:spacing w:after="0" w:line="278" w:lineRule="auto"/>
        <w:rPr>
          <w:sz w:val="20"/>
          <w:szCs w:val="20"/>
          <w:color w:val="auto"/>
        </w:rPr>
      </w:pPr>
      <w:r>
        <w:rPr>
          <w:rFonts w:ascii="Arial" w:cs="Arial" w:eastAsia="Arial" w:hAnsi="Arial"/>
          <w:sz w:val="21"/>
          <w:szCs w:val="21"/>
          <w:color w:val="auto"/>
        </w:rPr>
        <w:t>Represents an aggregate of 5,000,000 shares of the Registrant's Common Stock that may be issued pursuant to awards granted under the Registrant's 2018 ESPP.</w:t>
      </w:r>
    </w:p>
    <w:p>
      <w:pPr>
        <w:spacing w:after="0" w:line="162" w:lineRule="exact"/>
        <w:rPr>
          <w:sz w:val="20"/>
          <w:szCs w:val="20"/>
          <w:color w:val="auto"/>
        </w:rPr>
      </w:pPr>
    </w:p>
    <w:p>
      <w:pPr>
        <w:ind w:left="800" w:right="820"/>
        <w:spacing w:after="0" w:line="246" w:lineRule="auto"/>
        <w:rPr>
          <w:sz w:val="20"/>
          <w:szCs w:val="20"/>
          <w:color w:val="auto"/>
        </w:rPr>
      </w:pPr>
      <w:r>
        <w:rPr>
          <w:rFonts w:ascii="Arial" w:cs="Arial" w:eastAsia="Arial" w:hAnsi="Arial"/>
          <w:sz w:val="21"/>
          <w:szCs w:val="21"/>
          <w:color w:val="auto"/>
        </w:rPr>
        <w:t>Estimated solely for the purpose of calculating the registration fee pursuant to Rule 457(c) and Rule 457(h) under the Act. The proposed maximum offering price per share is equal to 85% of $4.33, being the average of the high and low prices of the Registrant's Common Stock as reported on the Nasdaq Capital Market on May 22, 2026 to be $4.44 and $4.21, respectively. Under the 2018 ESPP, the purchase price of a share of common stock is equal to 85% of the fair market value of the Registrant's common stock on the offering date or the exercise date, whichever is less.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78740</wp:posOffset>
            </wp:positionV>
            <wp:extent cx="63874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46">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287" w:right="2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287" w:right="2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Roman"/>
      <w:start w:val="3"/>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0" Type="http://schemas.openxmlformats.org/officeDocument/2006/relationships/image" Target="media/image6.png"/><Relationship Id="rId38" Type="http://schemas.openxmlformats.org/officeDocument/2006/relationships/image" Target="media/image7.png"/><Relationship Id="rId39" Type="http://schemas.openxmlformats.org/officeDocument/2006/relationships/image" Target="media/image8.jpeg"/><Relationship Id="rId40" Type="http://schemas.openxmlformats.org/officeDocument/2006/relationships/image" Target="media/image9.png"/><Relationship Id="rId41" Type="http://schemas.openxmlformats.org/officeDocument/2006/relationships/image" Target="media/image10.png"/><Relationship Id="rId42" Type="http://schemas.openxmlformats.org/officeDocument/2006/relationships/image" Target="media/image11.png"/><Relationship Id="rId43" Type="http://schemas.openxmlformats.org/officeDocument/2006/relationships/image" Target="media/image12.png"/><Relationship Id="rId44" Type="http://schemas.openxmlformats.org/officeDocument/2006/relationships/image" Target="media/image13.png"/><Relationship Id="rId45" Type="http://schemas.openxmlformats.org/officeDocument/2006/relationships/image" Target="media/image14.png"/><Relationship Id="rId46" Type="http://schemas.openxmlformats.org/officeDocument/2006/relationships/image" Target="media/image15.png"/><Relationship Id="rId13" Type="http://schemas.openxmlformats.org/officeDocument/2006/relationships/hyperlink" Target="https://www.sec.gov/Archives/edgar/data/1526119/000110465918016969/a18-7906_1s8.htm" TargetMode="External"/><Relationship Id="rId14" Type="http://schemas.openxmlformats.org/officeDocument/2006/relationships/hyperlink" Target="https://www.sec.gov/Archives/edgar/data/1526119/000110465918067394/a18-39729_1s8.htm" TargetMode="External"/><Relationship Id="rId15" Type="http://schemas.openxmlformats.org/officeDocument/2006/relationships/hyperlink" Target="https://www.sec.gov/Archives/edgar/data/1526119/000110465919004460/a19-3612_1s8.htm" TargetMode="External"/><Relationship Id="rId16" Type="http://schemas.openxmlformats.org/officeDocument/2006/relationships/hyperlink" Target="https://www.sec.gov/Archives/edgar/data/1526119/000155837021008302/tmb-20210615xs8.htm" TargetMode="External"/><Relationship Id="rId17" Type="http://schemas.openxmlformats.org/officeDocument/2006/relationships/hyperlink" Target="https://www.sec.gov/Archives/edgar/data/1526119/000110465924034576/tm248659d1_s8.htm" TargetMode="External"/><Relationship Id="rId18" Type="http://schemas.openxmlformats.org/officeDocument/2006/relationships/hyperlink" Target="https://www.sec.gov/Archives/edgar/data/1526119/000110465924066653/tm2415840d1_s8.htm" TargetMode="External"/><Relationship Id="rId19" Type="http://schemas.openxmlformats.org/officeDocument/2006/relationships/hyperlink" Target="https://www.sec.gov/Archives/edgar/data/1526119/000110465925106296/tm2530192d1_s8.htm" TargetMode="External"/><Relationship Id="rId21" Type="http://schemas.openxmlformats.org/officeDocument/2006/relationships/hyperlink" Target="https://www.sec.gov/Archives/edgar/data/1526119/000155837019001852/vstm-20181231ex3015107bc.htm" TargetMode="External"/><Relationship Id="rId22" Type="http://schemas.openxmlformats.org/officeDocument/2006/relationships/hyperlink" Target="https://www.sec.gov/Archives/edgar/data/1526119/000155837019001852/vstm-20181231ex3023a9464.htm" TargetMode="External"/><Relationship Id="rId23" Type="http://schemas.openxmlformats.org/officeDocument/2006/relationships/hyperlink" Target="https://www.sec.gov/Archives/edgar/data/1526119/000110465920064756/tm2020393d1_ex3-1.htm" TargetMode="External"/><Relationship Id="rId24" Type="http://schemas.openxmlformats.org/officeDocument/2006/relationships/hyperlink" Target="https://www.sec.gov/Archives/edgar/data/1526119/000110465923066363/tm2317400d1_ex3-1.htm" TargetMode="External"/><Relationship Id="rId25" Type="http://schemas.openxmlformats.org/officeDocument/2006/relationships/hyperlink" Target="https://www.sec.gov/Archives/edgar/data/1526119/000104746912000187/a2206820zex-3_4.htm" TargetMode="External"/><Relationship Id="rId26" Type="http://schemas.openxmlformats.org/officeDocument/2006/relationships/hyperlink" Target="https://www.sec.gov/Archives/edgar/data/1526119/000155837018001953/vstm-20171231ex1011c401c.htm" TargetMode="External"/><Relationship Id="rId27" Type="http://schemas.openxmlformats.org/officeDocument/2006/relationships/hyperlink" Target="https://www.sec.gov/Archives/edgar/data/1526119/000155837018008809/vstm-20180930ex4347853a9.htm" TargetMode="External"/><Relationship Id="rId28" Type="http://schemas.openxmlformats.org/officeDocument/2006/relationships/hyperlink" Target="https://www.sec.gov/Archives/edgar/data/1526119/000155837021009812/vstm-20210630xex10d4.htm" TargetMode="External"/><Relationship Id="rId29" Type="http://schemas.openxmlformats.org/officeDocument/2006/relationships/hyperlink" Target="https://www.sec.gov/Archives/edgar/data/1526119/000155837020005727/vstm-20200331ex1066b7869.htm" TargetMode="External"/><Relationship Id="rId30" Type="http://schemas.openxmlformats.org/officeDocument/2006/relationships/hyperlink" Target="https://www.sec.gov/Archives/edgar/data/1526119/000155837020005727/vstm-20200331ex103628cce.htm" TargetMode="External"/><Relationship Id="rId31" Type="http://schemas.openxmlformats.org/officeDocument/2006/relationships/hyperlink" Target="https://www.sec.gov/Archives/edgar/data/1526119/000155837021009812/vstm-20210630xex10d6.htm" TargetMode="External"/><Relationship Id="rId32" Type="http://schemas.openxmlformats.org/officeDocument/2006/relationships/hyperlink" Target="https://www.sec.gov/Archives/edgar/data/1526119/000155837021009812/vstm-20210630xex10d7.htm" TargetMode="External"/><Relationship Id="rId33" Type="http://schemas.openxmlformats.org/officeDocument/2006/relationships/hyperlink" Target="https://www.sec.gov/ix?doc=/Archives/edgar/data/1526119/000110465926041506/vstm-20260521xdef14a.htm" TargetMode="External"/><Relationship Id="rId34" Type="http://schemas.openxmlformats.org/officeDocument/2006/relationships/hyperlink" Target="https://www.sec.gov/Archives/edgar/data/1526119/000155837021009812/vstm-20210630xex10d2.htm" TargetMode="External"/><Relationship Id="rId35" Type="http://schemas.openxmlformats.org/officeDocument/2006/relationships/hyperlink" Target="https://www.sec.gov/Archives/edgar/data/1526119/000155837021009812/vstm-20210630xex10d3.htm" TargetMode="External"/><Relationship Id="rId36" Type="http://schemas.openxmlformats.org/officeDocument/2006/relationships/hyperlink" Target="https://www.sec.gov/Archives/edgar/data/1526119/000155837021009812/vstm-20210630xex10d5.htm" TargetMode="External"/><Relationship Id="rId37" Type="http://schemas.openxmlformats.org/officeDocument/2006/relationships/hyperlink" Target="https://www.sec.gov/Archives/edgar/data/1526119/000155837025003372/vstm-20241231xex10d4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2026-05-29T17:49:01Z</dcterms:created>
  <dcterms:modified xsi:type="dcterms:W3CDTF">2026-05-29T17:49:01Z</dcterms:modified>
</cp:coreProperties>
</file>